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left="4362" w:firstLine="0"/>
        <w:jc w:val="left"/>
        <w:rPr>
          <w:rFonts w:ascii="Times New Roman"/>
        </w:rPr>
      </w:pPr>
      <w:r>
        <w:rPr>
          <w:rFonts w:ascii="Times New Roman"/>
        </w:rPr>
        <w:drawing>
          <wp:inline distT="0" distB="0" distL="0" distR="0">
            <wp:extent cx="1047749" cy="436911"/>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47749" cy="436911"/>
                    </a:xfrm>
                    <a:prstGeom prst="rect">
                      <a:avLst/>
                    </a:prstGeom>
                  </pic:spPr>
                </pic:pic>
              </a:graphicData>
            </a:graphic>
          </wp:inline>
        </w:drawing>
      </w:r>
      <w:r>
        <w:rPr>
          <w:rFonts w:ascii="Times New Roman"/>
        </w:rPr>
      </w:r>
    </w:p>
    <w:p>
      <w:pPr>
        <w:pStyle w:val="BodyText"/>
        <w:spacing w:before="10"/>
        <w:ind w:left="0" w:firstLine="0"/>
        <w:jc w:val="left"/>
        <w:rPr>
          <w:rFonts w:ascii="Times New Roman"/>
        </w:rPr>
      </w:pPr>
    </w:p>
    <w:p>
      <w:pPr>
        <w:spacing w:before="91"/>
        <w:ind w:left="2930" w:right="3127" w:firstLine="0"/>
        <w:jc w:val="center"/>
        <w:rPr>
          <w:b/>
          <w:sz w:val="28"/>
        </w:rPr>
      </w:pPr>
      <w:r>
        <w:rPr>
          <w:b/>
          <w:color w:val="004479"/>
          <w:sz w:val="28"/>
        </w:rPr>
        <w:t>LEGISLACIÓN CONSOLIDADA</w:t>
      </w:r>
    </w:p>
    <w:p>
      <w:pPr>
        <w:pStyle w:val="BodyText"/>
        <w:spacing w:before="6"/>
        <w:ind w:left="0" w:firstLine="0"/>
        <w:jc w:val="left"/>
        <w:rPr>
          <w:b/>
          <w:sz w:val="19"/>
        </w:rPr>
      </w:pPr>
    </w:p>
    <w:p>
      <w:pPr>
        <w:pStyle w:val="BodyText"/>
        <w:spacing w:line="20" w:lineRule="exact" w:before="0"/>
        <w:ind w:left="-184" w:right="-44"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0"/>
        <w:ind w:left="0" w:firstLine="0"/>
        <w:jc w:val="left"/>
        <w:rPr>
          <w:b/>
        </w:rPr>
      </w:pPr>
    </w:p>
    <w:p>
      <w:pPr>
        <w:pStyle w:val="BodyText"/>
        <w:spacing w:before="0"/>
        <w:ind w:left="0" w:firstLine="0"/>
        <w:jc w:val="left"/>
        <w:rPr>
          <w:b/>
        </w:rPr>
      </w:pPr>
    </w:p>
    <w:p>
      <w:pPr>
        <w:pStyle w:val="BodyText"/>
        <w:spacing w:before="9"/>
        <w:ind w:left="0" w:firstLine="0"/>
        <w:jc w:val="left"/>
        <w:rPr>
          <w:b/>
          <w:sz w:val="27"/>
        </w:rPr>
      </w:pPr>
    </w:p>
    <w:p>
      <w:pPr>
        <w:tabs>
          <w:tab w:pos="2040" w:val="left" w:leader="none"/>
          <w:tab w:pos="2516" w:val="left" w:leader="none"/>
          <w:tab w:pos="3890" w:val="left" w:leader="none"/>
          <w:tab w:pos="4299" w:val="left" w:leader="none"/>
          <w:tab w:pos="6013" w:val="left" w:leader="none"/>
          <w:tab w:pos="7020" w:val="left" w:leader="none"/>
          <w:tab w:pos="8095" w:val="left" w:leader="none"/>
        </w:tabs>
        <w:spacing w:before="137"/>
        <w:ind w:left="1414" w:right="1613" w:hanging="2"/>
        <w:jc w:val="center"/>
        <w:rPr>
          <w:sz w:val="28"/>
        </w:rPr>
      </w:pPr>
      <w:bookmarkStart w:name="Real Decreto-ley 3/2020, de 4 de febrero" w:id="1"/>
      <w:bookmarkEnd w:id="1"/>
      <w:r>
        <w:rPr/>
      </w:r>
      <w:r>
        <w:rPr>
          <w:w w:val="90"/>
          <w:sz w:val="28"/>
        </w:rPr>
        <w:t>Real</w:t>
      </w:r>
      <w:r>
        <w:rPr>
          <w:spacing w:val="-19"/>
          <w:w w:val="90"/>
          <w:sz w:val="28"/>
        </w:rPr>
        <w:t> </w:t>
      </w:r>
      <w:r>
        <w:rPr>
          <w:w w:val="90"/>
          <w:sz w:val="28"/>
        </w:rPr>
        <w:t>Decreto-ley</w:t>
      </w:r>
      <w:r>
        <w:rPr>
          <w:spacing w:val="-18"/>
          <w:w w:val="90"/>
          <w:sz w:val="28"/>
        </w:rPr>
        <w:t> </w:t>
      </w:r>
      <w:r>
        <w:rPr>
          <w:w w:val="90"/>
          <w:sz w:val="28"/>
        </w:rPr>
        <w:t>3/2020,</w:t>
      </w:r>
      <w:r>
        <w:rPr>
          <w:spacing w:val="-18"/>
          <w:w w:val="90"/>
          <w:sz w:val="28"/>
        </w:rPr>
        <w:t> </w:t>
      </w:r>
      <w:r>
        <w:rPr>
          <w:w w:val="90"/>
          <w:sz w:val="28"/>
        </w:rPr>
        <w:t>de</w:t>
      </w:r>
      <w:r>
        <w:rPr>
          <w:spacing w:val="-18"/>
          <w:w w:val="90"/>
          <w:sz w:val="28"/>
        </w:rPr>
        <w:t> </w:t>
      </w:r>
      <w:r>
        <w:rPr>
          <w:w w:val="90"/>
          <w:sz w:val="28"/>
        </w:rPr>
        <w:t>4</w:t>
      </w:r>
      <w:r>
        <w:rPr>
          <w:spacing w:val="-19"/>
          <w:w w:val="90"/>
          <w:sz w:val="28"/>
        </w:rPr>
        <w:t> </w:t>
      </w:r>
      <w:r>
        <w:rPr>
          <w:w w:val="90"/>
          <w:sz w:val="28"/>
        </w:rPr>
        <w:t>de</w:t>
      </w:r>
      <w:r>
        <w:rPr>
          <w:spacing w:val="-18"/>
          <w:w w:val="90"/>
          <w:sz w:val="28"/>
        </w:rPr>
        <w:t> </w:t>
      </w:r>
      <w:r>
        <w:rPr>
          <w:w w:val="90"/>
          <w:sz w:val="28"/>
        </w:rPr>
        <w:t>febrero,</w:t>
      </w:r>
      <w:r>
        <w:rPr>
          <w:spacing w:val="-17"/>
          <w:w w:val="90"/>
          <w:sz w:val="28"/>
        </w:rPr>
        <w:t> </w:t>
      </w:r>
      <w:r>
        <w:rPr>
          <w:w w:val="90"/>
          <w:sz w:val="28"/>
        </w:rPr>
        <w:t>de</w:t>
      </w:r>
      <w:r>
        <w:rPr>
          <w:spacing w:val="-18"/>
          <w:w w:val="90"/>
          <w:sz w:val="28"/>
        </w:rPr>
        <w:t> </w:t>
      </w:r>
      <w:r>
        <w:rPr>
          <w:w w:val="90"/>
          <w:sz w:val="28"/>
        </w:rPr>
        <w:t>medidas</w:t>
      </w:r>
      <w:r>
        <w:rPr>
          <w:spacing w:val="-19"/>
          <w:w w:val="90"/>
          <w:sz w:val="28"/>
        </w:rPr>
        <w:t> </w:t>
      </w:r>
      <w:r>
        <w:rPr>
          <w:w w:val="90"/>
          <w:sz w:val="28"/>
        </w:rPr>
        <w:t>urgentes</w:t>
      </w:r>
      <w:r>
        <w:rPr>
          <w:spacing w:val="-18"/>
          <w:w w:val="90"/>
          <w:sz w:val="28"/>
        </w:rPr>
        <w:t> </w:t>
      </w:r>
      <w:r>
        <w:rPr>
          <w:w w:val="90"/>
          <w:sz w:val="28"/>
        </w:rPr>
        <w:t>por</w:t>
      </w:r>
      <w:r>
        <w:rPr>
          <w:spacing w:val="-18"/>
          <w:w w:val="90"/>
          <w:sz w:val="28"/>
        </w:rPr>
        <w:t> </w:t>
      </w:r>
      <w:r>
        <w:rPr>
          <w:w w:val="90"/>
          <w:sz w:val="28"/>
        </w:rPr>
        <w:t>el </w:t>
      </w:r>
      <w:r>
        <w:rPr>
          <w:sz w:val="28"/>
        </w:rPr>
        <w:t>que</w:t>
        <w:tab/>
        <w:t>se</w:t>
        <w:tab/>
      </w:r>
      <w:r>
        <w:rPr>
          <w:w w:val="90"/>
          <w:sz w:val="28"/>
        </w:rPr>
        <w:t>incorporan</w:t>
        <w:tab/>
      </w:r>
      <w:r>
        <w:rPr>
          <w:sz w:val="28"/>
        </w:rPr>
        <w:t>al</w:t>
        <w:tab/>
      </w:r>
      <w:r>
        <w:rPr>
          <w:w w:val="90"/>
          <w:sz w:val="28"/>
        </w:rPr>
        <w:t>ordenamiento</w:t>
        <w:tab/>
      </w:r>
      <w:r>
        <w:rPr>
          <w:w w:val="95"/>
          <w:sz w:val="28"/>
        </w:rPr>
        <w:t>jurídico</w:t>
        <w:tab/>
        <w:t>español</w:t>
        <w:tab/>
      </w:r>
      <w:r>
        <w:rPr>
          <w:spacing w:val="-1"/>
          <w:w w:val="85"/>
          <w:sz w:val="28"/>
        </w:rPr>
        <w:t>diversas </w:t>
      </w:r>
      <w:r>
        <w:rPr>
          <w:w w:val="90"/>
          <w:sz w:val="28"/>
        </w:rPr>
        <w:t>directivas</w:t>
      </w:r>
      <w:r>
        <w:rPr>
          <w:spacing w:val="-22"/>
          <w:w w:val="90"/>
          <w:sz w:val="28"/>
        </w:rPr>
        <w:t> </w:t>
      </w:r>
      <w:r>
        <w:rPr>
          <w:w w:val="90"/>
          <w:sz w:val="28"/>
        </w:rPr>
        <w:t>de</w:t>
      </w:r>
      <w:r>
        <w:rPr>
          <w:spacing w:val="-21"/>
          <w:w w:val="90"/>
          <w:sz w:val="28"/>
        </w:rPr>
        <w:t> </w:t>
      </w:r>
      <w:r>
        <w:rPr>
          <w:w w:val="90"/>
          <w:sz w:val="28"/>
        </w:rPr>
        <w:t>la</w:t>
      </w:r>
      <w:r>
        <w:rPr>
          <w:spacing w:val="-21"/>
          <w:w w:val="90"/>
          <w:sz w:val="28"/>
        </w:rPr>
        <w:t> </w:t>
      </w:r>
      <w:r>
        <w:rPr>
          <w:w w:val="90"/>
          <w:sz w:val="28"/>
        </w:rPr>
        <w:t>Unión</w:t>
      </w:r>
      <w:r>
        <w:rPr>
          <w:spacing w:val="-22"/>
          <w:w w:val="90"/>
          <w:sz w:val="28"/>
        </w:rPr>
        <w:t> </w:t>
      </w:r>
      <w:r>
        <w:rPr>
          <w:w w:val="90"/>
          <w:sz w:val="28"/>
        </w:rPr>
        <w:t>Europea</w:t>
      </w:r>
      <w:r>
        <w:rPr>
          <w:spacing w:val="-21"/>
          <w:w w:val="90"/>
          <w:sz w:val="28"/>
        </w:rPr>
        <w:t> </w:t>
      </w:r>
      <w:r>
        <w:rPr>
          <w:w w:val="90"/>
          <w:sz w:val="28"/>
        </w:rPr>
        <w:t>en</w:t>
      </w:r>
      <w:r>
        <w:rPr>
          <w:spacing w:val="-21"/>
          <w:w w:val="90"/>
          <w:sz w:val="28"/>
        </w:rPr>
        <w:t> </w:t>
      </w:r>
      <w:r>
        <w:rPr>
          <w:w w:val="90"/>
          <w:sz w:val="28"/>
        </w:rPr>
        <w:t>el</w:t>
      </w:r>
      <w:r>
        <w:rPr>
          <w:spacing w:val="-21"/>
          <w:w w:val="90"/>
          <w:sz w:val="28"/>
        </w:rPr>
        <w:t> </w:t>
      </w:r>
      <w:r>
        <w:rPr>
          <w:w w:val="90"/>
          <w:sz w:val="28"/>
        </w:rPr>
        <w:t>ámbito</w:t>
      </w:r>
      <w:r>
        <w:rPr>
          <w:spacing w:val="-22"/>
          <w:w w:val="90"/>
          <w:sz w:val="28"/>
        </w:rPr>
        <w:t> </w:t>
      </w:r>
      <w:r>
        <w:rPr>
          <w:w w:val="90"/>
          <w:sz w:val="28"/>
        </w:rPr>
        <w:t>de</w:t>
      </w:r>
      <w:r>
        <w:rPr>
          <w:spacing w:val="-21"/>
          <w:w w:val="90"/>
          <w:sz w:val="28"/>
        </w:rPr>
        <w:t> </w:t>
      </w:r>
      <w:r>
        <w:rPr>
          <w:w w:val="90"/>
          <w:sz w:val="28"/>
        </w:rPr>
        <w:t>la</w:t>
      </w:r>
      <w:r>
        <w:rPr>
          <w:spacing w:val="-21"/>
          <w:w w:val="90"/>
          <w:sz w:val="28"/>
        </w:rPr>
        <w:t> </w:t>
      </w:r>
      <w:r>
        <w:rPr>
          <w:w w:val="90"/>
          <w:sz w:val="28"/>
        </w:rPr>
        <w:t>contratación</w:t>
      </w:r>
      <w:r>
        <w:rPr>
          <w:spacing w:val="-21"/>
          <w:w w:val="90"/>
          <w:sz w:val="28"/>
        </w:rPr>
        <w:t> </w:t>
      </w:r>
      <w:r>
        <w:rPr>
          <w:w w:val="90"/>
          <w:sz w:val="28"/>
        </w:rPr>
        <w:t>pública en determinados sectores; de seguros privados; de planes y fondos </w:t>
      </w:r>
      <w:r>
        <w:rPr>
          <w:sz w:val="28"/>
        </w:rPr>
        <w:t>de</w:t>
      </w:r>
      <w:r>
        <w:rPr>
          <w:spacing w:val="-50"/>
          <w:sz w:val="28"/>
        </w:rPr>
        <w:t> </w:t>
      </w:r>
      <w:r>
        <w:rPr>
          <w:sz w:val="28"/>
        </w:rPr>
        <w:t>pensiones;</w:t>
      </w:r>
      <w:r>
        <w:rPr>
          <w:spacing w:val="-50"/>
          <w:sz w:val="28"/>
        </w:rPr>
        <w:t> </w:t>
      </w:r>
      <w:r>
        <w:rPr>
          <w:sz w:val="28"/>
        </w:rPr>
        <w:t>del</w:t>
      </w:r>
      <w:r>
        <w:rPr>
          <w:spacing w:val="-50"/>
          <w:sz w:val="28"/>
        </w:rPr>
        <w:t> </w:t>
      </w:r>
      <w:r>
        <w:rPr>
          <w:sz w:val="28"/>
        </w:rPr>
        <w:t>ámbito</w:t>
      </w:r>
      <w:r>
        <w:rPr>
          <w:spacing w:val="-49"/>
          <w:sz w:val="28"/>
        </w:rPr>
        <w:t> </w:t>
      </w:r>
      <w:r>
        <w:rPr>
          <w:sz w:val="28"/>
        </w:rPr>
        <w:t>tributario</w:t>
      </w:r>
      <w:r>
        <w:rPr>
          <w:spacing w:val="-50"/>
          <w:sz w:val="28"/>
        </w:rPr>
        <w:t> </w:t>
      </w:r>
      <w:r>
        <w:rPr>
          <w:sz w:val="28"/>
        </w:rPr>
        <w:t>y</w:t>
      </w:r>
      <w:r>
        <w:rPr>
          <w:spacing w:val="-50"/>
          <w:sz w:val="28"/>
        </w:rPr>
        <w:t> </w:t>
      </w:r>
      <w:r>
        <w:rPr>
          <w:sz w:val="28"/>
        </w:rPr>
        <w:t>de</w:t>
      </w:r>
      <w:r>
        <w:rPr>
          <w:spacing w:val="-49"/>
          <w:sz w:val="28"/>
        </w:rPr>
        <w:t> </w:t>
      </w:r>
      <w:r>
        <w:rPr>
          <w:sz w:val="28"/>
        </w:rPr>
        <w:t>litigios</w:t>
      </w:r>
      <w:r>
        <w:rPr>
          <w:spacing w:val="-50"/>
          <w:sz w:val="28"/>
        </w:rPr>
        <w:t> </w:t>
      </w:r>
      <w:r>
        <w:rPr>
          <w:sz w:val="28"/>
        </w:rPr>
        <w:t>fiscales.</w:t>
      </w:r>
    </w:p>
    <w:p>
      <w:pPr>
        <w:pStyle w:val="BodyText"/>
        <w:spacing w:before="0"/>
        <w:ind w:left="0" w:firstLine="0"/>
        <w:jc w:val="left"/>
      </w:pPr>
    </w:p>
    <w:p>
      <w:pPr>
        <w:pStyle w:val="BodyText"/>
        <w:ind w:left="0" w:firstLine="0"/>
        <w:jc w:val="left"/>
        <w:rPr>
          <w:sz w:val="17"/>
        </w:rPr>
      </w:pPr>
      <w:r>
        <w:rPr/>
        <w:pict>
          <v:line style="position:absolute;mso-position-horizontal-relative:page;mso-position-vertical-relative:paragraph;z-index:-251657216;mso-wrap-distance-left:0;mso-wrap-distance-right:0" from="266.59845pt,12.107904pt" to="328.677220pt,12.107904pt" stroked="true" strokeweight=".5pt" strokecolor="#004479">
            <v:stroke dashstyle="solid"/>
            <w10:wrap type="topAndBottom"/>
          </v:line>
        </w:pict>
      </w:r>
    </w:p>
    <w:p>
      <w:pPr>
        <w:pStyle w:val="BodyText"/>
        <w:spacing w:before="4"/>
        <w:ind w:left="0" w:firstLine="0"/>
        <w:jc w:val="left"/>
        <w:rPr>
          <w:sz w:val="10"/>
        </w:rPr>
      </w:pPr>
    </w:p>
    <w:p>
      <w:pPr>
        <w:pStyle w:val="BodyText"/>
        <w:spacing w:before="126"/>
        <w:ind w:left="2929" w:right="3127" w:firstLine="0"/>
        <w:jc w:val="center"/>
      </w:pPr>
      <w:r>
        <w:rPr>
          <w:color w:val="004479"/>
        </w:rPr>
        <w:t>Jefatura del Estado</w:t>
      </w:r>
    </w:p>
    <w:p>
      <w:pPr>
        <w:pStyle w:val="BodyText"/>
        <w:spacing w:line="249" w:lineRule="auto" w:before="10"/>
        <w:ind w:left="2929" w:right="3127" w:firstLine="0"/>
        <w:jc w:val="center"/>
      </w:pPr>
      <w:r>
        <w:rPr>
          <w:color w:val="004479"/>
        </w:rPr>
        <w:t>«BOE» núm. 31, de 5 de febrero de 2020 Referencia: BOE-A-2020-1651</w:t>
      </w:r>
    </w:p>
    <w:p>
      <w:pPr>
        <w:pStyle w:val="BodyText"/>
        <w:spacing w:before="5"/>
        <w:ind w:left="0" w:firstLine="0"/>
        <w:jc w:val="left"/>
        <w:rPr>
          <w:sz w:val="22"/>
        </w:rPr>
      </w:pPr>
      <w:r>
        <w:rPr/>
        <w:pict>
          <v:line style="position:absolute;mso-position-horizontal-relative:page;mso-position-vertical-relative:paragraph;z-index:-251656192;mso-wrap-distance-left:0;mso-wrap-distance-right:0" from="266.59845pt,15.141376pt" to="328.677220pt,15.141376pt" stroked="true" strokeweight=".5pt" strokecolor="#004479">
            <v:stroke dashstyle="solid"/>
            <w10:wrap type="topAndBottom"/>
          </v:line>
        </w:pict>
      </w:r>
    </w:p>
    <w:p>
      <w:pPr>
        <w:pStyle w:val="BodyText"/>
        <w:spacing w:before="7"/>
        <w:ind w:left="0" w:firstLine="0"/>
        <w:jc w:val="left"/>
        <w:rPr>
          <w:sz w:val="29"/>
        </w:rPr>
      </w:pPr>
    </w:p>
    <w:p>
      <w:pPr>
        <w:spacing w:before="137"/>
        <w:ind w:left="2930" w:right="3127" w:firstLine="0"/>
        <w:jc w:val="center"/>
        <w:rPr>
          <w:sz w:val="28"/>
        </w:rPr>
      </w:pPr>
      <w:r>
        <w:rPr>
          <w:color w:val="004479"/>
          <w:sz w:val="28"/>
        </w:rPr>
        <w:t>ÍNDICE</w:t>
      </w:r>
    </w:p>
    <w:p>
      <w:pPr>
        <w:pStyle w:val="BodyText"/>
        <w:spacing w:before="0"/>
        <w:ind w:left="0" w:firstLine="0"/>
        <w:jc w:val="left"/>
      </w:pPr>
    </w:p>
    <w:p>
      <w:pPr>
        <w:pStyle w:val="BodyText"/>
        <w:spacing w:before="0"/>
        <w:ind w:left="0" w:firstLine="0"/>
        <w:jc w:val="left"/>
      </w:pPr>
    </w:p>
    <w:p>
      <w:pPr>
        <w:pStyle w:val="BodyText"/>
        <w:spacing w:before="0"/>
        <w:ind w:left="0" w:firstLine="0"/>
        <w:jc w:val="left"/>
      </w:pPr>
    </w:p>
    <w:p>
      <w:pPr>
        <w:pStyle w:val="BodyText"/>
        <w:spacing w:before="11"/>
        <w:ind w:left="0" w:firstLine="0"/>
        <w:jc w:val="left"/>
        <w:rPr>
          <w:sz w:val="24"/>
        </w:rPr>
      </w:pPr>
    </w:p>
    <w:tbl>
      <w:tblPr>
        <w:tblW w:w="0" w:type="auto"/>
        <w:jc w:val="left"/>
        <w:tblInd w:w="7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67"/>
        <w:gridCol w:w="544"/>
      </w:tblGrid>
      <w:tr>
        <w:trPr>
          <w:trHeight w:val="368" w:hRule="atLeast"/>
        </w:trPr>
        <w:tc>
          <w:tcPr>
            <w:tcW w:w="9267" w:type="dxa"/>
          </w:tcPr>
          <w:p>
            <w:pPr>
              <w:pStyle w:val="TableParagraph"/>
              <w:spacing w:before="28"/>
              <w:ind w:right="147"/>
              <w:jc w:val="right"/>
              <w:rPr>
                <w:i/>
                <w:sz w:val="18"/>
              </w:rPr>
            </w:pPr>
            <w:hyperlink w:history="true" w:anchor="_bookmark0">
              <w:r>
                <w:rPr>
                  <w:i/>
                  <w:sz w:val="18"/>
                </w:rPr>
                <w:t>Preámbulo . . . . . . . . . . . . . . . . . . . . . . . . . . . . . . . . . . . . . . . . . . . . . . . . . . . . . . . . . . . . . . . . </w:t>
              </w:r>
            </w:hyperlink>
          </w:p>
        </w:tc>
        <w:tc>
          <w:tcPr>
            <w:tcW w:w="544" w:type="dxa"/>
          </w:tcPr>
          <w:p>
            <w:pPr>
              <w:pStyle w:val="TableParagraph"/>
              <w:spacing w:before="37"/>
              <w:ind w:right="198"/>
              <w:jc w:val="right"/>
              <w:rPr>
                <w:sz w:val="17"/>
              </w:rPr>
            </w:pPr>
            <w:hyperlink w:history="true" w:anchor="_bookmark0">
              <w:r>
                <w:rPr>
                  <w:w w:val="102"/>
                  <w:sz w:val="17"/>
                </w:rPr>
                <w:t>6</w:t>
              </w:r>
            </w:hyperlink>
          </w:p>
        </w:tc>
      </w:tr>
      <w:tr>
        <w:trPr>
          <w:trHeight w:val="1181" w:hRule="atLeast"/>
        </w:trPr>
        <w:tc>
          <w:tcPr>
            <w:tcW w:w="9267" w:type="dxa"/>
          </w:tcPr>
          <w:p>
            <w:pPr>
              <w:pStyle w:val="TableParagraph"/>
              <w:spacing w:line="295" w:lineRule="auto" w:before="149"/>
              <w:ind w:left="399" w:right="148" w:hanging="200"/>
              <w:jc w:val="both"/>
              <w:rPr>
                <w:sz w:val="17"/>
              </w:rPr>
            </w:pPr>
            <w:hyperlink w:history="true" w:anchor="_bookmark1">
              <w:r>
                <w:rPr>
                  <w:w w:val="105"/>
                  <w:sz w:val="17"/>
                </w:rPr>
                <w:t>LIBRO PRIMERO. Transposición de la Directiva 2014/25/UE del Parlamento Europeo y del Consejo, de 26 de</w:t>
              </w:r>
            </w:hyperlink>
            <w:r>
              <w:rPr>
                <w:w w:val="105"/>
                <w:sz w:val="17"/>
              </w:rPr>
              <w:t> </w:t>
            </w:r>
            <w:hyperlink w:history="true" w:anchor="_bookmark1">
              <w:r>
                <w:rPr>
                  <w:w w:val="105"/>
                  <w:sz w:val="17"/>
                </w:rPr>
                <w:t>febrero de 2014, relativa a la contratación por entidades que operan en los sectores del agua, la energía, los</w:t>
              </w:r>
            </w:hyperlink>
            <w:r>
              <w:rPr>
                <w:w w:val="105"/>
                <w:sz w:val="17"/>
              </w:rPr>
              <w:t> </w:t>
            </w:r>
            <w:hyperlink w:history="true" w:anchor="_bookmark1">
              <w:r>
                <w:rPr>
                  <w:w w:val="105"/>
                  <w:sz w:val="17"/>
                </w:rPr>
                <w:t>transportes y los servicios postales, y la Directiva 2014/23/UE, del Parlamento Europeo y del Consejo, de 26</w:t>
              </w:r>
            </w:hyperlink>
            <w:r>
              <w:rPr>
                <w:w w:val="105"/>
                <w:sz w:val="17"/>
              </w:rPr>
              <w:t> </w:t>
            </w:r>
            <w:hyperlink w:history="true" w:anchor="_bookmark1">
              <w:r>
                <w:rPr>
                  <w:w w:val="105"/>
                  <w:sz w:val="17"/>
                </w:rPr>
                <w:t>de febrero de 2014, relativa a la adjudicación de contratos de concesión. . . . . . . . . . . . . . . . . . . . . . . . . .</w:t>
              </w:r>
              <w:r>
                <w:rPr>
                  <w:sz w:val="17"/>
                </w:rPr>
                <w:t>  </w:t>
              </w:r>
            </w:hyperlink>
          </w:p>
        </w:tc>
        <w:tc>
          <w:tcPr>
            <w:tcW w:w="544" w:type="dxa"/>
          </w:tcPr>
          <w:p>
            <w:pPr>
              <w:pStyle w:val="TableParagraph"/>
              <w:rPr>
                <w:sz w:val="22"/>
              </w:rPr>
            </w:pPr>
          </w:p>
          <w:p>
            <w:pPr>
              <w:pStyle w:val="TableParagraph"/>
              <w:rPr>
                <w:sz w:val="22"/>
              </w:rPr>
            </w:pPr>
          </w:p>
          <w:p>
            <w:pPr>
              <w:pStyle w:val="TableParagraph"/>
              <w:rPr>
                <w:sz w:val="32"/>
              </w:rPr>
            </w:pPr>
          </w:p>
          <w:p>
            <w:pPr>
              <w:pStyle w:val="TableParagraph"/>
              <w:ind w:right="198"/>
              <w:jc w:val="right"/>
              <w:rPr>
                <w:sz w:val="17"/>
              </w:rPr>
            </w:pPr>
            <w:hyperlink w:history="true" w:anchor="_bookmark1">
              <w:r>
                <w:rPr>
                  <w:sz w:val="17"/>
                </w:rPr>
                <w:t>27</w:t>
              </w:r>
            </w:hyperlink>
          </w:p>
        </w:tc>
      </w:tr>
      <w:tr>
        <w:trPr>
          <w:trHeight w:val="440" w:hRule="atLeast"/>
        </w:trPr>
        <w:tc>
          <w:tcPr>
            <w:tcW w:w="9267" w:type="dxa"/>
          </w:tcPr>
          <w:p>
            <w:pPr>
              <w:pStyle w:val="TableParagraph"/>
              <w:spacing w:before="128"/>
              <w:ind w:right="148"/>
              <w:jc w:val="right"/>
              <w:rPr>
                <w:sz w:val="17"/>
              </w:rPr>
            </w:pPr>
            <w:hyperlink w:history="true" w:anchor="_bookmark2">
              <w:r>
                <w:rPr>
                  <w:w w:val="105"/>
                  <w:sz w:val="17"/>
                </w:rPr>
                <w:t>TÍTULO I. Disposiciones generales . . . . . . . . . . . . . .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2">
              <w:r>
                <w:rPr>
                  <w:sz w:val="17"/>
                </w:rPr>
                <w:t>27</w:t>
              </w:r>
            </w:hyperlink>
          </w:p>
        </w:tc>
      </w:tr>
      <w:tr>
        <w:trPr>
          <w:trHeight w:val="440" w:hRule="atLeast"/>
        </w:trPr>
        <w:tc>
          <w:tcPr>
            <w:tcW w:w="9267" w:type="dxa"/>
          </w:tcPr>
          <w:p>
            <w:pPr>
              <w:pStyle w:val="TableParagraph"/>
              <w:spacing w:before="128"/>
              <w:ind w:right="148"/>
              <w:jc w:val="right"/>
              <w:rPr>
                <w:sz w:val="17"/>
              </w:rPr>
            </w:pPr>
            <w:hyperlink w:history="true" w:anchor="_bookmark3">
              <w:r>
                <w:rPr>
                  <w:w w:val="105"/>
                  <w:sz w:val="17"/>
                </w:rPr>
                <w:t>CAPÍTULO</w:t>
              </w:r>
              <w:r>
                <w:rPr>
                  <w:spacing w:val="-4"/>
                  <w:w w:val="105"/>
                  <w:sz w:val="17"/>
                </w:rPr>
                <w:t> </w:t>
              </w:r>
              <w:r>
                <w:rPr>
                  <w:w w:val="105"/>
                  <w:sz w:val="17"/>
                </w:rPr>
                <w:t>I.</w:t>
              </w:r>
              <w:r>
                <w:rPr>
                  <w:spacing w:val="-4"/>
                  <w:w w:val="105"/>
                  <w:sz w:val="17"/>
                </w:rPr>
                <w:t> </w:t>
              </w:r>
              <w:r>
                <w:rPr>
                  <w:w w:val="105"/>
                  <w:sz w:val="17"/>
                </w:rPr>
                <w:t>Objeto</w:t>
              </w:r>
              <w:r>
                <w:rPr>
                  <w:spacing w:val="-3"/>
                  <w:w w:val="105"/>
                  <w:sz w:val="17"/>
                </w:rPr>
                <w:t> </w:t>
              </w:r>
              <w:r>
                <w:rPr>
                  <w:w w:val="105"/>
                  <w:sz w:val="17"/>
                </w:rPr>
                <w:t>y</w:t>
              </w:r>
              <w:r>
                <w:rPr>
                  <w:spacing w:val="-4"/>
                  <w:w w:val="105"/>
                  <w:sz w:val="17"/>
                </w:rPr>
                <w:t> </w:t>
              </w:r>
              <w:r>
                <w:rPr>
                  <w:w w:val="105"/>
                  <w:sz w:val="17"/>
                </w:rPr>
                <w:t>definiciones</w:t>
              </w:r>
              <w:r>
                <w:rPr>
                  <w:spacing w:val="-29"/>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w w:val="105"/>
                  <w:sz w:val="17"/>
                </w:rPr>
                <w:t>.</w:t>
              </w:r>
              <w:r>
                <w:rPr>
                  <w:sz w:val="17"/>
                </w:rPr>
                <w:t> </w:t>
              </w:r>
              <w:r>
                <w:rPr>
                  <w:spacing w:val="-24"/>
                  <w:sz w:val="17"/>
                </w:rPr>
                <w:t> </w:t>
              </w:r>
            </w:hyperlink>
          </w:p>
        </w:tc>
        <w:tc>
          <w:tcPr>
            <w:tcW w:w="544" w:type="dxa"/>
          </w:tcPr>
          <w:p>
            <w:pPr>
              <w:pStyle w:val="TableParagraph"/>
              <w:spacing w:before="133"/>
              <w:ind w:right="198"/>
              <w:jc w:val="right"/>
              <w:rPr>
                <w:sz w:val="17"/>
              </w:rPr>
            </w:pPr>
            <w:hyperlink w:history="true" w:anchor="_bookmark3">
              <w:r>
                <w:rPr>
                  <w:sz w:val="17"/>
                </w:rPr>
                <w:t>27</w:t>
              </w:r>
            </w:hyperlink>
          </w:p>
        </w:tc>
      </w:tr>
      <w:tr>
        <w:trPr>
          <w:trHeight w:val="440" w:hRule="atLeast"/>
        </w:trPr>
        <w:tc>
          <w:tcPr>
            <w:tcW w:w="9267" w:type="dxa"/>
          </w:tcPr>
          <w:p>
            <w:pPr>
              <w:pStyle w:val="TableParagraph"/>
              <w:spacing w:before="128"/>
              <w:ind w:right="148"/>
              <w:jc w:val="right"/>
              <w:rPr>
                <w:sz w:val="17"/>
              </w:rPr>
            </w:pPr>
            <w:hyperlink w:history="true" w:anchor="_bookmark4">
              <w:r>
                <w:rPr>
                  <w:w w:val="105"/>
                  <w:sz w:val="17"/>
                </w:rPr>
                <w:t>CAPÍTULO II. Ámbito de aplicación subjetiva . . . . . .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4">
              <w:r>
                <w:rPr>
                  <w:sz w:val="17"/>
                </w:rPr>
                <w:t>33</w:t>
              </w:r>
            </w:hyperlink>
          </w:p>
        </w:tc>
      </w:tr>
      <w:tr>
        <w:trPr>
          <w:trHeight w:val="439" w:hRule="atLeast"/>
        </w:trPr>
        <w:tc>
          <w:tcPr>
            <w:tcW w:w="9267" w:type="dxa"/>
          </w:tcPr>
          <w:p>
            <w:pPr>
              <w:pStyle w:val="TableParagraph"/>
              <w:spacing w:before="128"/>
              <w:ind w:right="148"/>
              <w:jc w:val="right"/>
              <w:rPr>
                <w:sz w:val="17"/>
              </w:rPr>
            </w:pPr>
            <w:hyperlink w:history="true" w:anchor="_bookmark5">
              <w:r>
                <w:rPr>
                  <w:w w:val="105"/>
                  <w:sz w:val="17"/>
                </w:rPr>
                <w:t>CAPÍTULO III. Ámbito de aplicación objetiva. . . . . . .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5">
              <w:r>
                <w:rPr>
                  <w:sz w:val="17"/>
                </w:rPr>
                <w:t>34</w:t>
              </w:r>
            </w:hyperlink>
          </w:p>
        </w:tc>
      </w:tr>
      <w:tr>
        <w:trPr>
          <w:trHeight w:val="440" w:hRule="atLeast"/>
        </w:trPr>
        <w:tc>
          <w:tcPr>
            <w:tcW w:w="9267" w:type="dxa"/>
          </w:tcPr>
          <w:p>
            <w:pPr>
              <w:pStyle w:val="TableParagraph"/>
              <w:spacing w:before="128"/>
              <w:ind w:right="148"/>
              <w:jc w:val="right"/>
              <w:rPr>
                <w:sz w:val="17"/>
              </w:rPr>
            </w:pPr>
            <w:hyperlink w:history="true" w:anchor="_bookmark6">
              <w:r>
                <w:rPr>
                  <w:w w:val="105"/>
                  <w:sz w:val="17"/>
                </w:rPr>
                <w:t>Sección 1.ª De las actividades reguladas . . . . . . .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6">
              <w:r>
                <w:rPr>
                  <w:sz w:val="17"/>
                </w:rPr>
                <w:t>34</w:t>
              </w:r>
            </w:hyperlink>
          </w:p>
        </w:tc>
      </w:tr>
      <w:tr>
        <w:trPr>
          <w:trHeight w:val="440" w:hRule="atLeast"/>
        </w:trPr>
        <w:tc>
          <w:tcPr>
            <w:tcW w:w="9267" w:type="dxa"/>
          </w:tcPr>
          <w:p>
            <w:pPr>
              <w:pStyle w:val="TableParagraph"/>
              <w:spacing w:before="128"/>
              <w:ind w:right="147"/>
              <w:jc w:val="right"/>
              <w:rPr>
                <w:sz w:val="17"/>
              </w:rPr>
            </w:pPr>
            <w:hyperlink w:history="true" w:anchor="_bookmark7">
              <w:r>
                <w:rPr>
                  <w:w w:val="105"/>
                  <w:sz w:val="17"/>
                </w:rPr>
                <w:t>Sección 2.ª Exclusiones . . . . . . . . . . . . . . . . . .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7">
              <w:r>
                <w:rPr>
                  <w:sz w:val="17"/>
                </w:rPr>
                <w:t>37</w:t>
              </w:r>
            </w:hyperlink>
          </w:p>
        </w:tc>
      </w:tr>
      <w:tr>
        <w:trPr>
          <w:trHeight w:val="440" w:hRule="atLeast"/>
        </w:trPr>
        <w:tc>
          <w:tcPr>
            <w:tcW w:w="9267" w:type="dxa"/>
          </w:tcPr>
          <w:p>
            <w:pPr>
              <w:pStyle w:val="TableParagraph"/>
              <w:spacing w:before="128"/>
              <w:ind w:right="149"/>
              <w:jc w:val="right"/>
              <w:rPr>
                <w:sz w:val="17"/>
              </w:rPr>
            </w:pPr>
            <w:hyperlink w:history="true" w:anchor="_bookmark8">
              <w:r>
                <w:rPr>
                  <w:w w:val="105"/>
                  <w:sz w:val="17"/>
                </w:rPr>
                <w:t>Subsección 1.ª Exclusión de actividades sometidas directamente a la competencia . . . . . . . . . . . . . . .</w:t>
              </w:r>
              <w:r>
                <w:rPr>
                  <w:sz w:val="17"/>
                </w:rPr>
                <w:t>  </w:t>
              </w:r>
            </w:hyperlink>
          </w:p>
        </w:tc>
        <w:tc>
          <w:tcPr>
            <w:tcW w:w="544" w:type="dxa"/>
          </w:tcPr>
          <w:p>
            <w:pPr>
              <w:pStyle w:val="TableParagraph"/>
              <w:spacing w:before="133"/>
              <w:ind w:right="198"/>
              <w:jc w:val="right"/>
              <w:rPr>
                <w:sz w:val="17"/>
              </w:rPr>
            </w:pPr>
            <w:hyperlink w:history="true" w:anchor="_bookmark8">
              <w:r>
                <w:rPr>
                  <w:sz w:val="17"/>
                </w:rPr>
                <w:t>37</w:t>
              </w:r>
            </w:hyperlink>
          </w:p>
        </w:tc>
      </w:tr>
      <w:tr>
        <w:trPr>
          <w:trHeight w:val="440" w:hRule="atLeast"/>
        </w:trPr>
        <w:tc>
          <w:tcPr>
            <w:tcW w:w="9267" w:type="dxa"/>
          </w:tcPr>
          <w:p>
            <w:pPr>
              <w:pStyle w:val="TableParagraph"/>
              <w:spacing w:before="128"/>
              <w:ind w:right="148"/>
              <w:jc w:val="right"/>
              <w:rPr>
                <w:sz w:val="17"/>
              </w:rPr>
            </w:pPr>
            <w:hyperlink w:history="true" w:anchor="_bookmark9">
              <w:r>
                <w:rPr>
                  <w:w w:val="105"/>
                  <w:sz w:val="17"/>
                </w:rPr>
                <w:t>Subsección 2.ª Contratos excluidos . . . . . . . . .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9">
              <w:r>
                <w:rPr>
                  <w:sz w:val="17"/>
                </w:rPr>
                <w:t>38</w:t>
              </w:r>
            </w:hyperlink>
          </w:p>
        </w:tc>
      </w:tr>
      <w:tr>
        <w:trPr>
          <w:trHeight w:val="440" w:hRule="atLeast"/>
        </w:trPr>
        <w:tc>
          <w:tcPr>
            <w:tcW w:w="9267" w:type="dxa"/>
          </w:tcPr>
          <w:p>
            <w:pPr>
              <w:pStyle w:val="TableParagraph"/>
              <w:spacing w:before="128"/>
              <w:ind w:right="148"/>
              <w:jc w:val="right"/>
              <w:rPr>
                <w:sz w:val="17"/>
              </w:rPr>
            </w:pPr>
            <w:hyperlink w:history="true" w:anchor="_bookmark10">
              <w:r>
                <w:rPr>
                  <w:w w:val="105"/>
                  <w:sz w:val="17"/>
                </w:rPr>
                <w:t>Subsección 3.ª Sistemas de cooperación pública excluidos . . . . . . . . . . . . . . . . . . . . . . . . . . . . . . .</w:t>
              </w:r>
              <w:r>
                <w:rPr>
                  <w:sz w:val="17"/>
                </w:rPr>
                <w:t>  </w:t>
              </w:r>
            </w:hyperlink>
          </w:p>
        </w:tc>
        <w:tc>
          <w:tcPr>
            <w:tcW w:w="544" w:type="dxa"/>
          </w:tcPr>
          <w:p>
            <w:pPr>
              <w:pStyle w:val="TableParagraph"/>
              <w:spacing w:before="133"/>
              <w:ind w:right="198"/>
              <w:jc w:val="right"/>
              <w:rPr>
                <w:sz w:val="17"/>
              </w:rPr>
            </w:pPr>
            <w:hyperlink w:history="true" w:anchor="_bookmark10">
              <w:r>
                <w:rPr>
                  <w:sz w:val="17"/>
                </w:rPr>
                <w:t>43</w:t>
              </w:r>
            </w:hyperlink>
          </w:p>
        </w:tc>
      </w:tr>
      <w:tr>
        <w:trPr>
          <w:trHeight w:val="440" w:hRule="atLeast"/>
        </w:trPr>
        <w:tc>
          <w:tcPr>
            <w:tcW w:w="9267" w:type="dxa"/>
          </w:tcPr>
          <w:p>
            <w:pPr>
              <w:pStyle w:val="TableParagraph"/>
              <w:spacing w:before="128"/>
              <w:ind w:right="148"/>
              <w:jc w:val="right"/>
              <w:rPr>
                <w:sz w:val="17"/>
              </w:rPr>
            </w:pPr>
            <w:hyperlink w:history="true" w:anchor="_bookmark11">
              <w:r>
                <w:rPr>
                  <w:w w:val="105"/>
                  <w:sz w:val="17"/>
                </w:rPr>
                <w:t>CAPÍTULO IV. Principios de contratación y confidencialidad. . . . . . . . . . . . . . . . . . . . . . . . . . . . . . . . . .</w:t>
              </w:r>
              <w:r>
                <w:rPr>
                  <w:sz w:val="17"/>
                </w:rPr>
                <w:t>  </w:t>
              </w:r>
            </w:hyperlink>
          </w:p>
        </w:tc>
        <w:tc>
          <w:tcPr>
            <w:tcW w:w="544" w:type="dxa"/>
          </w:tcPr>
          <w:p>
            <w:pPr>
              <w:pStyle w:val="TableParagraph"/>
              <w:spacing w:before="133"/>
              <w:ind w:right="198"/>
              <w:jc w:val="right"/>
              <w:rPr>
                <w:sz w:val="17"/>
              </w:rPr>
            </w:pPr>
            <w:hyperlink w:history="true" w:anchor="_bookmark11">
              <w:r>
                <w:rPr>
                  <w:sz w:val="17"/>
                </w:rPr>
                <w:t>43</w:t>
              </w:r>
            </w:hyperlink>
          </w:p>
        </w:tc>
      </w:tr>
      <w:tr>
        <w:trPr>
          <w:trHeight w:val="440" w:hRule="atLeast"/>
        </w:trPr>
        <w:tc>
          <w:tcPr>
            <w:tcW w:w="9267" w:type="dxa"/>
          </w:tcPr>
          <w:p>
            <w:pPr>
              <w:pStyle w:val="TableParagraph"/>
              <w:spacing w:before="128"/>
              <w:ind w:right="148"/>
              <w:jc w:val="right"/>
              <w:rPr>
                <w:sz w:val="17"/>
              </w:rPr>
            </w:pPr>
            <w:hyperlink w:history="true" w:anchor="_bookmark12">
              <w:r>
                <w:rPr>
                  <w:w w:val="105"/>
                  <w:sz w:val="17"/>
                </w:rPr>
                <w:t>TÍTULO II. Capacidad y clasificación de los operadores económicos . . . . . . . . . . . . . . . . . . . . . . . . . . . . . .</w:t>
              </w:r>
              <w:r>
                <w:rPr>
                  <w:sz w:val="17"/>
                </w:rPr>
                <w:t>  </w:t>
              </w:r>
            </w:hyperlink>
          </w:p>
        </w:tc>
        <w:tc>
          <w:tcPr>
            <w:tcW w:w="544" w:type="dxa"/>
          </w:tcPr>
          <w:p>
            <w:pPr>
              <w:pStyle w:val="TableParagraph"/>
              <w:spacing w:before="133"/>
              <w:ind w:right="198"/>
              <w:jc w:val="right"/>
              <w:rPr>
                <w:sz w:val="17"/>
              </w:rPr>
            </w:pPr>
            <w:hyperlink w:history="true" w:anchor="_bookmark12">
              <w:r>
                <w:rPr>
                  <w:sz w:val="17"/>
                </w:rPr>
                <w:t>45</w:t>
              </w:r>
            </w:hyperlink>
          </w:p>
        </w:tc>
      </w:tr>
      <w:tr>
        <w:trPr>
          <w:trHeight w:val="440" w:hRule="atLeast"/>
        </w:trPr>
        <w:tc>
          <w:tcPr>
            <w:tcW w:w="9267" w:type="dxa"/>
          </w:tcPr>
          <w:p>
            <w:pPr>
              <w:pStyle w:val="TableParagraph"/>
              <w:spacing w:before="128"/>
              <w:ind w:right="148"/>
              <w:jc w:val="right"/>
              <w:rPr>
                <w:sz w:val="17"/>
              </w:rPr>
            </w:pPr>
            <w:hyperlink w:history="true" w:anchor="_bookmark13">
              <w:r>
                <w:rPr>
                  <w:w w:val="105"/>
                  <w:sz w:val="17"/>
                </w:rPr>
                <w:t>CAPÍTULO I. Capacidad y solvencia de los licitadores . . . . . . . . . . . . . . . . . . . . . . . . . . . . . . . . . . . . .</w:t>
              </w:r>
              <w:r>
                <w:rPr>
                  <w:sz w:val="17"/>
                </w:rPr>
                <w:t>  </w:t>
              </w:r>
            </w:hyperlink>
          </w:p>
        </w:tc>
        <w:tc>
          <w:tcPr>
            <w:tcW w:w="544" w:type="dxa"/>
          </w:tcPr>
          <w:p>
            <w:pPr>
              <w:pStyle w:val="TableParagraph"/>
              <w:spacing w:before="133"/>
              <w:ind w:right="198"/>
              <w:jc w:val="right"/>
              <w:rPr>
                <w:sz w:val="17"/>
              </w:rPr>
            </w:pPr>
            <w:hyperlink w:history="true" w:anchor="_bookmark13">
              <w:r>
                <w:rPr>
                  <w:sz w:val="17"/>
                </w:rPr>
                <w:t>45</w:t>
              </w:r>
            </w:hyperlink>
          </w:p>
        </w:tc>
      </w:tr>
      <w:tr>
        <w:trPr>
          <w:trHeight w:val="339" w:hRule="atLeast"/>
        </w:trPr>
        <w:tc>
          <w:tcPr>
            <w:tcW w:w="9267" w:type="dxa"/>
          </w:tcPr>
          <w:p>
            <w:pPr>
              <w:pStyle w:val="TableParagraph"/>
              <w:spacing w:line="192" w:lineRule="exact" w:before="128"/>
              <w:ind w:right="148"/>
              <w:jc w:val="right"/>
              <w:rPr>
                <w:sz w:val="17"/>
              </w:rPr>
            </w:pPr>
            <w:hyperlink w:history="true" w:anchor="_bookmark14">
              <w:r>
                <w:rPr>
                  <w:w w:val="105"/>
                  <w:sz w:val="17"/>
                </w:rPr>
                <w:t>CAPÍTULO II. Clasificación de las empresas. . . . . . . . . . . . . . . . . . . . . . . . . . . . . . . . . . . . . . . . . . . .</w:t>
              </w:r>
              <w:r>
                <w:rPr>
                  <w:sz w:val="17"/>
                </w:rPr>
                <w:t>  </w:t>
              </w:r>
            </w:hyperlink>
          </w:p>
        </w:tc>
        <w:tc>
          <w:tcPr>
            <w:tcW w:w="544" w:type="dxa"/>
          </w:tcPr>
          <w:p>
            <w:pPr>
              <w:pStyle w:val="TableParagraph"/>
              <w:spacing w:line="187" w:lineRule="exact" w:before="133"/>
              <w:ind w:right="198"/>
              <w:jc w:val="right"/>
              <w:rPr>
                <w:sz w:val="17"/>
              </w:rPr>
            </w:pPr>
            <w:hyperlink w:history="true" w:anchor="_bookmark14">
              <w:r>
                <w:rPr>
                  <w:sz w:val="17"/>
                </w:rPr>
                <w:t>46</w:t>
              </w:r>
            </w:hyperlink>
          </w:p>
        </w:tc>
      </w:tr>
    </w:tbl>
    <w:p>
      <w:pPr>
        <w:spacing w:after="0" w:line="187" w:lineRule="exact"/>
        <w:jc w:val="right"/>
        <w:rPr>
          <w:sz w:val="17"/>
        </w:rPr>
        <w:sectPr>
          <w:footerReference w:type="default" r:id="rId5"/>
          <w:type w:val="continuous"/>
          <w:pgSz w:w="11910" w:h="16840"/>
          <w:pgMar w:footer="570" w:top="560" w:bottom="760" w:left="740" w:right="540"/>
          <w:pgNumType w:start="1"/>
        </w:sectPr>
      </w:pPr>
    </w:p>
    <w:p>
      <w:pPr>
        <w:pStyle w:val="BodyText"/>
        <w:spacing w:before="0"/>
        <w:ind w:left="0" w:firstLine="0"/>
        <w:jc w:val="left"/>
        <w:rPr>
          <w:rFonts w:ascii="Times New Roman"/>
        </w:rPr>
      </w:pPr>
    </w:p>
    <w:p>
      <w:pPr>
        <w:pStyle w:val="BodyText"/>
        <w:spacing w:before="3"/>
        <w:ind w:left="0" w:firstLine="0"/>
        <w:jc w:val="left"/>
        <w:rPr>
          <w:rFonts w:ascii="Times New Roman"/>
        </w:rPr>
      </w:pPr>
    </w:p>
    <w:tbl>
      <w:tblPr>
        <w:tblW w:w="0" w:type="auto"/>
        <w:jc w:val="left"/>
        <w:tblInd w:w="7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18"/>
        <w:gridCol w:w="593"/>
      </w:tblGrid>
      <w:tr>
        <w:trPr>
          <w:trHeight w:val="339" w:hRule="atLeast"/>
        </w:trPr>
        <w:tc>
          <w:tcPr>
            <w:tcW w:w="9218" w:type="dxa"/>
          </w:tcPr>
          <w:p>
            <w:pPr>
              <w:pStyle w:val="TableParagraph"/>
              <w:spacing w:before="27"/>
              <w:ind w:right="99"/>
              <w:jc w:val="right"/>
              <w:rPr>
                <w:sz w:val="17"/>
              </w:rPr>
            </w:pPr>
            <w:hyperlink w:history="true" w:anchor="_bookmark15">
              <w:r>
                <w:rPr>
                  <w:w w:val="105"/>
                  <w:sz w:val="17"/>
                </w:rPr>
                <w:t>TÍTULO III. Preparación y documentación del contrato . . . . . . . . . . . . . . . . . . . . . . . . . . . . . . . . . . . . . . .</w:t>
              </w:r>
              <w:r>
                <w:rPr>
                  <w:sz w:val="17"/>
                </w:rPr>
                <w:t>  </w:t>
              </w:r>
            </w:hyperlink>
          </w:p>
        </w:tc>
        <w:tc>
          <w:tcPr>
            <w:tcW w:w="593" w:type="dxa"/>
          </w:tcPr>
          <w:p>
            <w:pPr>
              <w:pStyle w:val="TableParagraph"/>
              <w:spacing w:before="32"/>
              <w:ind w:right="198"/>
              <w:jc w:val="right"/>
              <w:rPr>
                <w:sz w:val="17"/>
              </w:rPr>
            </w:pPr>
            <w:hyperlink w:history="true" w:anchor="_bookmark15">
              <w:r>
                <w:rPr>
                  <w:sz w:val="17"/>
                </w:rPr>
                <w:t>49</w:t>
              </w:r>
            </w:hyperlink>
          </w:p>
        </w:tc>
      </w:tr>
      <w:tr>
        <w:trPr>
          <w:trHeight w:val="440" w:hRule="atLeast"/>
        </w:trPr>
        <w:tc>
          <w:tcPr>
            <w:tcW w:w="9218" w:type="dxa"/>
          </w:tcPr>
          <w:p>
            <w:pPr>
              <w:pStyle w:val="TableParagraph"/>
              <w:spacing w:before="128"/>
              <w:ind w:right="99"/>
              <w:jc w:val="right"/>
              <w:rPr>
                <w:sz w:val="17"/>
              </w:rPr>
            </w:pPr>
            <w:hyperlink w:history="true" w:anchor="_bookmark16">
              <w:r>
                <w:rPr>
                  <w:w w:val="105"/>
                  <w:sz w:val="17"/>
                </w:rPr>
                <w:t>TÍTULO IV. Procedimientos de adjudicación de los contratos . . . . . . . . . . . . . . . . . . . . . . . . . . . . . . . . . . .</w:t>
              </w:r>
              <w:r>
                <w:rPr>
                  <w:sz w:val="17"/>
                </w:rPr>
                <w:t>  </w:t>
              </w:r>
            </w:hyperlink>
          </w:p>
        </w:tc>
        <w:tc>
          <w:tcPr>
            <w:tcW w:w="593" w:type="dxa"/>
          </w:tcPr>
          <w:p>
            <w:pPr>
              <w:pStyle w:val="TableParagraph"/>
              <w:spacing w:before="133"/>
              <w:ind w:right="198"/>
              <w:jc w:val="right"/>
              <w:rPr>
                <w:sz w:val="17"/>
              </w:rPr>
            </w:pPr>
            <w:hyperlink w:history="true" w:anchor="_bookmark16">
              <w:r>
                <w:rPr>
                  <w:sz w:val="17"/>
                </w:rPr>
                <w:t>55</w:t>
              </w:r>
            </w:hyperlink>
          </w:p>
        </w:tc>
      </w:tr>
      <w:tr>
        <w:trPr>
          <w:trHeight w:val="440" w:hRule="atLeast"/>
        </w:trPr>
        <w:tc>
          <w:tcPr>
            <w:tcW w:w="9218" w:type="dxa"/>
          </w:tcPr>
          <w:p>
            <w:pPr>
              <w:pStyle w:val="TableParagraph"/>
              <w:spacing w:before="128"/>
              <w:ind w:right="99"/>
              <w:jc w:val="right"/>
              <w:rPr>
                <w:sz w:val="17"/>
              </w:rPr>
            </w:pPr>
            <w:hyperlink w:history="true" w:anchor="_bookmark17">
              <w:r>
                <w:rPr>
                  <w:w w:val="105"/>
                  <w:sz w:val="17"/>
                </w:rPr>
                <w:t>CAPÍTULO I. Objeto, contenido mínimo y plazo de duración de los contratos . . . . . . . . . . . . . . . . . . . . . . .</w:t>
              </w:r>
              <w:r>
                <w:rPr>
                  <w:sz w:val="17"/>
                </w:rPr>
                <w:t>  </w:t>
              </w:r>
            </w:hyperlink>
          </w:p>
        </w:tc>
        <w:tc>
          <w:tcPr>
            <w:tcW w:w="593" w:type="dxa"/>
          </w:tcPr>
          <w:p>
            <w:pPr>
              <w:pStyle w:val="TableParagraph"/>
              <w:spacing w:before="133"/>
              <w:ind w:right="198"/>
              <w:jc w:val="right"/>
              <w:rPr>
                <w:sz w:val="17"/>
              </w:rPr>
            </w:pPr>
            <w:hyperlink w:history="true" w:anchor="_bookmark17">
              <w:r>
                <w:rPr>
                  <w:sz w:val="17"/>
                </w:rPr>
                <w:t>55</w:t>
              </w:r>
            </w:hyperlink>
          </w:p>
        </w:tc>
      </w:tr>
      <w:tr>
        <w:trPr>
          <w:trHeight w:val="440" w:hRule="atLeast"/>
        </w:trPr>
        <w:tc>
          <w:tcPr>
            <w:tcW w:w="9218" w:type="dxa"/>
          </w:tcPr>
          <w:p>
            <w:pPr>
              <w:pStyle w:val="TableParagraph"/>
              <w:spacing w:before="128"/>
              <w:ind w:right="99"/>
              <w:jc w:val="right"/>
              <w:rPr>
                <w:sz w:val="17"/>
              </w:rPr>
            </w:pPr>
            <w:hyperlink w:history="true" w:anchor="_bookmark18">
              <w:r>
                <w:rPr>
                  <w:w w:val="105"/>
                  <w:sz w:val="17"/>
                </w:rPr>
                <w:t>CAPÍTULO II. Requisitos de los candidatos y licitadores . . . . . . . . . . . . . . . . . . . . . . . . . . . . . . . . . . . .</w:t>
              </w:r>
              <w:r>
                <w:rPr>
                  <w:sz w:val="17"/>
                </w:rPr>
                <w:t>  </w:t>
              </w:r>
            </w:hyperlink>
          </w:p>
        </w:tc>
        <w:tc>
          <w:tcPr>
            <w:tcW w:w="593" w:type="dxa"/>
          </w:tcPr>
          <w:p>
            <w:pPr>
              <w:pStyle w:val="TableParagraph"/>
              <w:spacing w:before="133"/>
              <w:ind w:right="198"/>
              <w:jc w:val="right"/>
              <w:rPr>
                <w:sz w:val="17"/>
              </w:rPr>
            </w:pPr>
            <w:hyperlink w:history="true" w:anchor="_bookmark18">
              <w:r>
                <w:rPr>
                  <w:sz w:val="17"/>
                </w:rPr>
                <w:t>58</w:t>
              </w:r>
            </w:hyperlink>
          </w:p>
        </w:tc>
      </w:tr>
      <w:tr>
        <w:trPr>
          <w:trHeight w:val="440" w:hRule="atLeast"/>
        </w:trPr>
        <w:tc>
          <w:tcPr>
            <w:tcW w:w="9218" w:type="dxa"/>
          </w:tcPr>
          <w:p>
            <w:pPr>
              <w:pStyle w:val="TableParagraph"/>
              <w:spacing w:before="128"/>
              <w:ind w:right="99"/>
              <w:jc w:val="right"/>
              <w:rPr>
                <w:sz w:val="17"/>
              </w:rPr>
            </w:pPr>
            <w:hyperlink w:history="true" w:anchor="_bookmark19">
              <w:r>
                <w:rPr>
                  <w:w w:val="105"/>
                  <w:sz w:val="17"/>
                </w:rPr>
                <w:t>CAPÍTULO III. Procedimientos de adjudicación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19">
              <w:r>
                <w:rPr>
                  <w:sz w:val="17"/>
                </w:rPr>
                <w:t>61</w:t>
              </w:r>
            </w:hyperlink>
          </w:p>
        </w:tc>
      </w:tr>
      <w:tr>
        <w:trPr>
          <w:trHeight w:val="440" w:hRule="atLeast"/>
        </w:trPr>
        <w:tc>
          <w:tcPr>
            <w:tcW w:w="9218" w:type="dxa"/>
          </w:tcPr>
          <w:p>
            <w:pPr>
              <w:pStyle w:val="TableParagraph"/>
              <w:spacing w:before="128"/>
              <w:ind w:right="99"/>
              <w:jc w:val="right"/>
              <w:rPr>
                <w:sz w:val="17"/>
              </w:rPr>
            </w:pPr>
            <w:hyperlink w:history="true" w:anchor="_bookmark20">
              <w:r>
                <w:rPr>
                  <w:w w:val="105"/>
                  <w:sz w:val="17"/>
                </w:rPr>
                <w:t>Sección 1.ª Normas generales . . . .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0">
              <w:r>
                <w:rPr>
                  <w:sz w:val="17"/>
                </w:rPr>
                <w:t>61</w:t>
              </w:r>
            </w:hyperlink>
          </w:p>
        </w:tc>
      </w:tr>
      <w:tr>
        <w:trPr>
          <w:trHeight w:val="440" w:hRule="atLeast"/>
        </w:trPr>
        <w:tc>
          <w:tcPr>
            <w:tcW w:w="9218" w:type="dxa"/>
          </w:tcPr>
          <w:p>
            <w:pPr>
              <w:pStyle w:val="TableParagraph"/>
              <w:spacing w:before="128"/>
              <w:ind w:right="99"/>
              <w:jc w:val="right"/>
              <w:rPr>
                <w:sz w:val="17"/>
              </w:rPr>
            </w:pPr>
            <w:hyperlink w:history="true" w:anchor="_bookmark21">
              <w:r>
                <w:rPr>
                  <w:w w:val="105"/>
                  <w:sz w:val="17"/>
                </w:rPr>
                <w:t>Sección 2.ª Publicidad de las licitaciones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1">
              <w:r>
                <w:rPr>
                  <w:sz w:val="17"/>
                </w:rPr>
                <w:t>75</w:t>
              </w:r>
            </w:hyperlink>
          </w:p>
        </w:tc>
      </w:tr>
      <w:tr>
        <w:trPr>
          <w:trHeight w:val="440" w:hRule="atLeast"/>
        </w:trPr>
        <w:tc>
          <w:tcPr>
            <w:tcW w:w="9218" w:type="dxa"/>
          </w:tcPr>
          <w:p>
            <w:pPr>
              <w:pStyle w:val="TableParagraph"/>
              <w:spacing w:before="128"/>
              <w:ind w:right="99"/>
              <w:jc w:val="right"/>
              <w:rPr>
                <w:sz w:val="17"/>
              </w:rPr>
            </w:pPr>
            <w:hyperlink w:history="true" w:anchor="_bookmark22">
              <w:r>
                <w:rPr>
                  <w:w w:val="105"/>
                  <w:sz w:val="17"/>
                </w:rPr>
                <w:t>Sección 3.ª Tipos de procedimiento.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2">
              <w:r>
                <w:rPr>
                  <w:sz w:val="17"/>
                </w:rPr>
                <w:t>79</w:t>
              </w:r>
            </w:hyperlink>
          </w:p>
        </w:tc>
      </w:tr>
      <w:tr>
        <w:trPr>
          <w:trHeight w:val="440" w:hRule="atLeast"/>
        </w:trPr>
        <w:tc>
          <w:tcPr>
            <w:tcW w:w="9218" w:type="dxa"/>
          </w:tcPr>
          <w:p>
            <w:pPr>
              <w:pStyle w:val="TableParagraph"/>
              <w:spacing w:before="128"/>
              <w:ind w:right="99"/>
              <w:jc w:val="right"/>
              <w:rPr>
                <w:sz w:val="17"/>
              </w:rPr>
            </w:pPr>
            <w:hyperlink w:history="true" w:anchor="_bookmark23">
              <w:r>
                <w:rPr>
                  <w:w w:val="105"/>
                  <w:sz w:val="17"/>
                </w:rPr>
                <w:t>TÍTULO</w:t>
              </w:r>
              <w:r>
                <w:rPr>
                  <w:spacing w:val="-7"/>
                  <w:w w:val="105"/>
                  <w:sz w:val="17"/>
                </w:rPr>
                <w:t> </w:t>
              </w:r>
              <w:r>
                <w:rPr>
                  <w:w w:val="105"/>
                  <w:sz w:val="17"/>
                </w:rPr>
                <w:t>V.</w:t>
              </w:r>
              <w:r>
                <w:rPr>
                  <w:spacing w:val="-6"/>
                  <w:w w:val="105"/>
                  <w:sz w:val="17"/>
                </w:rPr>
                <w:t> </w:t>
              </w:r>
              <w:r>
                <w:rPr>
                  <w:w w:val="105"/>
                  <w:sz w:val="17"/>
                </w:rPr>
                <w:t>Técnicas</w:t>
              </w:r>
              <w:r>
                <w:rPr>
                  <w:spacing w:val="-7"/>
                  <w:w w:val="105"/>
                  <w:sz w:val="17"/>
                </w:rPr>
                <w:t> </w:t>
              </w:r>
              <w:r>
                <w:rPr>
                  <w:w w:val="105"/>
                  <w:sz w:val="17"/>
                </w:rPr>
                <w:t>de</w:t>
              </w:r>
              <w:r>
                <w:rPr>
                  <w:spacing w:val="-6"/>
                  <w:w w:val="105"/>
                  <w:sz w:val="17"/>
                </w:rPr>
                <w:t> </w:t>
              </w:r>
              <w:r>
                <w:rPr>
                  <w:w w:val="105"/>
                  <w:sz w:val="17"/>
                </w:rPr>
                <w:t>racionalización</w:t>
              </w:r>
              <w:r>
                <w:rPr>
                  <w:spacing w:val="-6"/>
                  <w:w w:val="105"/>
                  <w:sz w:val="17"/>
                </w:rPr>
                <w:t> </w:t>
              </w:r>
              <w:r>
                <w:rPr>
                  <w:w w:val="105"/>
                  <w:sz w:val="17"/>
                </w:rPr>
                <w:t>de</w:t>
              </w:r>
              <w:r>
                <w:rPr>
                  <w:spacing w:val="-7"/>
                  <w:w w:val="105"/>
                  <w:sz w:val="17"/>
                </w:rPr>
                <w:t> </w:t>
              </w:r>
              <w:r>
                <w:rPr>
                  <w:w w:val="105"/>
                  <w:sz w:val="17"/>
                </w:rPr>
                <w:t>la</w:t>
              </w:r>
              <w:r>
                <w:rPr>
                  <w:spacing w:val="-6"/>
                  <w:w w:val="105"/>
                  <w:sz w:val="17"/>
                </w:rPr>
                <w:t> </w:t>
              </w:r>
              <w:r>
                <w:rPr>
                  <w:w w:val="105"/>
                  <w:sz w:val="17"/>
                </w:rPr>
                <w:t>contratación</w:t>
              </w:r>
              <w:r>
                <w:rPr>
                  <w:spacing w:val="-7"/>
                  <w:w w:val="105"/>
                  <w:sz w:val="17"/>
                </w:rPr>
                <w:t> </w:t>
              </w:r>
              <w:r>
                <w:rPr>
                  <w:w w:val="105"/>
                  <w:sz w:val="17"/>
                </w:rPr>
                <w:t>y</w:t>
              </w:r>
              <w:r>
                <w:rPr>
                  <w:spacing w:val="-6"/>
                  <w:w w:val="105"/>
                  <w:sz w:val="17"/>
                </w:rPr>
                <w:t> </w:t>
              </w:r>
              <w:r>
                <w:rPr>
                  <w:w w:val="105"/>
                  <w:sz w:val="17"/>
                </w:rPr>
                <w:t>concursos</w:t>
              </w:r>
              <w:r>
                <w:rPr>
                  <w:spacing w:val="-6"/>
                  <w:w w:val="105"/>
                  <w:sz w:val="17"/>
                </w:rPr>
                <w:t> </w:t>
              </w:r>
              <w:r>
                <w:rPr>
                  <w:w w:val="105"/>
                  <w:sz w:val="17"/>
                </w:rPr>
                <w:t>de</w:t>
              </w:r>
              <w:r>
                <w:rPr>
                  <w:spacing w:val="-7"/>
                  <w:w w:val="105"/>
                  <w:sz w:val="17"/>
                </w:rPr>
                <w:t> </w:t>
              </w:r>
              <w:r>
                <w:rPr>
                  <w:w w:val="105"/>
                  <w:sz w:val="17"/>
                </w:rPr>
                <w:t>proyectos</w:t>
              </w:r>
              <w:r>
                <w:rPr>
                  <w:spacing w:val="-34"/>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spacing w:val="24"/>
                  <w:w w:val="105"/>
                  <w:sz w:val="17"/>
                </w:rPr>
                <w:t>.</w:t>
              </w:r>
              <w:r>
                <w:rPr>
                  <w:spacing w:val="-7"/>
                  <w:w w:val="105"/>
                  <w:sz w:val="17"/>
                </w:rPr>
                <w:t> </w:t>
              </w:r>
              <w:r>
                <w:rPr>
                  <w:w w:val="105"/>
                  <w:sz w:val="17"/>
                </w:rPr>
                <w:t>.</w:t>
              </w:r>
              <w:r>
                <w:rPr>
                  <w:sz w:val="17"/>
                </w:rPr>
                <w:t> </w:t>
              </w:r>
              <w:r>
                <w:rPr>
                  <w:spacing w:val="-24"/>
                  <w:sz w:val="17"/>
                </w:rPr>
                <w:t> </w:t>
              </w:r>
            </w:hyperlink>
          </w:p>
        </w:tc>
        <w:tc>
          <w:tcPr>
            <w:tcW w:w="593" w:type="dxa"/>
          </w:tcPr>
          <w:p>
            <w:pPr>
              <w:pStyle w:val="TableParagraph"/>
              <w:spacing w:before="133"/>
              <w:ind w:right="198"/>
              <w:jc w:val="right"/>
              <w:rPr>
                <w:sz w:val="17"/>
              </w:rPr>
            </w:pPr>
            <w:hyperlink w:history="true" w:anchor="_bookmark23">
              <w:r>
                <w:rPr>
                  <w:sz w:val="17"/>
                </w:rPr>
                <w:t>85</w:t>
              </w:r>
            </w:hyperlink>
          </w:p>
        </w:tc>
      </w:tr>
      <w:tr>
        <w:trPr>
          <w:trHeight w:val="440" w:hRule="atLeast"/>
        </w:trPr>
        <w:tc>
          <w:tcPr>
            <w:tcW w:w="9218" w:type="dxa"/>
          </w:tcPr>
          <w:p>
            <w:pPr>
              <w:pStyle w:val="TableParagraph"/>
              <w:spacing w:before="128"/>
              <w:ind w:right="99"/>
              <w:jc w:val="right"/>
              <w:rPr>
                <w:sz w:val="17"/>
              </w:rPr>
            </w:pPr>
            <w:hyperlink w:history="true" w:anchor="_bookmark24">
              <w:r>
                <w:rPr>
                  <w:w w:val="105"/>
                  <w:sz w:val="17"/>
                </w:rPr>
                <w:t>CAPÍTULO I. Técnicas de racionalización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4">
              <w:r>
                <w:rPr>
                  <w:sz w:val="17"/>
                </w:rPr>
                <w:t>85</w:t>
              </w:r>
            </w:hyperlink>
          </w:p>
        </w:tc>
      </w:tr>
      <w:tr>
        <w:trPr>
          <w:trHeight w:val="440" w:hRule="atLeast"/>
        </w:trPr>
        <w:tc>
          <w:tcPr>
            <w:tcW w:w="9218" w:type="dxa"/>
          </w:tcPr>
          <w:p>
            <w:pPr>
              <w:pStyle w:val="TableParagraph"/>
              <w:spacing w:before="128"/>
              <w:ind w:right="99"/>
              <w:jc w:val="right"/>
              <w:rPr>
                <w:sz w:val="17"/>
              </w:rPr>
            </w:pPr>
            <w:hyperlink w:history="true" w:anchor="_bookmark25">
              <w:r>
                <w:rPr>
                  <w:w w:val="105"/>
                  <w:sz w:val="17"/>
                </w:rPr>
                <w:t>Sección 1.ª Centrales de compras .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5">
              <w:r>
                <w:rPr>
                  <w:sz w:val="17"/>
                </w:rPr>
                <w:t>85</w:t>
              </w:r>
            </w:hyperlink>
          </w:p>
        </w:tc>
      </w:tr>
      <w:tr>
        <w:trPr>
          <w:trHeight w:val="439" w:hRule="atLeast"/>
        </w:trPr>
        <w:tc>
          <w:tcPr>
            <w:tcW w:w="9218" w:type="dxa"/>
          </w:tcPr>
          <w:p>
            <w:pPr>
              <w:pStyle w:val="TableParagraph"/>
              <w:spacing w:before="128"/>
              <w:ind w:right="99"/>
              <w:jc w:val="right"/>
              <w:rPr>
                <w:sz w:val="17"/>
              </w:rPr>
            </w:pPr>
            <w:hyperlink w:history="true" w:anchor="_bookmark26">
              <w:r>
                <w:rPr>
                  <w:w w:val="105"/>
                  <w:sz w:val="17"/>
                </w:rPr>
                <w:t>Sección 2.ª Acuerdos marco . . . . .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6">
              <w:r>
                <w:rPr>
                  <w:sz w:val="17"/>
                </w:rPr>
                <w:t>87</w:t>
              </w:r>
            </w:hyperlink>
          </w:p>
        </w:tc>
      </w:tr>
      <w:tr>
        <w:trPr>
          <w:trHeight w:val="440" w:hRule="atLeast"/>
        </w:trPr>
        <w:tc>
          <w:tcPr>
            <w:tcW w:w="9218" w:type="dxa"/>
          </w:tcPr>
          <w:p>
            <w:pPr>
              <w:pStyle w:val="TableParagraph"/>
              <w:spacing w:before="128"/>
              <w:ind w:right="99"/>
              <w:jc w:val="right"/>
              <w:rPr>
                <w:sz w:val="17"/>
              </w:rPr>
            </w:pPr>
            <w:hyperlink w:history="true" w:anchor="_bookmark27">
              <w:r>
                <w:rPr>
                  <w:w w:val="105"/>
                  <w:sz w:val="17"/>
                </w:rPr>
                <w:t>Sección 3.ª Sistemas dinámicos de adquisición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7">
              <w:r>
                <w:rPr>
                  <w:sz w:val="17"/>
                </w:rPr>
                <w:t>88</w:t>
              </w:r>
            </w:hyperlink>
          </w:p>
        </w:tc>
      </w:tr>
      <w:tr>
        <w:trPr>
          <w:trHeight w:val="440" w:hRule="atLeast"/>
        </w:trPr>
        <w:tc>
          <w:tcPr>
            <w:tcW w:w="9218" w:type="dxa"/>
          </w:tcPr>
          <w:p>
            <w:pPr>
              <w:pStyle w:val="TableParagraph"/>
              <w:spacing w:before="128"/>
              <w:ind w:right="99"/>
              <w:jc w:val="right"/>
              <w:rPr>
                <w:sz w:val="17"/>
              </w:rPr>
            </w:pPr>
            <w:hyperlink w:history="true" w:anchor="_bookmark28">
              <w:r>
                <w:rPr>
                  <w:w w:val="105"/>
                  <w:sz w:val="17"/>
                </w:rPr>
                <w:t>Sección 4.ª Subastas electrónicas y catálogos electrónicos . . . . . . . . . . . . . . . . . . . . . . . . . . . . . . . .</w:t>
              </w:r>
              <w:r>
                <w:rPr>
                  <w:sz w:val="17"/>
                </w:rPr>
                <w:t>  </w:t>
              </w:r>
            </w:hyperlink>
          </w:p>
        </w:tc>
        <w:tc>
          <w:tcPr>
            <w:tcW w:w="593" w:type="dxa"/>
          </w:tcPr>
          <w:p>
            <w:pPr>
              <w:pStyle w:val="TableParagraph"/>
              <w:spacing w:before="133"/>
              <w:ind w:right="198"/>
              <w:jc w:val="right"/>
              <w:rPr>
                <w:sz w:val="17"/>
              </w:rPr>
            </w:pPr>
            <w:hyperlink w:history="true" w:anchor="_bookmark28">
              <w:r>
                <w:rPr>
                  <w:sz w:val="17"/>
                </w:rPr>
                <w:t>90</w:t>
              </w:r>
            </w:hyperlink>
          </w:p>
        </w:tc>
      </w:tr>
      <w:tr>
        <w:trPr>
          <w:trHeight w:val="440" w:hRule="atLeast"/>
        </w:trPr>
        <w:tc>
          <w:tcPr>
            <w:tcW w:w="9218" w:type="dxa"/>
          </w:tcPr>
          <w:p>
            <w:pPr>
              <w:pStyle w:val="TableParagraph"/>
              <w:spacing w:before="128"/>
              <w:ind w:right="99"/>
              <w:jc w:val="right"/>
              <w:rPr>
                <w:sz w:val="17"/>
              </w:rPr>
            </w:pPr>
            <w:hyperlink w:history="true" w:anchor="_bookmark29">
              <w:r>
                <w:rPr>
                  <w:w w:val="105"/>
                  <w:sz w:val="17"/>
                </w:rPr>
                <w:t>CAPÍTULO II. Concursos de proyectos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29">
              <w:r>
                <w:rPr>
                  <w:sz w:val="17"/>
                </w:rPr>
                <w:t>93</w:t>
              </w:r>
            </w:hyperlink>
          </w:p>
        </w:tc>
      </w:tr>
      <w:tr>
        <w:trPr>
          <w:trHeight w:val="440" w:hRule="atLeast"/>
        </w:trPr>
        <w:tc>
          <w:tcPr>
            <w:tcW w:w="9218" w:type="dxa"/>
          </w:tcPr>
          <w:p>
            <w:pPr>
              <w:pStyle w:val="TableParagraph"/>
              <w:spacing w:before="128"/>
              <w:ind w:right="99"/>
              <w:jc w:val="right"/>
              <w:rPr>
                <w:sz w:val="17"/>
              </w:rPr>
            </w:pPr>
            <w:hyperlink w:history="true" w:anchor="_bookmark30">
              <w:r>
                <w:rPr>
                  <w:w w:val="105"/>
                  <w:sz w:val="17"/>
                </w:rPr>
                <w:t>TÍTULO</w:t>
              </w:r>
              <w:r>
                <w:rPr>
                  <w:spacing w:val="-4"/>
                  <w:w w:val="105"/>
                  <w:sz w:val="17"/>
                </w:rPr>
                <w:t> </w:t>
              </w:r>
              <w:r>
                <w:rPr>
                  <w:w w:val="105"/>
                  <w:sz w:val="17"/>
                </w:rPr>
                <w:t>VI.</w:t>
              </w:r>
              <w:r>
                <w:rPr>
                  <w:spacing w:val="-4"/>
                  <w:w w:val="105"/>
                  <w:sz w:val="17"/>
                </w:rPr>
                <w:t> </w:t>
              </w:r>
              <w:r>
                <w:rPr>
                  <w:w w:val="105"/>
                  <w:sz w:val="17"/>
                </w:rPr>
                <w:t>Ejecución</w:t>
              </w:r>
              <w:r>
                <w:rPr>
                  <w:spacing w:val="-4"/>
                  <w:w w:val="105"/>
                  <w:sz w:val="17"/>
                </w:rPr>
                <w:t> </w:t>
              </w:r>
              <w:r>
                <w:rPr>
                  <w:w w:val="105"/>
                  <w:sz w:val="17"/>
                </w:rPr>
                <w:t>y</w:t>
              </w:r>
              <w:r>
                <w:rPr>
                  <w:spacing w:val="-4"/>
                  <w:w w:val="105"/>
                  <w:sz w:val="17"/>
                </w:rPr>
                <w:t> </w:t>
              </w:r>
              <w:r>
                <w:rPr>
                  <w:w w:val="105"/>
                  <w:sz w:val="17"/>
                </w:rPr>
                <w:t>extinción</w:t>
              </w:r>
              <w:r>
                <w:rPr>
                  <w:spacing w:val="-4"/>
                  <w:w w:val="105"/>
                  <w:sz w:val="17"/>
                </w:rPr>
                <w:t> </w:t>
              </w:r>
              <w:r>
                <w:rPr>
                  <w:w w:val="105"/>
                  <w:sz w:val="17"/>
                </w:rPr>
                <w:t>de</w:t>
              </w:r>
              <w:r>
                <w:rPr>
                  <w:spacing w:val="-4"/>
                  <w:w w:val="105"/>
                  <w:sz w:val="17"/>
                </w:rPr>
                <w:t> </w:t>
              </w:r>
              <w:r>
                <w:rPr>
                  <w:w w:val="105"/>
                  <w:sz w:val="17"/>
                </w:rPr>
                <w:t>los</w:t>
              </w:r>
              <w:r>
                <w:rPr>
                  <w:spacing w:val="-4"/>
                  <w:w w:val="105"/>
                  <w:sz w:val="17"/>
                </w:rPr>
                <w:t> </w:t>
              </w:r>
              <w:r>
                <w:rPr>
                  <w:w w:val="105"/>
                  <w:sz w:val="17"/>
                </w:rPr>
                <w:t>contratos</w:t>
              </w:r>
              <w:r>
                <w:rPr>
                  <w:spacing w:val="-28"/>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w w:val="105"/>
                  <w:sz w:val="17"/>
                </w:rPr>
                <w:t>.</w:t>
              </w:r>
              <w:r>
                <w:rPr>
                  <w:sz w:val="17"/>
                </w:rPr>
                <w:t> </w:t>
              </w:r>
              <w:r>
                <w:rPr>
                  <w:spacing w:val="-24"/>
                  <w:sz w:val="17"/>
                </w:rPr>
                <w:t> </w:t>
              </w:r>
            </w:hyperlink>
          </w:p>
        </w:tc>
        <w:tc>
          <w:tcPr>
            <w:tcW w:w="593" w:type="dxa"/>
          </w:tcPr>
          <w:p>
            <w:pPr>
              <w:pStyle w:val="TableParagraph"/>
              <w:spacing w:before="133"/>
              <w:ind w:right="198"/>
              <w:jc w:val="right"/>
              <w:rPr>
                <w:sz w:val="17"/>
              </w:rPr>
            </w:pPr>
            <w:hyperlink w:history="true" w:anchor="_bookmark30">
              <w:r>
                <w:rPr>
                  <w:sz w:val="17"/>
                </w:rPr>
                <w:t>95</w:t>
              </w:r>
            </w:hyperlink>
          </w:p>
        </w:tc>
      </w:tr>
      <w:tr>
        <w:trPr>
          <w:trHeight w:val="440" w:hRule="atLeast"/>
        </w:trPr>
        <w:tc>
          <w:tcPr>
            <w:tcW w:w="9218" w:type="dxa"/>
          </w:tcPr>
          <w:p>
            <w:pPr>
              <w:pStyle w:val="TableParagraph"/>
              <w:spacing w:before="128"/>
              <w:ind w:right="99"/>
              <w:jc w:val="right"/>
              <w:rPr>
                <w:sz w:val="17"/>
              </w:rPr>
            </w:pPr>
            <w:hyperlink w:history="true" w:anchor="_bookmark31">
              <w:r>
                <w:rPr>
                  <w:w w:val="105"/>
                  <w:sz w:val="17"/>
                </w:rPr>
                <w:t>CAPÍTULO I. De la ejecución del contrato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31">
              <w:r>
                <w:rPr>
                  <w:sz w:val="17"/>
                </w:rPr>
                <w:t>95</w:t>
              </w:r>
            </w:hyperlink>
          </w:p>
        </w:tc>
      </w:tr>
      <w:tr>
        <w:trPr>
          <w:trHeight w:val="440" w:hRule="atLeast"/>
        </w:trPr>
        <w:tc>
          <w:tcPr>
            <w:tcW w:w="9218" w:type="dxa"/>
          </w:tcPr>
          <w:p>
            <w:pPr>
              <w:pStyle w:val="TableParagraph"/>
              <w:spacing w:before="128"/>
              <w:ind w:right="99"/>
              <w:jc w:val="right"/>
              <w:rPr>
                <w:sz w:val="17"/>
              </w:rPr>
            </w:pPr>
            <w:hyperlink w:history="true" w:anchor="_bookmark32">
              <w:r>
                <w:rPr>
                  <w:w w:val="105"/>
                  <w:sz w:val="17"/>
                </w:rPr>
                <w:t>CAPÍTULO II. De la modificación de los contratos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32">
              <w:r>
                <w:rPr>
                  <w:sz w:val="17"/>
                </w:rPr>
                <w:t>99</w:t>
              </w:r>
            </w:hyperlink>
          </w:p>
        </w:tc>
      </w:tr>
      <w:tr>
        <w:trPr>
          <w:trHeight w:val="440" w:hRule="atLeast"/>
        </w:trPr>
        <w:tc>
          <w:tcPr>
            <w:tcW w:w="9218" w:type="dxa"/>
          </w:tcPr>
          <w:p>
            <w:pPr>
              <w:pStyle w:val="TableParagraph"/>
              <w:spacing w:before="128"/>
              <w:ind w:right="99"/>
              <w:jc w:val="right"/>
              <w:rPr>
                <w:sz w:val="17"/>
              </w:rPr>
            </w:pPr>
            <w:hyperlink w:history="true" w:anchor="_bookmark33">
              <w:r>
                <w:rPr>
                  <w:w w:val="105"/>
                  <w:sz w:val="17"/>
                </w:rPr>
                <w:t>CAPÍTULO III. De la resolución de los contratos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33">
              <w:r>
                <w:rPr>
                  <w:sz w:val="17"/>
                </w:rPr>
                <w:t>101</w:t>
              </w:r>
            </w:hyperlink>
          </w:p>
        </w:tc>
      </w:tr>
      <w:tr>
        <w:trPr>
          <w:trHeight w:val="440" w:hRule="atLeast"/>
        </w:trPr>
        <w:tc>
          <w:tcPr>
            <w:tcW w:w="9218" w:type="dxa"/>
          </w:tcPr>
          <w:p>
            <w:pPr>
              <w:pStyle w:val="TableParagraph"/>
              <w:spacing w:before="128"/>
              <w:ind w:right="99"/>
              <w:jc w:val="right"/>
              <w:rPr>
                <w:sz w:val="17"/>
              </w:rPr>
            </w:pPr>
            <w:hyperlink w:history="true" w:anchor="_bookmark34">
              <w:r>
                <w:rPr>
                  <w:w w:val="105"/>
                  <w:sz w:val="17"/>
                </w:rPr>
                <w:t>TÍTULO VII. Invalidez, reclamaciones y solución extrajudicial de conflictos . . . . . . . . . . . . . . . . . . . . . . . . . .</w:t>
              </w:r>
              <w:r>
                <w:rPr>
                  <w:sz w:val="17"/>
                </w:rPr>
                <w:t>  </w:t>
              </w:r>
            </w:hyperlink>
          </w:p>
        </w:tc>
        <w:tc>
          <w:tcPr>
            <w:tcW w:w="593" w:type="dxa"/>
          </w:tcPr>
          <w:p>
            <w:pPr>
              <w:pStyle w:val="TableParagraph"/>
              <w:spacing w:before="133"/>
              <w:ind w:right="198"/>
              <w:jc w:val="right"/>
              <w:rPr>
                <w:sz w:val="17"/>
              </w:rPr>
            </w:pPr>
            <w:hyperlink w:history="true" w:anchor="_bookmark34">
              <w:r>
                <w:rPr>
                  <w:sz w:val="17"/>
                </w:rPr>
                <w:t>102</w:t>
              </w:r>
            </w:hyperlink>
          </w:p>
        </w:tc>
      </w:tr>
      <w:tr>
        <w:trPr>
          <w:trHeight w:val="440" w:hRule="atLeast"/>
        </w:trPr>
        <w:tc>
          <w:tcPr>
            <w:tcW w:w="9218" w:type="dxa"/>
          </w:tcPr>
          <w:p>
            <w:pPr>
              <w:pStyle w:val="TableParagraph"/>
              <w:spacing w:before="128"/>
              <w:ind w:right="99"/>
              <w:jc w:val="right"/>
              <w:rPr>
                <w:sz w:val="17"/>
              </w:rPr>
            </w:pPr>
            <w:hyperlink w:history="true" w:anchor="_bookmark35">
              <w:r>
                <w:rPr>
                  <w:w w:val="105"/>
                  <w:sz w:val="17"/>
                </w:rPr>
                <w:t>CAPÍTULO I. Régimen de invalidez . .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35">
              <w:r>
                <w:rPr>
                  <w:sz w:val="17"/>
                </w:rPr>
                <w:t>102</w:t>
              </w:r>
            </w:hyperlink>
          </w:p>
        </w:tc>
      </w:tr>
      <w:tr>
        <w:trPr>
          <w:trHeight w:val="440" w:hRule="atLeast"/>
        </w:trPr>
        <w:tc>
          <w:tcPr>
            <w:tcW w:w="9218" w:type="dxa"/>
          </w:tcPr>
          <w:p>
            <w:pPr>
              <w:pStyle w:val="TableParagraph"/>
              <w:spacing w:before="128"/>
              <w:ind w:right="100"/>
              <w:jc w:val="right"/>
              <w:rPr>
                <w:sz w:val="17"/>
              </w:rPr>
            </w:pPr>
            <w:hyperlink w:history="true" w:anchor="_bookmark36">
              <w:r>
                <w:rPr>
                  <w:w w:val="105"/>
                  <w:sz w:val="17"/>
                </w:rPr>
                <w:t>CAPÍTULO II. Reclamaciones en los procedimientos de adjudicación de los contratos . . . . . . . . . . . . . . . . .</w:t>
              </w:r>
              <w:r>
                <w:rPr>
                  <w:sz w:val="17"/>
                </w:rPr>
                <w:t>  </w:t>
              </w:r>
            </w:hyperlink>
          </w:p>
        </w:tc>
        <w:tc>
          <w:tcPr>
            <w:tcW w:w="593" w:type="dxa"/>
          </w:tcPr>
          <w:p>
            <w:pPr>
              <w:pStyle w:val="TableParagraph"/>
              <w:spacing w:before="133"/>
              <w:ind w:right="198"/>
              <w:jc w:val="right"/>
              <w:rPr>
                <w:sz w:val="17"/>
              </w:rPr>
            </w:pPr>
            <w:hyperlink w:history="true" w:anchor="_bookmark36">
              <w:r>
                <w:rPr>
                  <w:sz w:val="17"/>
                </w:rPr>
                <w:t>103</w:t>
              </w:r>
            </w:hyperlink>
          </w:p>
        </w:tc>
      </w:tr>
      <w:tr>
        <w:trPr>
          <w:trHeight w:val="440" w:hRule="atLeast"/>
        </w:trPr>
        <w:tc>
          <w:tcPr>
            <w:tcW w:w="9218" w:type="dxa"/>
          </w:tcPr>
          <w:p>
            <w:pPr>
              <w:pStyle w:val="TableParagraph"/>
              <w:spacing w:before="128"/>
              <w:ind w:right="99"/>
              <w:jc w:val="right"/>
              <w:rPr>
                <w:sz w:val="17"/>
              </w:rPr>
            </w:pPr>
            <w:hyperlink w:history="true" w:anchor="_bookmark37">
              <w:r>
                <w:rPr>
                  <w:w w:val="105"/>
                  <w:sz w:val="17"/>
                </w:rPr>
                <w:t>CAPÍTULO III. Solución extrajudicial de conflictos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37">
              <w:r>
                <w:rPr>
                  <w:sz w:val="17"/>
                </w:rPr>
                <w:t>106</w:t>
              </w:r>
            </w:hyperlink>
          </w:p>
        </w:tc>
      </w:tr>
      <w:tr>
        <w:trPr>
          <w:trHeight w:val="439" w:hRule="atLeast"/>
        </w:trPr>
        <w:tc>
          <w:tcPr>
            <w:tcW w:w="9218" w:type="dxa"/>
          </w:tcPr>
          <w:p>
            <w:pPr>
              <w:pStyle w:val="TableParagraph"/>
              <w:spacing w:before="128"/>
              <w:ind w:right="99"/>
              <w:jc w:val="right"/>
              <w:rPr>
                <w:sz w:val="17"/>
              </w:rPr>
            </w:pPr>
            <w:hyperlink w:history="true" w:anchor="_bookmark38">
              <w:r>
                <w:rPr>
                  <w:w w:val="105"/>
                  <w:sz w:val="17"/>
                </w:rPr>
                <w:t>TÍTULO VIII. Organización administrativa y obligaciones de gobernanza . . . . . . . . . . . . . . . . . . . . . . . . . . .</w:t>
              </w:r>
              <w:r>
                <w:rPr>
                  <w:sz w:val="17"/>
                </w:rPr>
                <w:t>  </w:t>
              </w:r>
            </w:hyperlink>
          </w:p>
        </w:tc>
        <w:tc>
          <w:tcPr>
            <w:tcW w:w="593" w:type="dxa"/>
          </w:tcPr>
          <w:p>
            <w:pPr>
              <w:pStyle w:val="TableParagraph"/>
              <w:spacing w:before="133"/>
              <w:ind w:right="198"/>
              <w:jc w:val="right"/>
              <w:rPr>
                <w:sz w:val="17"/>
              </w:rPr>
            </w:pPr>
            <w:hyperlink w:history="true" w:anchor="_bookmark38">
              <w:r>
                <w:rPr>
                  <w:sz w:val="17"/>
                </w:rPr>
                <w:t>106</w:t>
              </w:r>
            </w:hyperlink>
          </w:p>
        </w:tc>
      </w:tr>
      <w:tr>
        <w:trPr>
          <w:trHeight w:val="680" w:hRule="atLeast"/>
        </w:trPr>
        <w:tc>
          <w:tcPr>
            <w:tcW w:w="9218" w:type="dxa"/>
          </w:tcPr>
          <w:p>
            <w:pPr>
              <w:pStyle w:val="TableParagraph"/>
              <w:spacing w:line="295" w:lineRule="auto" w:before="128"/>
              <w:ind w:left="399" w:right="99" w:hanging="200"/>
              <w:rPr>
                <w:sz w:val="17"/>
              </w:rPr>
            </w:pPr>
            <w:hyperlink w:history="true" w:anchor="_bookmark39">
              <w:r>
                <w:rPr>
                  <w:w w:val="105"/>
                  <w:sz w:val="17"/>
                </w:rPr>
                <w:t>LIBRO SEGUNDO. Medidas para la adaptación del derecho español a la normativa de la Unión Europea en</w:t>
              </w:r>
            </w:hyperlink>
            <w:r>
              <w:rPr>
                <w:w w:val="105"/>
                <w:sz w:val="17"/>
              </w:rPr>
              <w:t> </w:t>
            </w:r>
            <w:hyperlink w:history="true" w:anchor="_bookmark39">
              <w:r>
                <w:rPr>
                  <w:w w:val="105"/>
                  <w:sz w:val="17"/>
                </w:rPr>
                <w:t>materia de seguros privados y planes y fondos de pensiones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right="198"/>
              <w:jc w:val="right"/>
              <w:rPr>
                <w:sz w:val="17"/>
              </w:rPr>
            </w:pPr>
            <w:hyperlink w:history="true" w:anchor="_bookmark39">
              <w:r>
                <w:rPr>
                  <w:sz w:val="17"/>
                </w:rPr>
                <w:t>108</w:t>
              </w:r>
            </w:hyperlink>
          </w:p>
        </w:tc>
      </w:tr>
      <w:tr>
        <w:trPr>
          <w:trHeight w:val="680" w:hRule="atLeast"/>
        </w:trPr>
        <w:tc>
          <w:tcPr>
            <w:tcW w:w="9218" w:type="dxa"/>
          </w:tcPr>
          <w:p>
            <w:pPr>
              <w:pStyle w:val="TableParagraph"/>
              <w:spacing w:line="295" w:lineRule="auto" w:before="128"/>
              <w:ind w:left="399" w:right="99" w:hanging="200"/>
              <w:rPr>
                <w:sz w:val="17"/>
              </w:rPr>
            </w:pPr>
            <w:hyperlink w:history="true" w:anchor="_bookmark40">
              <w:r>
                <w:rPr>
                  <w:w w:val="105"/>
                  <w:sz w:val="17"/>
                </w:rPr>
                <w:t>TÍTULO I. Transposición de la Directiva (UE) 2016/97 del Parlamento Europeo y del Consejo, de 20 de enero de</w:t>
              </w:r>
            </w:hyperlink>
            <w:r>
              <w:rPr>
                <w:w w:val="105"/>
                <w:sz w:val="17"/>
              </w:rPr>
              <w:t> </w:t>
            </w:r>
            <w:hyperlink w:history="true" w:anchor="_bookmark40">
              <w:r>
                <w:rPr>
                  <w:w w:val="105"/>
                  <w:sz w:val="17"/>
                </w:rPr>
                <w:t>2016, sobre la distribución de seguros . .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right="198"/>
              <w:jc w:val="right"/>
              <w:rPr>
                <w:sz w:val="17"/>
              </w:rPr>
            </w:pPr>
            <w:hyperlink w:history="true" w:anchor="_bookmark40">
              <w:r>
                <w:rPr>
                  <w:sz w:val="17"/>
                </w:rPr>
                <w:t>108</w:t>
              </w:r>
            </w:hyperlink>
          </w:p>
        </w:tc>
      </w:tr>
      <w:tr>
        <w:trPr>
          <w:trHeight w:val="440" w:hRule="atLeast"/>
        </w:trPr>
        <w:tc>
          <w:tcPr>
            <w:tcW w:w="9218" w:type="dxa"/>
          </w:tcPr>
          <w:p>
            <w:pPr>
              <w:pStyle w:val="TableParagraph"/>
              <w:spacing w:before="128"/>
              <w:ind w:right="99"/>
              <w:jc w:val="right"/>
              <w:rPr>
                <w:sz w:val="17"/>
              </w:rPr>
            </w:pPr>
            <w:hyperlink w:history="true" w:anchor="_bookmark41">
              <w:r>
                <w:rPr>
                  <w:w w:val="105"/>
                  <w:sz w:val="17"/>
                </w:rPr>
                <w:t>CAPÍTULO I. Disposiciones generales . . . . . . . . . .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41">
              <w:r>
                <w:rPr>
                  <w:sz w:val="17"/>
                </w:rPr>
                <w:t>108</w:t>
              </w:r>
            </w:hyperlink>
          </w:p>
        </w:tc>
      </w:tr>
      <w:tr>
        <w:trPr>
          <w:trHeight w:val="440" w:hRule="atLeast"/>
        </w:trPr>
        <w:tc>
          <w:tcPr>
            <w:tcW w:w="9218" w:type="dxa"/>
          </w:tcPr>
          <w:p>
            <w:pPr>
              <w:pStyle w:val="TableParagraph"/>
              <w:spacing w:before="128"/>
              <w:ind w:right="99"/>
              <w:jc w:val="right"/>
              <w:rPr>
                <w:sz w:val="17"/>
              </w:rPr>
            </w:pPr>
            <w:hyperlink w:history="true" w:anchor="_bookmark42">
              <w:r>
                <w:rPr>
                  <w:w w:val="105"/>
                  <w:sz w:val="17"/>
                </w:rPr>
                <w:t>CAPÍTULO II. Órganos de supervisión y competencias . . . . . . . . . . . . . . . . . . . . . . . . . . . . . . . . . . . . .</w:t>
              </w:r>
              <w:r>
                <w:rPr>
                  <w:sz w:val="17"/>
                </w:rPr>
                <w:t>  </w:t>
              </w:r>
            </w:hyperlink>
          </w:p>
        </w:tc>
        <w:tc>
          <w:tcPr>
            <w:tcW w:w="593" w:type="dxa"/>
          </w:tcPr>
          <w:p>
            <w:pPr>
              <w:pStyle w:val="TableParagraph"/>
              <w:spacing w:before="133"/>
              <w:ind w:right="198"/>
              <w:jc w:val="right"/>
              <w:rPr>
                <w:sz w:val="17"/>
              </w:rPr>
            </w:pPr>
            <w:hyperlink w:history="true" w:anchor="_bookmark42">
              <w:r>
                <w:rPr>
                  <w:sz w:val="17"/>
                </w:rPr>
                <w:t>113</w:t>
              </w:r>
            </w:hyperlink>
          </w:p>
        </w:tc>
      </w:tr>
      <w:tr>
        <w:trPr>
          <w:trHeight w:val="680" w:hRule="atLeast"/>
        </w:trPr>
        <w:tc>
          <w:tcPr>
            <w:tcW w:w="9218" w:type="dxa"/>
          </w:tcPr>
          <w:p>
            <w:pPr>
              <w:pStyle w:val="TableParagraph"/>
              <w:spacing w:line="295" w:lineRule="auto" w:before="128"/>
              <w:ind w:left="600" w:right="99" w:hanging="201"/>
              <w:rPr>
                <w:sz w:val="17"/>
              </w:rPr>
            </w:pPr>
            <w:hyperlink w:history="true" w:anchor="_bookmark43">
              <w:r>
                <w:rPr>
                  <w:w w:val="105"/>
                  <w:sz w:val="17"/>
                </w:rPr>
                <w:t>CAPÍTULO III. De las actividades de los distribuidores de seguros y de reaseguros residentes o domiciliados</w:t>
              </w:r>
            </w:hyperlink>
            <w:r>
              <w:rPr>
                <w:w w:val="105"/>
                <w:sz w:val="17"/>
              </w:rPr>
              <w:t> </w:t>
            </w:r>
            <w:hyperlink w:history="true" w:anchor="_bookmark43">
              <w:r>
                <w:rPr>
                  <w:w w:val="105"/>
                  <w:sz w:val="17"/>
                </w:rPr>
                <w:t>en España . . . . . . . . . . . . . . . . . .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right="198"/>
              <w:jc w:val="right"/>
              <w:rPr>
                <w:sz w:val="17"/>
              </w:rPr>
            </w:pPr>
            <w:hyperlink w:history="true" w:anchor="_bookmark43">
              <w:r>
                <w:rPr>
                  <w:sz w:val="17"/>
                </w:rPr>
                <w:t>114</w:t>
              </w:r>
            </w:hyperlink>
          </w:p>
        </w:tc>
      </w:tr>
      <w:tr>
        <w:trPr>
          <w:trHeight w:val="339" w:hRule="atLeast"/>
        </w:trPr>
        <w:tc>
          <w:tcPr>
            <w:tcW w:w="9218" w:type="dxa"/>
          </w:tcPr>
          <w:p>
            <w:pPr>
              <w:pStyle w:val="TableParagraph"/>
              <w:spacing w:line="192" w:lineRule="exact" w:before="128"/>
              <w:ind w:right="99"/>
              <w:jc w:val="right"/>
              <w:rPr>
                <w:sz w:val="17"/>
              </w:rPr>
            </w:pPr>
            <w:hyperlink w:history="true" w:anchor="_bookmark44">
              <w:r>
                <w:rPr>
                  <w:w w:val="105"/>
                  <w:sz w:val="17"/>
                </w:rPr>
                <w:t>Sección 1.ª De los distribuidores de seguros . . . . . . . . . . . . . . . . . . . . . . . . . . . . . . . . . . . . . . . . . .</w:t>
              </w:r>
              <w:r>
                <w:rPr>
                  <w:sz w:val="17"/>
                </w:rPr>
                <w:t>  </w:t>
              </w:r>
            </w:hyperlink>
          </w:p>
        </w:tc>
        <w:tc>
          <w:tcPr>
            <w:tcW w:w="593" w:type="dxa"/>
          </w:tcPr>
          <w:p>
            <w:pPr>
              <w:pStyle w:val="TableParagraph"/>
              <w:spacing w:line="187" w:lineRule="exact" w:before="133"/>
              <w:ind w:right="198"/>
              <w:jc w:val="right"/>
              <w:rPr>
                <w:sz w:val="17"/>
              </w:rPr>
            </w:pPr>
            <w:hyperlink w:history="true" w:anchor="_bookmark44">
              <w:r>
                <w:rPr>
                  <w:sz w:val="17"/>
                </w:rPr>
                <w:t>114</w:t>
              </w:r>
            </w:hyperlink>
          </w:p>
        </w:tc>
      </w:tr>
    </w:tbl>
    <w:p>
      <w:pPr>
        <w:spacing w:after="0" w:line="187" w:lineRule="exact"/>
        <w:jc w:val="right"/>
        <w:rPr>
          <w:sz w:val="17"/>
        </w:rPr>
        <w:sectPr>
          <w:headerReference w:type="default" r:id="rId7"/>
          <w:pgSz w:w="11910" w:h="16840"/>
          <w:pgMar w:header="529" w:footer="570" w:top="1200" w:bottom="760" w:left="740" w:right="540"/>
        </w:sectPr>
      </w:pPr>
    </w:p>
    <w:p>
      <w:pPr>
        <w:pStyle w:val="BodyText"/>
        <w:spacing w:before="0"/>
        <w:ind w:left="0" w:firstLine="0"/>
        <w:jc w:val="left"/>
        <w:rPr>
          <w:rFonts w:ascii="Times New Roman"/>
        </w:rPr>
      </w:pPr>
    </w:p>
    <w:p>
      <w:pPr>
        <w:pStyle w:val="BodyText"/>
        <w:spacing w:before="3"/>
        <w:ind w:left="0" w:firstLine="0"/>
        <w:jc w:val="left"/>
        <w:rPr>
          <w:rFonts w:ascii="Times New Roman"/>
        </w:rPr>
      </w:pPr>
    </w:p>
    <w:tbl>
      <w:tblPr>
        <w:tblW w:w="0" w:type="auto"/>
        <w:jc w:val="left"/>
        <w:tblInd w:w="7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18"/>
        <w:gridCol w:w="593"/>
      </w:tblGrid>
      <w:tr>
        <w:trPr>
          <w:trHeight w:val="339" w:hRule="atLeast"/>
        </w:trPr>
        <w:tc>
          <w:tcPr>
            <w:tcW w:w="9218" w:type="dxa"/>
          </w:tcPr>
          <w:p>
            <w:pPr>
              <w:pStyle w:val="TableParagraph"/>
              <w:spacing w:before="27"/>
              <w:ind w:right="99"/>
              <w:jc w:val="right"/>
              <w:rPr>
                <w:sz w:val="17"/>
              </w:rPr>
            </w:pPr>
            <w:hyperlink w:history="true" w:anchor="_bookmark45">
              <w:r>
                <w:rPr>
                  <w:w w:val="105"/>
                  <w:sz w:val="17"/>
                </w:rPr>
                <w:t>Subsección 1.ª Clasificación. . . . . . . . . . . . . . . . . . . . . . . . . . . . . . . . . . . . . . . . . . . . . . . . . . .</w:t>
              </w:r>
              <w:r>
                <w:rPr>
                  <w:sz w:val="17"/>
                </w:rPr>
                <w:t>  </w:t>
              </w:r>
            </w:hyperlink>
          </w:p>
        </w:tc>
        <w:tc>
          <w:tcPr>
            <w:tcW w:w="593" w:type="dxa"/>
          </w:tcPr>
          <w:p>
            <w:pPr>
              <w:pStyle w:val="TableParagraph"/>
              <w:spacing w:before="32"/>
              <w:ind w:left="101"/>
              <w:rPr>
                <w:sz w:val="17"/>
              </w:rPr>
            </w:pPr>
            <w:hyperlink w:history="true" w:anchor="_bookmark45">
              <w:r>
                <w:rPr>
                  <w:w w:val="105"/>
                  <w:sz w:val="17"/>
                </w:rPr>
                <w:t>114</w:t>
              </w:r>
            </w:hyperlink>
          </w:p>
        </w:tc>
      </w:tr>
      <w:tr>
        <w:trPr>
          <w:trHeight w:val="440" w:hRule="atLeast"/>
        </w:trPr>
        <w:tc>
          <w:tcPr>
            <w:tcW w:w="9218" w:type="dxa"/>
          </w:tcPr>
          <w:p>
            <w:pPr>
              <w:pStyle w:val="TableParagraph"/>
              <w:spacing w:before="128"/>
              <w:ind w:right="100"/>
              <w:jc w:val="right"/>
              <w:rPr>
                <w:sz w:val="17"/>
              </w:rPr>
            </w:pPr>
            <w:hyperlink w:history="true" w:anchor="_bookmark46">
              <w:r>
                <w:rPr>
                  <w:w w:val="105"/>
                  <w:sz w:val="17"/>
                </w:rPr>
                <w:t>Subsección 2.ª De la actividad de distribución de seguros realizada por las entidades aseguradoras. . . . .</w:t>
              </w:r>
              <w:r>
                <w:rPr>
                  <w:sz w:val="17"/>
                </w:rPr>
                <w:t>  </w:t>
              </w:r>
            </w:hyperlink>
          </w:p>
        </w:tc>
        <w:tc>
          <w:tcPr>
            <w:tcW w:w="593" w:type="dxa"/>
          </w:tcPr>
          <w:p>
            <w:pPr>
              <w:pStyle w:val="TableParagraph"/>
              <w:spacing w:before="133"/>
              <w:ind w:left="101"/>
              <w:rPr>
                <w:sz w:val="17"/>
              </w:rPr>
            </w:pPr>
            <w:hyperlink w:history="true" w:anchor="_bookmark46">
              <w:r>
                <w:rPr>
                  <w:w w:val="105"/>
                  <w:sz w:val="17"/>
                </w:rPr>
                <w:t>117</w:t>
              </w:r>
            </w:hyperlink>
          </w:p>
        </w:tc>
      </w:tr>
      <w:tr>
        <w:trPr>
          <w:trHeight w:val="440" w:hRule="atLeast"/>
        </w:trPr>
        <w:tc>
          <w:tcPr>
            <w:tcW w:w="9218" w:type="dxa"/>
          </w:tcPr>
          <w:p>
            <w:pPr>
              <w:pStyle w:val="TableParagraph"/>
              <w:spacing w:before="128"/>
              <w:ind w:right="100"/>
              <w:jc w:val="right"/>
              <w:rPr>
                <w:sz w:val="17"/>
              </w:rPr>
            </w:pPr>
            <w:hyperlink w:history="true" w:anchor="_bookmark47">
              <w:r>
                <w:rPr>
                  <w:w w:val="105"/>
                  <w:sz w:val="17"/>
                </w:rPr>
                <w:t>Subsección 3.ª De la actividad de distribución de seguros realizada por los agentes de seguros . . . . . . .</w:t>
              </w:r>
              <w:r>
                <w:rPr>
                  <w:sz w:val="17"/>
                </w:rPr>
                <w:t>  </w:t>
              </w:r>
            </w:hyperlink>
          </w:p>
        </w:tc>
        <w:tc>
          <w:tcPr>
            <w:tcW w:w="593" w:type="dxa"/>
          </w:tcPr>
          <w:p>
            <w:pPr>
              <w:pStyle w:val="TableParagraph"/>
              <w:spacing w:before="133"/>
              <w:ind w:left="101"/>
              <w:rPr>
                <w:sz w:val="17"/>
              </w:rPr>
            </w:pPr>
            <w:hyperlink w:history="true" w:anchor="_bookmark47">
              <w:r>
                <w:rPr>
                  <w:w w:val="105"/>
                  <w:sz w:val="17"/>
                </w:rPr>
                <w:t>118</w:t>
              </w:r>
            </w:hyperlink>
          </w:p>
        </w:tc>
      </w:tr>
      <w:tr>
        <w:trPr>
          <w:trHeight w:val="440" w:hRule="atLeast"/>
        </w:trPr>
        <w:tc>
          <w:tcPr>
            <w:tcW w:w="9218" w:type="dxa"/>
          </w:tcPr>
          <w:p>
            <w:pPr>
              <w:pStyle w:val="TableParagraph"/>
              <w:spacing w:before="128"/>
              <w:ind w:right="99"/>
              <w:jc w:val="right"/>
              <w:rPr>
                <w:sz w:val="17"/>
              </w:rPr>
            </w:pPr>
            <w:hyperlink w:history="true" w:anchor="_bookmark48">
              <w:r>
                <w:rPr>
                  <w:w w:val="105"/>
                  <w:sz w:val="17"/>
                </w:rPr>
                <w:t>Subsección 4.ª De los corredores de seguros. . . . . . . . . . . . . . . . . . . . . . . . . . . . . . . . . . . . . . . .</w:t>
              </w:r>
              <w:r>
                <w:rPr>
                  <w:sz w:val="17"/>
                </w:rPr>
                <w:t>  </w:t>
              </w:r>
            </w:hyperlink>
          </w:p>
        </w:tc>
        <w:tc>
          <w:tcPr>
            <w:tcW w:w="593" w:type="dxa"/>
          </w:tcPr>
          <w:p>
            <w:pPr>
              <w:pStyle w:val="TableParagraph"/>
              <w:spacing w:before="133"/>
              <w:ind w:left="101"/>
              <w:rPr>
                <w:sz w:val="17"/>
              </w:rPr>
            </w:pPr>
            <w:hyperlink w:history="true" w:anchor="_bookmark48">
              <w:r>
                <w:rPr>
                  <w:w w:val="105"/>
                  <w:sz w:val="17"/>
                </w:rPr>
                <w:t>126</w:t>
              </w:r>
            </w:hyperlink>
          </w:p>
        </w:tc>
      </w:tr>
      <w:tr>
        <w:trPr>
          <w:trHeight w:val="680" w:hRule="atLeast"/>
        </w:trPr>
        <w:tc>
          <w:tcPr>
            <w:tcW w:w="9218" w:type="dxa"/>
          </w:tcPr>
          <w:p>
            <w:pPr>
              <w:pStyle w:val="TableParagraph"/>
              <w:spacing w:line="295" w:lineRule="auto" w:before="128"/>
              <w:ind w:left="999" w:right="99" w:hanging="201"/>
              <w:rPr>
                <w:sz w:val="17"/>
              </w:rPr>
            </w:pPr>
            <w:hyperlink w:history="true" w:anchor="_bookmark49">
              <w:r>
                <w:rPr>
                  <w:w w:val="105"/>
                  <w:sz w:val="17"/>
                </w:rPr>
                <w:t>Subsección 5.ª Vínculos estrechos y participaciones significativas en operadores de banca-seguros y</w:t>
              </w:r>
            </w:hyperlink>
            <w:r>
              <w:rPr>
                <w:w w:val="105"/>
                <w:sz w:val="17"/>
              </w:rPr>
              <w:t> </w:t>
            </w:r>
            <w:hyperlink w:history="true" w:anchor="_bookmark49">
              <w:r>
                <w:rPr>
                  <w:w w:val="105"/>
                  <w:sz w:val="17"/>
                </w:rPr>
                <w:t>corredores de seguros. . . . . . . .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49">
              <w:r>
                <w:rPr>
                  <w:w w:val="105"/>
                  <w:sz w:val="17"/>
                </w:rPr>
                <w:t>129</w:t>
              </w:r>
            </w:hyperlink>
          </w:p>
        </w:tc>
      </w:tr>
      <w:tr>
        <w:trPr>
          <w:trHeight w:val="440" w:hRule="atLeast"/>
        </w:trPr>
        <w:tc>
          <w:tcPr>
            <w:tcW w:w="9218" w:type="dxa"/>
          </w:tcPr>
          <w:p>
            <w:pPr>
              <w:pStyle w:val="TableParagraph"/>
              <w:spacing w:before="128"/>
              <w:ind w:right="99"/>
              <w:jc w:val="right"/>
              <w:rPr>
                <w:sz w:val="17"/>
              </w:rPr>
            </w:pPr>
            <w:hyperlink w:history="true" w:anchor="_bookmark50">
              <w:r>
                <w:rPr>
                  <w:w w:val="105"/>
                  <w:sz w:val="17"/>
                </w:rPr>
                <w:t>Sección 2.ª De los distribuidores de reaseguros . . . . . . . . . . . . . . . . . . . . . . . . . . . . . . . . . . . . . . . .</w:t>
              </w:r>
              <w:r>
                <w:rPr>
                  <w:sz w:val="17"/>
                </w:rPr>
                <w:t>  </w:t>
              </w:r>
            </w:hyperlink>
          </w:p>
        </w:tc>
        <w:tc>
          <w:tcPr>
            <w:tcW w:w="593" w:type="dxa"/>
          </w:tcPr>
          <w:p>
            <w:pPr>
              <w:pStyle w:val="TableParagraph"/>
              <w:spacing w:before="133"/>
              <w:ind w:left="101"/>
              <w:rPr>
                <w:sz w:val="17"/>
              </w:rPr>
            </w:pPr>
            <w:hyperlink w:history="true" w:anchor="_bookmark50">
              <w:r>
                <w:rPr>
                  <w:w w:val="105"/>
                  <w:sz w:val="17"/>
                </w:rPr>
                <w:t>129</w:t>
              </w:r>
            </w:hyperlink>
          </w:p>
        </w:tc>
      </w:tr>
      <w:tr>
        <w:trPr>
          <w:trHeight w:val="440" w:hRule="atLeast"/>
        </w:trPr>
        <w:tc>
          <w:tcPr>
            <w:tcW w:w="9218" w:type="dxa"/>
          </w:tcPr>
          <w:p>
            <w:pPr>
              <w:pStyle w:val="TableParagraph"/>
              <w:spacing w:before="128"/>
              <w:ind w:right="100"/>
              <w:jc w:val="right"/>
              <w:rPr>
                <w:sz w:val="17"/>
              </w:rPr>
            </w:pPr>
            <w:hyperlink w:history="true" w:anchor="_bookmark51">
              <w:r>
                <w:rPr>
                  <w:w w:val="105"/>
                  <w:sz w:val="17"/>
                </w:rPr>
                <w:t>Sección 3.ª De los cursos de formación de los distribuidores de seguros y de reaseguros . . . . . . . . . . . . .</w:t>
              </w:r>
              <w:r>
                <w:rPr>
                  <w:sz w:val="17"/>
                </w:rPr>
                <w:t>  </w:t>
              </w:r>
            </w:hyperlink>
          </w:p>
        </w:tc>
        <w:tc>
          <w:tcPr>
            <w:tcW w:w="593" w:type="dxa"/>
          </w:tcPr>
          <w:p>
            <w:pPr>
              <w:pStyle w:val="TableParagraph"/>
              <w:spacing w:before="133"/>
              <w:ind w:left="101"/>
              <w:rPr>
                <w:sz w:val="17"/>
              </w:rPr>
            </w:pPr>
            <w:hyperlink w:history="true" w:anchor="_bookmark51">
              <w:r>
                <w:rPr>
                  <w:w w:val="105"/>
                  <w:sz w:val="17"/>
                </w:rPr>
                <w:t>130</w:t>
              </w:r>
            </w:hyperlink>
          </w:p>
        </w:tc>
      </w:tr>
      <w:tr>
        <w:trPr>
          <w:trHeight w:val="440" w:hRule="atLeast"/>
        </w:trPr>
        <w:tc>
          <w:tcPr>
            <w:tcW w:w="9218" w:type="dxa"/>
          </w:tcPr>
          <w:p>
            <w:pPr>
              <w:pStyle w:val="TableParagraph"/>
              <w:spacing w:before="128"/>
              <w:ind w:right="99"/>
              <w:jc w:val="right"/>
              <w:rPr>
                <w:sz w:val="17"/>
              </w:rPr>
            </w:pPr>
            <w:hyperlink w:history="true" w:anchor="_bookmark52">
              <w:r>
                <w:rPr>
                  <w:w w:val="105"/>
                  <w:sz w:val="17"/>
                </w:rPr>
                <w:t>Sección 4.ª De los mecanismos de resolución de conflictos . . . . . . . . . . . . . . . . . . . . . . . . . . . . . . . .</w:t>
              </w:r>
              <w:r>
                <w:rPr>
                  <w:sz w:val="17"/>
                </w:rPr>
                <w:t>  </w:t>
              </w:r>
            </w:hyperlink>
          </w:p>
        </w:tc>
        <w:tc>
          <w:tcPr>
            <w:tcW w:w="593" w:type="dxa"/>
          </w:tcPr>
          <w:p>
            <w:pPr>
              <w:pStyle w:val="TableParagraph"/>
              <w:spacing w:before="133"/>
              <w:ind w:left="101"/>
              <w:rPr>
                <w:sz w:val="17"/>
              </w:rPr>
            </w:pPr>
            <w:hyperlink w:history="true" w:anchor="_bookmark52">
              <w:r>
                <w:rPr>
                  <w:w w:val="105"/>
                  <w:sz w:val="17"/>
                </w:rPr>
                <w:t>131</w:t>
              </w:r>
            </w:hyperlink>
          </w:p>
        </w:tc>
      </w:tr>
      <w:tr>
        <w:trPr>
          <w:trHeight w:val="920" w:hRule="atLeast"/>
        </w:trPr>
        <w:tc>
          <w:tcPr>
            <w:tcW w:w="9218" w:type="dxa"/>
          </w:tcPr>
          <w:p>
            <w:pPr>
              <w:pStyle w:val="TableParagraph"/>
              <w:spacing w:line="295" w:lineRule="auto" w:before="128"/>
              <w:ind w:left="799" w:right="99" w:hanging="200"/>
              <w:jc w:val="both"/>
              <w:rPr>
                <w:sz w:val="17"/>
              </w:rPr>
            </w:pPr>
            <w:hyperlink w:history="true" w:anchor="_bookmark53">
              <w:r>
                <w:rPr>
                  <w:w w:val="105"/>
                  <w:sz w:val="17"/>
                </w:rPr>
                <w:t>Sección 5.ª De la actividad de los mediadores de seguros y de reaseguros residentes o domiciliados en</w:t>
              </w:r>
            </w:hyperlink>
            <w:r>
              <w:rPr>
                <w:w w:val="105"/>
                <w:sz w:val="17"/>
              </w:rPr>
              <w:t> </w:t>
            </w:r>
            <w:hyperlink w:history="true" w:anchor="_bookmark53">
              <w:r>
                <w:rPr>
                  <w:w w:val="105"/>
                  <w:sz w:val="17"/>
                </w:rPr>
                <w:t>España en régimen de libre prestación de servicios y en régimen de derecho de establecimiento en otros</w:t>
              </w:r>
            </w:hyperlink>
            <w:r>
              <w:rPr>
                <w:w w:val="105"/>
                <w:sz w:val="17"/>
              </w:rPr>
              <w:t> </w:t>
            </w:r>
            <w:hyperlink w:history="true" w:anchor="_bookmark53">
              <w:r>
                <w:rPr>
                  <w:w w:val="105"/>
                  <w:sz w:val="17"/>
                </w:rPr>
                <w:t>estados miembros de la Unión Europea . . . . . . . . . . . . . . . . . . . . . . . . . . . . . . . . . . . . . . . . . . .</w:t>
              </w:r>
              <w:r>
                <w:rPr>
                  <w:sz w:val="17"/>
                </w:rPr>
                <w:t>  </w:t>
              </w:r>
            </w:hyperlink>
          </w:p>
        </w:tc>
        <w:tc>
          <w:tcPr>
            <w:tcW w:w="593" w:type="dxa"/>
          </w:tcPr>
          <w:p>
            <w:pPr>
              <w:pStyle w:val="TableParagraph"/>
              <w:rPr>
                <w:rFonts w:ascii="Times New Roman"/>
                <w:sz w:val="22"/>
              </w:rPr>
            </w:pPr>
          </w:p>
          <w:p>
            <w:pPr>
              <w:pStyle w:val="TableParagraph"/>
              <w:spacing w:before="3"/>
              <w:rPr>
                <w:rFonts w:ascii="Times New Roman"/>
                <w:sz w:val="31"/>
              </w:rPr>
            </w:pPr>
          </w:p>
          <w:p>
            <w:pPr>
              <w:pStyle w:val="TableParagraph"/>
              <w:ind w:left="101"/>
              <w:rPr>
                <w:sz w:val="17"/>
              </w:rPr>
            </w:pPr>
            <w:hyperlink w:history="true" w:anchor="_bookmark53">
              <w:r>
                <w:rPr>
                  <w:w w:val="105"/>
                  <w:sz w:val="17"/>
                </w:rPr>
                <w:t>132</w:t>
              </w:r>
            </w:hyperlink>
          </w:p>
        </w:tc>
      </w:tr>
      <w:tr>
        <w:trPr>
          <w:trHeight w:val="440" w:hRule="atLeast"/>
        </w:trPr>
        <w:tc>
          <w:tcPr>
            <w:tcW w:w="9218" w:type="dxa"/>
          </w:tcPr>
          <w:p>
            <w:pPr>
              <w:pStyle w:val="TableParagraph"/>
              <w:spacing w:before="128"/>
              <w:ind w:right="99"/>
              <w:jc w:val="right"/>
              <w:rPr>
                <w:sz w:val="17"/>
              </w:rPr>
            </w:pPr>
            <w:hyperlink w:history="true" w:anchor="_bookmark54">
              <w:r>
                <w:rPr>
                  <w:w w:val="105"/>
                  <w:sz w:val="17"/>
                </w:rPr>
                <w:t>Sección 6.ª Obligaciones de información y normas de conducta. . . . . . . . . . . . . . . . . . . . . . . . . . . . . .</w:t>
              </w:r>
              <w:r>
                <w:rPr>
                  <w:sz w:val="17"/>
                </w:rPr>
                <w:t>  </w:t>
              </w:r>
            </w:hyperlink>
          </w:p>
        </w:tc>
        <w:tc>
          <w:tcPr>
            <w:tcW w:w="593" w:type="dxa"/>
          </w:tcPr>
          <w:p>
            <w:pPr>
              <w:pStyle w:val="TableParagraph"/>
              <w:spacing w:before="133"/>
              <w:ind w:left="101"/>
              <w:rPr>
                <w:sz w:val="17"/>
              </w:rPr>
            </w:pPr>
            <w:hyperlink w:history="true" w:anchor="_bookmark54">
              <w:r>
                <w:rPr>
                  <w:w w:val="105"/>
                  <w:sz w:val="17"/>
                </w:rPr>
                <w:t>134</w:t>
              </w:r>
            </w:hyperlink>
          </w:p>
        </w:tc>
      </w:tr>
      <w:tr>
        <w:trPr>
          <w:trHeight w:val="440" w:hRule="atLeast"/>
        </w:trPr>
        <w:tc>
          <w:tcPr>
            <w:tcW w:w="9218" w:type="dxa"/>
          </w:tcPr>
          <w:p>
            <w:pPr>
              <w:pStyle w:val="TableParagraph"/>
              <w:spacing w:before="128"/>
              <w:ind w:right="99"/>
              <w:jc w:val="right"/>
              <w:rPr>
                <w:sz w:val="17"/>
              </w:rPr>
            </w:pPr>
            <w:hyperlink w:history="true" w:anchor="_bookmark55">
              <w:r>
                <w:rPr>
                  <w:w w:val="105"/>
                  <w:sz w:val="17"/>
                </w:rPr>
                <w:t>Subsección 1.ª Obligaciones generales de información . . . . . . . . . . . . . . . . . . . . . . . . . . . . . . . . .</w:t>
              </w:r>
              <w:r>
                <w:rPr>
                  <w:sz w:val="17"/>
                </w:rPr>
                <w:t>  </w:t>
              </w:r>
            </w:hyperlink>
          </w:p>
        </w:tc>
        <w:tc>
          <w:tcPr>
            <w:tcW w:w="593" w:type="dxa"/>
          </w:tcPr>
          <w:p>
            <w:pPr>
              <w:pStyle w:val="TableParagraph"/>
              <w:spacing w:before="133"/>
              <w:ind w:left="101"/>
              <w:rPr>
                <w:sz w:val="17"/>
              </w:rPr>
            </w:pPr>
            <w:hyperlink w:history="true" w:anchor="_bookmark55">
              <w:r>
                <w:rPr>
                  <w:w w:val="105"/>
                  <w:sz w:val="17"/>
                </w:rPr>
                <w:t>134</w:t>
              </w:r>
            </w:hyperlink>
          </w:p>
        </w:tc>
      </w:tr>
      <w:tr>
        <w:trPr>
          <w:trHeight w:val="680" w:hRule="atLeast"/>
        </w:trPr>
        <w:tc>
          <w:tcPr>
            <w:tcW w:w="9218" w:type="dxa"/>
          </w:tcPr>
          <w:p>
            <w:pPr>
              <w:pStyle w:val="TableParagraph"/>
              <w:spacing w:line="295" w:lineRule="auto" w:before="128"/>
              <w:ind w:left="999" w:right="99" w:hanging="201"/>
              <w:rPr>
                <w:sz w:val="17"/>
              </w:rPr>
            </w:pPr>
            <w:hyperlink w:history="true" w:anchor="_bookmark56">
              <w:r>
                <w:rPr>
                  <w:w w:val="105"/>
                  <w:sz w:val="17"/>
                </w:rPr>
                <w:t>Subsección 2.ª Requisitos adicionales en relación con la distribución de productos de inversión basados</w:t>
              </w:r>
            </w:hyperlink>
            <w:r>
              <w:rPr>
                <w:w w:val="105"/>
                <w:sz w:val="17"/>
              </w:rPr>
              <w:t> </w:t>
            </w:r>
            <w:hyperlink w:history="true" w:anchor="_bookmark56">
              <w:r>
                <w:rPr>
                  <w:w w:val="105"/>
                  <w:sz w:val="17"/>
                </w:rPr>
                <w:t>en seguros . . . . . . . . . . . . . . .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56">
              <w:r>
                <w:rPr>
                  <w:w w:val="105"/>
                  <w:sz w:val="17"/>
                </w:rPr>
                <w:t>137</w:t>
              </w:r>
            </w:hyperlink>
          </w:p>
        </w:tc>
      </w:tr>
      <w:tr>
        <w:trPr>
          <w:trHeight w:val="440" w:hRule="atLeast"/>
        </w:trPr>
        <w:tc>
          <w:tcPr>
            <w:tcW w:w="9218" w:type="dxa"/>
          </w:tcPr>
          <w:p>
            <w:pPr>
              <w:pStyle w:val="TableParagraph"/>
              <w:spacing w:before="128"/>
              <w:ind w:right="99"/>
              <w:jc w:val="right"/>
              <w:rPr>
                <w:sz w:val="17"/>
              </w:rPr>
            </w:pPr>
            <w:hyperlink w:history="true" w:anchor="_bookmark57">
              <w:r>
                <w:rPr>
                  <w:w w:val="105"/>
                  <w:sz w:val="17"/>
                </w:rPr>
                <w:t>Subsección 3.ª Modalidades de transmisión de la información . . . . . . . . . . . . . . . . . . . . . . . . . . . . .</w:t>
              </w:r>
              <w:r>
                <w:rPr>
                  <w:sz w:val="17"/>
                </w:rPr>
                <w:t>  </w:t>
              </w:r>
            </w:hyperlink>
          </w:p>
        </w:tc>
        <w:tc>
          <w:tcPr>
            <w:tcW w:w="593" w:type="dxa"/>
          </w:tcPr>
          <w:p>
            <w:pPr>
              <w:pStyle w:val="TableParagraph"/>
              <w:spacing w:before="133"/>
              <w:ind w:left="101"/>
              <w:rPr>
                <w:sz w:val="17"/>
              </w:rPr>
            </w:pPr>
            <w:hyperlink w:history="true" w:anchor="_bookmark57">
              <w:r>
                <w:rPr>
                  <w:w w:val="105"/>
                  <w:sz w:val="17"/>
                </w:rPr>
                <w:t>140</w:t>
              </w:r>
            </w:hyperlink>
          </w:p>
        </w:tc>
      </w:tr>
      <w:tr>
        <w:trPr>
          <w:trHeight w:val="440" w:hRule="atLeast"/>
        </w:trPr>
        <w:tc>
          <w:tcPr>
            <w:tcW w:w="9218" w:type="dxa"/>
          </w:tcPr>
          <w:p>
            <w:pPr>
              <w:pStyle w:val="TableParagraph"/>
              <w:spacing w:before="128"/>
              <w:ind w:right="99"/>
              <w:jc w:val="right"/>
              <w:rPr>
                <w:sz w:val="17"/>
              </w:rPr>
            </w:pPr>
            <w:hyperlink w:history="true" w:anchor="_bookmark58">
              <w:r>
                <w:rPr>
                  <w:w w:val="105"/>
                  <w:sz w:val="17"/>
                </w:rPr>
                <w:t>Subsección 4.ª Prácticas de ventas combinadas y vinculadas . . . . . . . . . . . . . . . . . . . . . . . . . . . . .</w:t>
              </w:r>
              <w:r>
                <w:rPr>
                  <w:sz w:val="17"/>
                </w:rPr>
                <w:t>  </w:t>
              </w:r>
            </w:hyperlink>
          </w:p>
        </w:tc>
        <w:tc>
          <w:tcPr>
            <w:tcW w:w="593" w:type="dxa"/>
          </w:tcPr>
          <w:p>
            <w:pPr>
              <w:pStyle w:val="TableParagraph"/>
              <w:spacing w:before="133"/>
              <w:ind w:left="101"/>
              <w:rPr>
                <w:sz w:val="17"/>
              </w:rPr>
            </w:pPr>
            <w:hyperlink w:history="true" w:anchor="_bookmark58">
              <w:r>
                <w:rPr>
                  <w:w w:val="105"/>
                  <w:sz w:val="17"/>
                </w:rPr>
                <w:t>142</w:t>
              </w:r>
            </w:hyperlink>
          </w:p>
        </w:tc>
      </w:tr>
      <w:tr>
        <w:trPr>
          <w:trHeight w:val="440" w:hRule="atLeast"/>
        </w:trPr>
        <w:tc>
          <w:tcPr>
            <w:tcW w:w="9218" w:type="dxa"/>
          </w:tcPr>
          <w:p>
            <w:pPr>
              <w:pStyle w:val="TableParagraph"/>
              <w:spacing w:before="128"/>
              <w:ind w:right="99"/>
              <w:jc w:val="right"/>
              <w:rPr>
                <w:sz w:val="17"/>
              </w:rPr>
            </w:pPr>
            <w:hyperlink w:history="true" w:anchor="_bookmark59">
              <w:r>
                <w:rPr>
                  <w:w w:val="105"/>
                  <w:sz w:val="17"/>
                </w:rPr>
                <w:t>Subsección 5.ª Control de productos y requisitos en materia de gobernanza . . . . . . . . . . . . . . . . . . . .</w:t>
              </w:r>
              <w:r>
                <w:rPr>
                  <w:sz w:val="17"/>
                </w:rPr>
                <w:t>  </w:t>
              </w:r>
            </w:hyperlink>
          </w:p>
        </w:tc>
        <w:tc>
          <w:tcPr>
            <w:tcW w:w="593" w:type="dxa"/>
          </w:tcPr>
          <w:p>
            <w:pPr>
              <w:pStyle w:val="TableParagraph"/>
              <w:spacing w:before="133"/>
              <w:ind w:left="101"/>
              <w:rPr>
                <w:sz w:val="17"/>
              </w:rPr>
            </w:pPr>
            <w:hyperlink w:history="true" w:anchor="_bookmark59">
              <w:r>
                <w:rPr>
                  <w:w w:val="105"/>
                  <w:sz w:val="17"/>
                </w:rPr>
                <w:t>142</w:t>
              </w:r>
            </w:hyperlink>
          </w:p>
        </w:tc>
      </w:tr>
      <w:tr>
        <w:trPr>
          <w:trHeight w:val="440" w:hRule="atLeast"/>
        </w:trPr>
        <w:tc>
          <w:tcPr>
            <w:tcW w:w="9218" w:type="dxa"/>
          </w:tcPr>
          <w:p>
            <w:pPr>
              <w:pStyle w:val="TableParagraph"/>
              <w:spacing w:before="128"/>
              <w:ind w:right="99"/>
              <w:jc w:val="right"/>
              <w:rPr>
                <w:sz w:val="17"/>
              </w:rPr>
            </w:pPr>
            <w:hyperlink w:history="true" w:anchor="_bookmark60">
              <w:r>
                <w:rPr>
                  <w:w w:val="105"/>
                  <w:sz w:val="17"/>
                </w:rPr>
                <w:t>Sección 7.ª Competencias de ordenación y supervisión . . . . . . . . . . . . . . . . . . . . . . . . . . . . . . . . . . .</w:t>
              </w:r>
              <w:r>
                <w:rPr>
                  <w:sz w:val="17"/>
                </w:rPr>
                <w:t>  </w:t>
              </w:r>
            </w:hyperlink>
          </w:p>
        </w:tc>
        <w:tc>
          <w:tcPr>
            <w:tcW w:w="593" w:type="dxa"/>
          </w:tcPr>
          <w:p>
            <w:pPr>
              <w:pStyle w:val="TableParagraph"/>
              <w:spacing w:before="133"/>
              <w:ind w:left="101"/>
              <w:rPr>
                <w:sz w:val="17"/>
              </w:rPr>
            </w:pPr>
            <w:hyperlink w:history="true" w:anchor="_bookmark60">
              <w:r>
                <w:rPr>
                  <w:w w:val="105"/>
                  <w:sz w:val="17"/>
                </w:rPr>
                <w:t>143</w:t>
              </w:r>
            </w:hyperlink>
          </w:p>
        </w:tc>
      </w:tr>
      <w:tr>
        <w:trPr>
          <w:trHeight w:val="440" w:hRule="atLeast"/>
        </w:trPr>
        <w:tc>
          <w:tcPr>
            <w:tcW w:w="9218" w:type="dxa"/>
          </w:tcPr>
          <w:p>
            <w:pPr>
              <w:pStyle w:val="TableParagraph"/>
              <w:spacing w:before="128"/>
              <w:ind w:right="99"/>
              <w:jc w:val="right"/>
              <w:rPr>
                <w:sz w:val="17"/>
              </w:rPr>
            </w:pPr>
            <w:hyperlink w:history="true" w:anchor="_bookmark61">
              <w:r>
                <w:rPr>
                  <w:w w:val="105"/>
                  <w:sz w:val="17"/>
                </w:rPr>
                <w:t>Subsección 1.ª Competencias de la Administración General del Estado . . . . . . . . . . . . . . . . . . . . . . .</w:t>
              </w:r>
              <w:r>
                <w:rPr>
                  <w:sz w:val="17"/>
                </w:rPr>
                <w:t>  </w:t>
              </w:r>
            </w:hyperlink>
          </w:p>
        </w:tc>
        <w:tc>
          <w:tcPr>
            <w:tcW w:w="593" w:type="dxa"/>
          </w:tcPr>
          <w:p>
            <w:pPr>
              <w:pStyle w:val="TableParagraph"/>
              <w:spacing w:before="133"/>
              <w:ind w:left="101"/>
              <w:rPr>
                <w:sz w:val="17"/>
              </w:rPr>
            </w:pPr>
            <w:hyperlink w:history="true" w:anchor="_bookmark61">
              <w:r>
                <w:rPr>
                  <w:w w:val="105"/>
                  <w:sz w:val="17"/>
                </w:rPr>
                <w:t>143</w:t>
              </w:r>
            </w:hyperlink>
          </w:p>
        </w:tc>
      </w:tr>
      <w:tr>
        <w:trPr>
          <w:trHeight w:val="440" w:hRule="atLeast"/>
        </w:trPr>
        <w:tc>
          <w:tcPr>
            <w:tcW w:w="9218" w:type="dxa"/>
          </w:tcPr>
          <w:p>
            <w:pPr>
              <w:pStyle w:val="TableParagraph"/>
              <w:spacing w:before="128"/>
              <w:ind w:right="100"/>
              <w:jc w:val="right"/>
              <w:rPr>
                <w:sz w:val="17"/>
              </w:rPr>
            </w:pPr>
            <w:hyperlink w:history="true" w:anchor="_bookmark62">
              <w:r>
                <w:rPr>
                  <w:w w:val="105"/>
                  <w:sz w:val="17"/>
                </w:rPr>
                <w:t>Subsección 2.ª Responsabilidad frente a la Administración y régimen de infracciones y sanciones . . . . . .</w:t>
              </w:r>
              <w:r>
                <w:rPr>
                  <w:sz w:val="17"/>
                </w:rPr>
                <w:t>  </w:t>
              </w:r>
            </w:hyperlink>
          </w:p>
        </w:tc>
        <w:tc>
          <w:tcPr>
            <w:tcW w:w="593" w:type="dxa"/>
          </w:tcPr>
          <w:p>
            <w:pPr>
              <w:pStyle w:val="TableParagraph"/>
              <w:spacing w:before="133"/>
              <w:ind w:left="101"/>
              <w:rPr>
                <w:sz w:val="17"/>
              </w:rPr>
            </w:pPr>
            <w:hyperlink w:history="true" w:anchor="_bookmark62">
              <w:r>
                <w:rPr>
                  <w:w w:val="105"/>
                  <w:sz w:val="17"/>
                </w:rPr>
                <w:t>145</w:t>
              </w:r>
            </w:hyperlink>
          </w:p>
        </w:tc>
      </w:tr>
      <w:tr>
        <w:trPr>
          <w:trHeight w:val="440" w:hRule="atLeast"/>
        </w:trPr>
        <w:tc>
          <w:tcPr>
            <w:tcW w:w="9218" w:type="dxa"/>
          </w:tcPr>
          <w:p>
            <w:pPr>
              <w:pStyle w:val="TableParagraph"/>
              <w:spacing w:before="128"/>
              <w:ind w:right="99"/>
              <w:jc w:val="right"/>
              <w:rPr>
                <w:sz w:val="17"/>
              </w:rPr>
            </w:pPr>
            <w:hyperlink w:history="true" w:anchor="_bookmark63">
              <w:r>
                <w:rPr>
                  <w:w w:val="105"/>
                  <w:sz w:val="17"/>
                </w:rPr>
                <w:t>Subsección 3.ª Protección de datos de carácter personal . . . . . . . . . . . . . . . . . . . . . . . . . . . . . . . .</w:t>
              </w:r>
              <w:r>
                <w:rPr>
                  <w:sz w:val="17"/>
                </w:rPr>
                <w:t>  </w:t>
              </w:r>
            </w:hyperlink>
          </w:p>
        </w:tc>
        <w:tc>
          <w:tcPr>
            <w:tcW w:w="593" w:type="dxa"/>
          </w:tcPr>
          <w:p>
            <w:pPr>
              <w:pStyle w:val="TableParagraph"/>
              <w:spacing w:before="133"/>
              <w:ind w:left="101"/>
              <w:rPr>
                <w:sz w:val="17"/>
              </w:rPr>
            </w:pPr>
            <w:hyperlink w:history="true" w:anchor="_bookmark63">
              <w:r>
                <w:rPr>
                  <w:w w:val="105"/>
                  <w:sz w:val="17"/>
                </w:rPr>
                <w:t>153</w:t>
              </w:r>
            </w:hyperlink>
          </w:p>
        </w:tc>
      </w:tr>
      <w:tr>
        <w:trPr>
          <w:trHeight w:val="440" w:hRule="atLeast"/>
        </w:trPr>
        <w:tc>
          <w:tcPr>
            <w:tcW w:w="9218" w:type="dxa"/>
          </w:tcPr>
          <w:p>
            <w:pPr>
              <w:pStyle w:val="TableParagraph"/>
              <w:spacing w:before="128"/>
              <w:ind w:right="99"/>
              <w:jc w:val="right"/>
              <w:rPr>
                <w:sz w:val="17"/>
              </w:rPr>
            </w:pPr>
            <w:hyperlink w:history="true" w:anchor="_bookmark64">
              <w:r>
                <w:rPr>
                  <w:w w:val="105"/>
                  <w:sz w:val="17"/>
                </w:rPr>
                <w:t>Sección 8.ª De los colegios de mediadores de seguros y de su consejo general . . . . . . . . . . . . . . . . . . .</w:t>
              </w:r>
              <w:r>
                <w:rPr>
                  <w:sz w:val="17"/>
                </w:rPr>
                <w:t>  </w:t>
              </w:r>
            </w:hyperlink>
          </w:p>
        </w:tc>
        <w:tc>
          <w:tcPr>
            <w:tcW w:w="593" w:type="dxa"/>
          </w:tcPr>
          <w:p>
            <w:pPr>
              <w:pStyle w:val="TableParagraph"/>
              <w:spacing w:before="133"/>
              <w:ind w:left="101"/>
              <w:rPr>
                <w:sz w:val="17"/>
              </w:rPr>
            </w:pPr>
            <w:hyperlink w:history="true" w:anchor="_bookmark64">
              <w:r>
                <w:rPr>
                  <w:w w:val="105"/>
                  <w:sz w:val="17"/>
                </w:rPr>
                <w:t>155</w:t>
              </w:r>
            </w:hyperlink>
          </w:p>
        </w:tc>
      </w:tr>
      <w:tr>
        <w:trPr>
          <w:trHeight w:val="679" w:hRule="atLeast"/>
        </w:trPr>
        <w:tc>
          <w:tcPr>
            <w:tcW w:w="9218" w:type="dxa"/>
          </w:tcPr>
          <w:p>
            <w:pPr>
              <w:pStyle w:val="TableParagraph"/>
              <w:spacing w:line="295" w:lineRule="auto" w:before="128"/>
              <w:ind w:left="600" w:right="99" w:hanging="201"/>
              <w:rPr>
                <w:sz w:val="17"/>
              </w:rPr>
            </w:pPr>
            <w:hyperlink w:history="true" w:anchor="_bookmark65">
              <w:r>
                <w:rPr>
                  <w:w w:val="105"/>
                  <w:sz w:val="17"/>
                </w:rPr>
                <w:t>CAPÍTULO IV. Distribuidores de seguros y de reaseguros residentes o domiciliados en otros Estados</w:t>
              </w:r>
            </w:hyperlink>
            <w:r>
              <w:rPr>
                <w:w w:val="105"/>
                <w:sz w:val="17"/>
              </w:rPr>
              <w:t> </w:t>
            </w:r>
            <w:hyperlink w:history="true" w:anchor="_bookmark65">
              <w:r>
                <w:rPr>
                  <w:w w:val="105"/>
                  <w:sz w:val="17"/>
                </w:rPr>
                <w:t>miembros de la Unión Europea . . . . .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65">
              <w:r>
                <w:rPr>
                  <w:w w:val="105"/>
                  <w:sz w:val="17"/>
                </w:rPr>
                <w:t>155</w:t>
              </w:r>
            </w:hyperlink>
          </w:p>
        </w:tc>
      </w:tr>
      <w:tr>
        <w:trPr>
          <w:trHeight w:val="680" w:hRule="atLeast"/>
        </w:trPr>
        <w:tc>
          <w:tcPr>
            <w:tcW w:w="9218" w:type="dxa"/>
          </w:tcPr>
          <w:p>
            <w:pPr>
              <w:pStyle w:val="TableParagraph"/>
              <w:spacing w:line="295" w:lineRule="auto" w:before="128"/>
              <w:ind w:left="799" w:right="99" w:hanging="200"/>
              <w:rPr>
                <w:sz w:val="17"/>
              </w:rPr>
            </w:pPr>
            <w:hyperlink w:history="true" w:anchor="_bookmark66">
              <w:r>
                <w:rPr>
                  <w:w w:val="105"/>
                  <w:sz w:val="17"/>
                </w:rPr>
                <w:t>Sección 1.ª De la actividad en España de los mediadores de seguros y de reaseguros residentes o</w:t>
              </w:r>
            </w:hyperlink>
            <w:r>
              <w:rPr>
                <w:w w:val="105"/>
                <w:sz w:val="17"/>
              </w:rPr>
              <w:t>  </w:t>
            </w:r>
            <w:hyperlink w:history="true" w:anchor="_bookmark66">
              <w:r>
                <w:rPr>
                  <w:w w:val="105"/>
                  <w:sz w:val="17"/>
                </w:rPr>
                <w:t>domiciliados en otros estados miembros de la Unión Europea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66">
              <w:r>
                <w:rPr>
                  <w:w w:val="105"/>
                  <w:sz w:val="17"/>
                </w:rPr>
                <w:t>155</w:t>
              </w:r>
            </w:hyperlink>
          </w:p>
        </w:tc>
      </w:tr>
      <w:tr>
        <w:trPr>
          <w:trHeight w:val="680" w:hRule="atLeast"/>
        </w:trPr>
        <w:tc>
          <w:tcPr>
            <w:tcW w:w="9218" w:type="dxa"/>
          </w:tcPr>
          <w:p>
            <w:pPr>
              <w:pStyle w:val="TableParagraph"/>
              <w:spacing w:line="295" w:lineRule="auto" w:before="128"/>
              <w:ind w:left="800" w:right="99" w:hanging="201"/>
              <w:rPr>
                <w:sz w:val="17"/>
              </w:rPr>
            </w:pPr>
            <w:hyperlink w:history="true" w:anchor="_bookmark67">
              <w:r>
                <w:rPr>
                  <w:w w:val="105"/>
                  <w:sz w:val="17"/>
                </w:rPr>
                <w:t>Sección</w:t>
              </w:r>
              <w:r>
                <w:rPr>
                  <w:spacing w:val="-10"/>
                  <w:w w:val="105"/>
                  <w:sz w:val="17"/>
                </w:rPr>
                <w:t> </w:t>
              </w:r>
              <w:r>
                <w:rPr>
                  <w:w w:val="105"/>
                  <w:sz w:val="17"/>
                </w:rPr>
                <w:t>2.ª</w:t>
              </w:r>
              <w:r>
                <w:rPr>
                  <w:spacing w:val="-10"/>
                  <w:w w:val="105"/>
                  <w:sz w:val="17"/>
                </w:rPr>
                <w:t> </w:t>
              </w:r>
              <w:r>
                <w:rPr>
                  <w:w w:val="105"/>
                  <w:sz w:val="17"/>
                </w:rPr>
                <w:t>Normas</w:t>
              </w:r>
              <w:r>
                <w:rPr>
                  <w:spacing w:val="-10"/>
                  <w:w w:val="105"/>
                  <w:sz w:val="17"/>
                </w:rPr>
                <w:t> </w:t>
              </w:r>
              <w:r>
                <w:rPr>
                  <w:w w:val="105"/>
                  <w:sz w:val="17"/>
                </w:rPr>
                <w:t>de</w:t>
              </w:r>
              <w:r>
                <w:rPr>
                  <w:spacing w:val="-10"/>
                  <w:w w:val="105"/>
                  <w:sz w:val="17"/>
                </w:rPr>
                <w:t> </w:t>
              </w:r>
              <w:r>
                <w:rPr>
                  <w:w w:val="105"/>
                  <w:sz w:val="17"/>
                </w:rPr>
                <w:t>interés</w:t>
              </w:r>
              <w:r>
                <w:rPr>
                  <w:spacing w:val="-9"/>
                  <w:w w:val="105"/>
                  <w:sz w:val="17"/>
                </w:rPr>
                <w:t> </w:t>
              </w:r>
              <w:r>
                <w:rPr>
                  <w:w w:val="105"/>
                  <w:sz w:val="17"/>
                </w:rPr>
                <w:t>general</w:t>
              </w:r>
              <w:r>
                <w:rPr>
                  <w:spacing w:val="-10"/>
                  <w:w w:val="105"/>
                  <w:sz w:val="17"/>
                </w:rPr>
                <w:t> </w:t>
              </w:r>
              <w:r>
                <w:rPr>
                  <w:w w:val="105"/>
                  <w:sz w:val="17"/>
                </w:rPr>
                <w:t>aplicables</w:t>
              </w:r>
              <w:r>
                <w:rPr>
                  <w:spacing w:val="-10"/>
                  <w:w w:val="105"/>
                  <w:sz w:val="17"/>
                </w:rPr>
                <w:t> </w:t>
              </w:r>
              <w:r>
                <w:rPr>
                  <w:w w:val="105"/>
                  <w:sz w:val="17"/>
                </w:rPr>
                <w:t>a</w:t>
              </w:r>
              <w:r>
                <w:rPr>
                  <w:spacing w:val="-10"/>
                  <w:w w:val="105"/>
                  <w:sz w:val="17"/>
                </w:rPr>
                <w:t> </w:t>
              </w:r>
              <w:r>
                <w:rPr>
                  <w:w w:val="105"/>
                  <w:sz w:val="17"/>
                </w:rPr>
                <w:t>los</w:t>
              </w:r>
              <w:r>
                <w:rPr>
                  <w:spacing w:val="-9"/>
                  <w:w w:val="105"/>
                  <w:sz w:val="17"/>
                </w:rPr>
                <w:t> </w:t>
              </w:r>
              <w:r>
                <w:rPr>
                  <w:w w:val="105"/>
                  <w:sz w:val="17"/>
                </w:rPr>
                <w:t>distribuidores</w:t>
              </w:r>
              <w:r>
                <w:rPr>
                  <w:spacing w:val="-10"/>
                  <w:w w:val="105"/>
                  <w:sz w:val="17"/>
                </w:rPr>
                <w:t> </w:t>
              </w:r>
              <w:r>
                <w:rPr>
                  <w:w w:val="105"/>
                  <w:sz w:val="17"/>
                </w:rPr>
                <w:t>de</w:t>
              </w:r>
              <w:r>
                <w:rPr>
                  <w:spacing w:val="-10"/>
                  <w:w w:val="105"/>
                  <w:sz w:val="17"/>
                </w:rPr>
                <w:t> </w:t>
              </w:r>
              <w:r>
                <w:rPr>
                  <w:w w:val="105"/>
                  <w:sz w:val="17"/>
                </w:rPr>
                <w:t>seguros</w:t>
              </w:r>
              <w:r>
                <w:rPr>
                  <w:spacing w:val="-10"/>
                  <w:w w:val="105"/>
                  <w:sz w:val="17"/>
                </w:rPr>
                <w:t> </w:t>
              </w:r>
              <w:r>
                <w:rPr>
                  <w:w w:val="105"/>
                  <w:sz w:val="17"/>
                </w:rPr>
                <w:t>y</w:t>
              </w:r>
              <w:r>
                <w:rPr>
                  <w:spacing w:val="-10"/>
                  <w:w w:val="105"/>
                  <w:sz w:val="17"/>
                </w:rPr>
                <w:t> </w:t>
              </w:r>
              <w:r>
                <w:rPr>
                  <w:w w:val="105"/>
                  <w:sz w:val="17"/>
                </w:rPr>
                <w:t>de</w:t>
              </w:r>
              <w:r>
                <w:rPr>
                  <w:spacing w:val="-9"/>
                  <w:w w:val="105"/>
                  <w:sz w:val="17"/>
                </w:rPr>
                <w:t> </w:t>
              </w:r>
              <w:r>
                <w:rPr>
                  <w:w w:val="105"/>
                  <w:sz w:val="17"/>
                </w:rPr>
                <w:t>reaseguros</w:t>
              </w:r>
              <w:r>
                <w:rPr>
                  <w:spacing w:val="-10"/>
                  <w:w w:val="105"/>
                  <w:sz w:val="17"/>
                </w:rPr>
                <w:t> </w:t>
              </w:r>
              <w:r>
                <w:rPr>
                  <w:w w:val="105"/>
                  <w:sz w:val="17"/>
                </w:rPr>
                <w:t>residentes</w:t>
              </w:r>
            </w:hyperlink>
            <w:r>
              <w:rPr>
                <w:w w:val="105"/>
                <w:sz w:val="17"/>
              </w:rPr>
              <w:t> </w:t>
            </w:r>
            <w:hyperlink w:history="true" w:anchor="_bookmark67">
              <w:r>
                <w:rPr>
                  <w:w w:val="105"/>
                  <w:sz w:val="17"/>
                </w:rPr>
                <w:t>o</w:t>
              </w:r>
              <w:r>
                <w:rPr>
                  <w:spacing w:val="-6"/>
                  <w:w w:val="105"/>
                  <w:sz w:val="17"/>
                </w:rPr>
                <w:t> </w:t>
              </w:r>
              <w:r>
                <w:rPr>
                  <w:w w:val="105"/>
                  <w:sz w:val="17"/>
                </w:rPr>
                <w:t>domiciliados</w:t>
              </w:r>
              <w:r>
                <w:rPr>
                  <w:spacing w:val="-5"/>
                  <w:w w:val="105"/>
                  <w:sz w:val="17"/>
                </w:rPr>
                <w:t> </w:t>
              </w:r>
              <w:r>
                <w:rPr>
                  <w:w w:val="105"/>
                  <w:sz w:val="17"/>
                </w:rPr>
                <w:t>en</w:t>
              </w:r>
              <w:r>
                <w:rPr>
                  <w:spacing w:val="-5"/>
                  <w:w w:val="105"/>
                  <w:sz w:val="17"/>
                </w:rPr>
                <w:t> </w:t>
              </w:r>
              <w:r>
                <w:rPr>
                  <w:w w:val="105"/>
                  <w:sz w:val="17"/>
                </w:rPr>
                <w:t>otros</w:t>
              </w:r>
              <w:r>
                <w:rPr>
                  <w:spacing w:val="-5"/>
                  <w:w w:val="105"/>
                  <w:sz w:val="17"/>
                </w:rPr>
                <w:t> </w:t>
              </w:r>
              <w:r>
                <w:rPr>
                  <w:w w:val="105"/>
                  <w:sz w:val="17"/>
                </w:rPr>
                <w:t>estados</w:t>
              </w:r>
              <w:r>
                <w:rPr>
                  <w:spacing w:val="-5"/>
                  <w:w w:val="105"/>
                  <w:sz w:val="17"/>
                </w:rPr>
                <w:t> </w:t>
              </w:r>
              <w:r>
                <w:rPr>
                  <w:w w:val="105"/>
                  <w:sz w:val="17"/>
                </w:rPr>
                <w:t>miembros</w:t>
              </w:r>
              <w:r>
                <w:rPr>
                  <w:spacing w:val="-5"/>
                  <w:w w:val="105"/>
                  <w:sz w:val="17"/>
                </w:rPr>
                <w:t> </w:t>
              </w:r>
              <w:r>
                <w:rPr>
                  <w:w w:val="105"/>
                  <w:sz w:val="17"/>
                </w:rPr>
                <w:t>de</w:t>
              </w:r>
              <w:r>
                <w:rPr>
                  <w:spacing w:val="-5"/>
                  <w:w w:val="105"/>
                  <w:sz w:val="17"/>
                </w:rPr>
                <w:t> </w:t>
              </w:r>
              <w:r>
                <w:rPr>
                  <w:w w:val="105"/>
                  <w:sz w:val="17"/>
                </w:rPr>
                <w:t>la</w:t>
              </w:r>
              <w:r>
                <w:rPr>
                  <w:spacing w:val="-5"/>
                  <w:w w:val="105"/>
                  <w:sz w:val="17"/>
                </w:rPr>
                <w:t> </w:t>
              </w:r>
              <w:r>
                <w:rPr>
                  <w:w w:val="105"/>
                  <w:sz w:val="17"/>
                </w:rPr>
                <w:t>Unión</w:t>
              </w:r>
              <w:r>
                <w:rPr>
                  <w:spacing w:val="-5"/>
                  <w:w w:val="105"/>
                  <w:sz w:val="17"/>
                </w:rPr>
                <w:t> </w:t>
              </w:r>
              <w:r>
                <w:rPr>
                  <w:w w:val="105"/>
                  <w:sz w:val="17"/>
                </w:rPr>
                <w:t>Europea</w:t>
              </w:r>
              <w:r>
                <w:rPr>
                  <w:spacing w:val="-9"/>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7"/>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w w:val="105"/>
                  <w:sz w:val="17"/>
                </w:rPr>
                <w:t>.</w:t>
              </w:r>
              <w:r>
                <w:rPr>
                  <w:sz w:val="17"/>
                </w:rPr>
                <w:t> </w:t>
              </w:r>
              <w:r>
                <w:rPr>
                  <w:spacing w:val="-24"/>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67">
              <w:r>
                <w:rPr>
                  <w:w w:val="105"/>
                  <w:sz w:val="17"/>
                </w:rPr>
                <w:t>158</w:t>
              </w:r>
            </w:hyperlink>
          </w:p>
        </w:tc>
      </w:tr>
      <w:tr>
        <w:trPr>
          <w:trHeight w:val="680" w:hRule="atLeast"/>
        </w:trPr>
        <w:tc>
          <w:tcPr>
            <w:tcW w:w="9218" w:type="dxa"/>
          </w:tcPr>
          <w:p>
            <w:pPr>
              <w:pStyle w:val="TableParagraph"/>
              <w:spacing w:line="295" w:lineRule="auto" w:before="128"/>
              <w:ind w:left="400" w:right="-1" w:hanging="201"/>
              <w:rPr>
                <w:sz w:val="17"/>
              </w:rPr>
            </w:pPr>
            <w:hyperlink w:history="true" w:anchor="_bookmark68">
              <w:r>
                <w:rPr>
                  <w:w w:val="105"/>
                  <w:sz w:val="17"/>
                </w:rPr>
                <w:t>TÍTULO II. Transposición parcial de la Directiva (UE) 2016/2341 del Parlamento Europeo y del Consejo, de 14 de</w:t>
              </w:r>
            </w:hyperlink>
            <w:r>
              <w:rPr>
                <w:w w:val="105"/>
                <w:sz w:val="17"/>
              </w:rPr>
              <w:t> </w:t>
            </w:r>
            <w:hyperlink w:history="true" w:anchor="_bookmark68">
              <w:r>
                <w:rPr>
                  <w:w w:val="105"/>
                  <w:sz w:val="17"/>
                </w:rPr>
                <w:t>diciembre de 2016, relativa a las actividades y la supervisión de los fondos de pensiones de empleo. . . . . . . .</w:t>
              </w:r>
              <w:r>
                <w:rPr>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68">
              <w:r>
                <w:rPr>
                  <w:w w:val="105"/>
                  <w:sz w:val="17"/>
                </w:rPr>
                <w:t>158</w:t>
              </w:r>
            </w:hyperlink>
          </w:p>
        </w:tc>
      </w:tr>
      <w:tr>
        <w:trPr>
          <w:trHeight w:val="680" w:hRule="atLeast"/>
        </w:trPr>
        <w:tc>
          <w:tcPr>
            <w:tcW w:w="9218" w:type="dxa"/>
          </w:tcPr>
          <w:p>
            <w:pPr>
              <w:pStyle w:val="TableParagraph"/>
              <w:spacing w:line="295" w:lineRule="auto" w:before="128"/>
              <w:ind w:left="400" w:right="99" w:hanging="200"/>
              <w:rPr>
                <w:sz w:val="17"/>
              </w:rPr>
            </w:pPr>
            <w:hyperlink w:history="true" w:anchor="_bookmark69">
              <w:r>
                <w:rPr>
                  <w:w w:val="105"/>
                  <w:sz w:val="17"/>
                </w:rPr>
                <w:t>TÍTULO III. Modificación de la Ley 20/2015, de 14 de julio, de ordenación, supervisión y solvencia de las</w:t>
              </w:r>
            </w:hyperlink>
            <w:r>
              <w:rPr>
                <w:w w:val="105"/>
                <w:sz w:val="17"/>
              </w:rPr>
              <w:t> </w:t>
            </w:r>
            <w:hyperlink w:history="true" w:anchor="_bookmark69">
              <w:r>
                <w:rPr>
                  <w:w w:val="105"/>
                  <w:sz w:val="17"/>
                </w:rPr>
                <w:t>entidades aseguradoras y reaseguradoras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before="1"/>
              <w:ind w:left="101"/>
              <w:rPr>
                <w:sz w:val="17"/>
              </w:rPr>
            </w:pPr>
            <w:hyperlink w:history="true" w:anchor="_bookmark69">
              <w:r>
                <w:rPr>
                  <w:w w:val="105"/>
                  <w:sz w:val="17"/>
                </w:rPr>
                <w:t>183</w:t>
              </w:r>
            </w:hyperlink>
          </w:p>
        </w:tc>
      </w:tr>
      <w:tr>
        <w:trPr>
          <w:trHeight w:val="579" w:hRule="atLeast"/>
        </w:trPr>
        <w:tc>
          <w:tcPr>
            <w:tcW w:w="9218" w:type="dxa"/>
          </w:tcPr>
          <w:p>
            <w:pPr>
              <w:pStyle w:val="TableParagraph"/>
              <w:spacing w:line="240" w:lineRule="atLeast" w:before="83"/>
              <w:ind w:left="399" w:right="99" w:hanging="200"/>
              <w:rPr>
                <w:sz w:val="17"/>
              </w:rPr>
            </w:pPr>
            <w:hyperlink w:history="true" w:anchor="_bookmark70">
              <w:r>
                <w:rPr>
                  <w:w w:val="105"/>
                  <w:sz w:val="17"/>
                </w:rPr>
                <w:t>LIBRO TERCERO. Medidas para la adaptación del derecho español a determinada normativa europea en</w:t>
              </w:r>
            </w:hyperlink>
            <w:r>
              <w:rPr>
                <w:w w:val="105"/>
                <w:sz w:val="17"/>
              </w:rPr>
              <w:t> </w:t>
            </w:r>
            <w:hyperlink w:history="true" w:anchor="_bookmark70">
              <w:r>
                <w:rPr>
                  <w:w w:val="105"/>
                  <w:sz w:val="17"/>
                </w:rPr>
                <w:t>materia fiscal. . . . . . . . . . . . . . . . . . . . . . . . . . . . . . . . . . . . . . . . . . . . . . . . . . . . . . . . . . . . . . . .</w:t>
              </w:r>
              <w:r>
                <w:rPr>
                  <w:sz w:val="17"/>
                </w:rPr>
                <w:t>  </w:t>
              </w:r>
            </w:hyperlink>
          </w:p>
        </w:tc>
        <w:tc>
          <w:tcPr>
            <w:tcW w:w="593" w:type="dxa"/>
          </w:tcPr>
          <w:p>
            <w:pPr>
              <w:pStyle w:val="TableParagraph"/>
              <w:spacing w:before="4"/>
              <w:rPr>
                <w:rFonts w:ascii="Times New Roman"/>
                <w:sz w:val="32"/>
              </w:rPr>
            </w:pPr>
          </w:p>
          <w:p>
            <w:pPr>
              <w:pStyle w:val="TableParagraph"/>
              <w:spacing w:line="187" w:lineRule="exact" w:before="1"/>
              <w:ind w:left="101"/>
              <w:rPr>
                <w:sz w:val="17"/>
              </w:rPr>
            </w:pPr>
            <w:hyperlink w:history="true" w:anchor="_bookmark70">
              <w:r>
                <w:rPr>
                  <w:w w:val="105"/>
                  <w:sz w:val="17"/>
                </w:rPr>
                <w:t>185</w:t>
              </w:r>
            </w:hyperlink>
          </w:p>
        </w:tc>
      </w:tr>
    </w:tbl>
    <w:p>
      <w:pPr>
        <w:spacing w:after="0" w:line="187" w:lineRule="exact"/>
        <w:rPr>
          <w:sz w:val="17"/>
        </w:rPr>
        <w:sectPr>
          <w:pgSz w:w="11910" w:h="16840"/>
          <w:pgMar w:header="529" w:footer="570" w:top="1200" w:bottom="760" w:left="740" w:right="540"/>
        </w:sectPr>
      </w:pPr>
    </w:p>
    <w:p>
      <w:pPr>
        <w:pStyle w:val="BodyText"/>
        <w:spacing w:before="0"/>
        <w:ind w:left="0" w:firstLine="0"/>
        <w:jc w:val="left"/>
        <w:rPr>
          <w:rFonts w:ascii="Times New Roman"/>
        </w:rPr>
      </w:pPr>
    </w:p>
    <w:p>
      <w:pPr>
        <w:pStyle w:val="BodyText"/>
        <w:spacing w:before="3"/>
        <w:ind w:left="0" w:firstLine="0"/>
        <w:jc w:val="left"/>
        <w:rPr>
          <w:rFonts w:ascii="Times New Roman"/>
        </w:rPr>
      </w:pPr>
    </w:p>
    <w:tbl>
      <w:tblPr>
        <w:tblW w:w="0" w:type="auto"/>
        <w:jc w:val="left"/>
        <w:tblInd w:w="7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18"/>
        <w:gridCol w:w="592"/>
      </w:tblGrid>
      <w:tr>
        <w:trPr>
          <w:trHeight w:val="1779" w:hRule="atLeast"/>
        </w:trPr>
        <w:tc>
          <w:tcPr>
            <w:tcW w:w="9218" w:type="dxa"/>
          </w:tcPr>
          <w:p>
            <w:pPr>
              <w:pStyle w:val="TableParagraph"/>
              <w:spacing w:line="295" w:lineRule="auto" w:before="27"/>
              <w:ind w:left="399" w:right="99" w:hanging="200"/>
              <w:jc w:val="both"/>
              <w:rPr>
                <w:sz w:val="17"/>
              </w:rPr>
            </w:pPr>
            <w:hyperlink w:history="true" w:anchor="_bookmark71">
              <w:r>
                <w:rPr>
                  <w:w w:val="105"/>
                  <w:sz w:val="17"/>
                </w:rPr>
                <w:t>TÍTULO I. Transposición de la Directiva (UE) 2018/1910 del Consejo, de 4 de diciembre de 2018, por la que se</w:t>
              </w:r>
            </w:hyperlink>
            <w:r>
              <w:rPr>
                <w:w w:val="105"/>
                <w:sz w:val="17"/>
              </w:rPr>
              <w:t> </w:t>
            </w:r>
            <w:hyperlink w:history="true" w:anchor="_bookmark71">
              <w:r>
                <w:rPr>
                  <w:w w:val="105"/>
                  <w:sz w:val="17"/>
                </w:rPr>
                <w:t>modifica la Directiva 2006/112/CE en lo que se refiere a la armonización y la simplificación de determinadas</w:t>
              </w:r>
            </w:hyperlink>
            <w:r>
              <w:rPr>
                <w:w w:val="105"/>
                <w:sz w:val="17"/>
              </w:rPr>
              <w:t> </w:t>
            </w:r>
            <w:hyperlink w:history="true" w:anchor="_bookmark71">
              <w:r>
                <w:rPr>
                  <w:w w:val="105"/>
                  <w:sz w:val="17"/>
                </w:rPr>
                <w:t>normas</w:t>
              </w:r>
              <w:r>
                <w:rPr>
                  <w:spacing w:val="-11"/>
                  <w:w w:val="105"/>
                  <w:sz w:val="17"/>
                </w:rPr>
                <w:t> </w:t>
              </w:r>
              <w:r>
                <w:rPr>
                  <w:w w:val="105"/>
                  <w:sz w:val="17"/>
                </w:rPr>
                <w:t>del</w:t>
              </w:r>
              <w:r>
                <w:rPr>
                  <w:spacing w:val="-11"/>
                  <w:w w:val="105"/>
                  <w:sz w:val="17"/>
                </w:rPr>
                <w:t> </w:t>
              </w:r>
              <w:r>
                <w:rPr>
                  <w:w w:val="105"/>
                  <w:sz w:val="17"/>
                </w:rPr>
                <w:t>régimen</w:t>
              </w:r>
              <w:r>
                <w:rPr>
                  <w:spacing w:val="-10"/>
                  <w:w w:val="105"/>
                  <w:sz w:val="17"/>
                </w:rPr>
                <w:t> </w:t>
              </w:r>
              <w:r>
                <w:rPr>
                  <w:w w:val="105"/>
                  <w:sz w:val="17"/>
                </w:rPr>
                <w:t>del</w:t>
              </w:r>
              <w:r>
                <w:rPr>
                  <w:spacing w:val="-11"/>
                  <w:w w:val="105"/>
                  <w:sz w:val="17"/>
                </w:rPr>
                <w:t> </w:t>
              </w:r>
              <w:r>
                <w:rPr>
                  <w:w w:val="105"/>
                  <w:sz w:val="17"/>
                </w:rPr>
                <w:t>impuesto</w:t>
              </w:r>
              <w:r>
                <w:rPr>
                  <w:spacing w:val="-11"/>
                  <w:w w:val="105"/>
                  <w:sz w:val="17"/>
                </w:rPr>
                <w:t> </w:t>
              </w:r>
              <w:r>
                <w:rPr>
                  <w:w w:val="105"/>
                  <w:sz w:val="17"/>
                </w:rPr>
                <w:t>sobre</w:t>
              </w:r>
              <w:r>
                <w:rPr>
                  <w:spacing w:val="-10"/>
                  <w:w w:val="105"/>
                  <w:sz w:val="17"/>
                </w:rPr>
                <w:t> </w:t>
              </w:r>
              <w:r>
                <w:rPr>
                  <w:w w:val="105"/>
                  <w:sz w:val="17"/>
                </w:rPr>
                <w:t>el</w:t>
              </w:r>
              <w:r>
                <w:rPr>
                  <w:spacing w:val="-11"/>
                  <w:w w:val="105"/>
                  <w:sz w:val="17"/>
                </w:rPr>
                <w:t> </w:t>
              </w:r>
              <w:r>
                <w:rPr>
                  <w:w w:val="105"/>
                  <w:sz w:val="17"/>
                </w:rPr>
                <w:t>valor</w:t>
              </w:r>
              <w:r>
                <w:rPr>
                  <w:spacing w:val="-10"/>
                  <w:w w:val="105"/>
                  <w:sz w:val="17"/>
                </w:rPr>
                <w:t> </w:t>
              </w:r>
              <w:r>
                <w:rPr>
                  <w:w w:val="105"/>
                  <w:sz w:val="17"/>
                </w:rPr>
                <w:t>añadido</w:t>
              </w:r>
              <w:r>
                <w:rPr>
                  <w:spacing w:val="-11"/>
                  <w:w w:val="105"/>
                  <w:sz w:val="17"/>
                </w:rPr>
                <w:t> </w:t>
              </w:r>
              <w:r>
                <w:rPr>
                  <w:w w:val="105"/>
                  <w:sz w:val="17"/>
                </w:rPr>
                <w:t>en</w:t>
              </w:r>
              <w:r>
                <w:rPr>
                  <w:spacing w:val="-11"/>
                  <w:w w:val="105"/>
                  <w:sz w:val="17"/>
                </w:rPr>
                <w:t> </w:t>
              </w:r>
              <w:r>
                <w:rPr>
                  <w:w w:val="105"/>
                  <w:sz w:val="17"/>
                </w:rPr>
                <w:t>la</w:t>
              </w:r>
              <w:r>
                <w:rPr>
                  <w:spacing w:val="-11"/>
                  <w:w w:val="105"/>
                  <w:sz w:val="17"/>
                </w:rPr>
                <w:t> </w:t>
              </w:r>
              <w:r>
                <w:rPr>
                  <w:w w:val="105"/>
                  <w:sz w:val="17"/>
                </w:rPr>
                <w:t>imposición</w:t>
              </w:r>
              <w:r>
                <w:rPr>
                  <w:spacing w:val="-11"/>
                  <w:w w:val="105"/>
                  <w:sz w:val="17"/>
                </w:rPr>
                <w:t> </w:t>
              </w:r>
              <w:r>
                <w:rPr>
                  <w:w w:val="105"/>
                  <w:sz w:val="17"/>
                </w:rPr>
                <w:t>de</w:t>
              </w:r>
              <w:r>
                <w:rPr>
                  <w:spacing w:val="-11"/>
                  <w:w w:val="105"/>
                  <w:sz w:val="17"/>
                </w:rPr>
                <w:t> </w:t>
              </w:r>
              <w:r>
                <w:rPr>
                  <w:w w:val="105"/>
                  <w:sz w:val="17"/>
                </w:rPr>
                <w:t>los</w:t>
              </w:r>
              <w:r>
                <w:rPr>
                  <w:spacing w:val="-10"/>
                  <w:w w:val="105"/>
                  <w:sz w:val="17"/>
                </w:rPr>
                <w:t> </w:t>
              </w:r>
              <w:r>
                <w:rPr>
                  <w:w w:val="105"/>
                  <w:sz w:val="17"/>
                </w:rPr>
                <w:t>intercambios</w:t>
              </w:r>
              <w:r>
                <w:rPr>
                  <w:spacing w:val="-11"/>
                  <w:w w:val="105"/>
                  <w:sz w:val="17"/>
                </w:rPr>
                <w:t> </w:t>
              </w:r>
              <w:r>
                <w:rPr>
                  <w:w w:val="105"/>
                  <w:sz w:val="17"/>
                </w:rPr>
                <w:t>entre</w:t>
              </w:r>
              <w:r>
                <w:rPr>
                  <w:spacing w:val="-11"/>
                  <w:w w:val="105"/>
                  <w:sz w:val="17"/>
                </w:rPr>
                <w:t> </w:t>
              </w:r>
              <w:r>
                <w:rPr>
                  <w:w w:val="105"/>
                  <w:sz w:val="17"/>
                </w:rPr>
                <w:t>los</w:t>
              </w:r>
              <w:r>
                <w:rPr>
                  <w:spacing w:val="-11"/>
                  <w:w w:val="105"/>
                  <w:sz w:val="17"/>
                </w:rPr>
                <w:t> </w:t>
              </w:r>
              <w:r>
                <w:rPr>
                  <w:w w:val="105"/>
                  <w:sz w:val="17"/>
                </w:rPr>
                <w:t>Estados</w:t>
              </w:r>
            </w:hyperlink>
            <w:r>
              <w:rPr>
                <w:w w:val="105"/>
                <w:sz w:val="17"/>
              </w:rPr>
              <w:t> </w:t>
            </w:r>
            <w:hyperlink w:history="true" w:anchor="_bookmark71">
              <w:r>
                <w:rPr>
                  <w:w w:val="105"/>
                  <w:sz w:val="17"/>
                </w:rPr>
                <w:t>miembros, y la Directiva (UE) 2019/475 del Consejo, de 18 de febrero de 2019, por la que se modifican las</w:t>
              </w:r>
            </w:hyperlink>
            <w:r>
              <w:rPr>
                <w:w w:val="105"/>
                <w:sz w:val="17"/>
              </w:rPr>
              <w:t> </w:t>
            </w:r>
            <w:hyperlink w:history="true" w:anchor="_bookmark71">
              <w:r>
                <w:rPr>
                  <w:w w:val="105"/>
                  <w:sz w:val="17"/>
                </w:rPr>
                <w:t>Directivas 2006/112/CE y 2008/118/CE en lo que respecta a la inclusión del municipio italiano de Campione</w:t>
              </w:r>
            </w:hyperlink>
            <w:r>
              <w:rPr>
                <w:w w:val="105"/>
                <w:sz w:val="17"/>
              </w:rPr>
              <w:t> </w:t>
            </w:r>
            <w:hyperlink w:history="true" w:anchor="_bookmark71">
              <w:r>
                <w:rPr>
                  <w:w w:val="105"/>
                  <w:sz w:val="17"/>
                </w:rPr>
                <w:t>d’Italia y las aguas italianas del lago de Lugano en el territorio aduanero de la Unión y en el ámbito de</w:t>
              </w:r>
            </w:hyperlink>
            <w:r>
              <w:rPr>
                <w:w w:val="105"/>
                <w:sz w:val="17"/>
              </w:rPr>
              <w:t> </w:t>
            </w:r>
            <w:hyperlink w:history="true" w:anchor="_bookmark71">
              <w:r>
                <w:rPr>
                  <w:w w:val="105"/>
                  <w:sz w:val="17"/>
                </w:rPr>
                <w:t>aplicación</w:t>
              </w:r>
              <w:r>
                <w:rPr>
                  <w:spacing w:val="-5"/>
                  <w:w w:val="105"/>
                  <w:sz w:val="17"/>
                </w:rPr>
                <w:t> </w:t>
              </w:r>
              <w:r>
                <w:rPr>
                  <w:w w:val="105"/>
                  <w:sz w:val="17"/>
                </w:rPr>
                <w:t>territorial</w:t>
              </w:r>
              <w:r>
                <w:rPr>
                  <w:spacing w:val="-4"/>
                  <w:w w:val="105"/>
                  <w:sz w:val="17"/>
                </w:rPr>
                <w:t> </w:t>
              </w:r>
              <w:r>
                <w:rPr>
                  <w:w w:val="105"/>
                  <w:sz w:val="17"/>
                </w:rPr>
                <w:t>de</w:t>
              </w:r>
              <w:r>
                <w:rPr>
                  <w:spacing w:val="-4"/>
                  <w:w w:val="105"/>
                  <w:sz w:val="17"/>
                </w:rPr>
                <w:t> </w:t>
              </w:r>
              <w:r>
                <w:rPr>
                  <w:w w:val="105"/>
                  <w:sz w:val="17"/>
                </w:rPr>
                <w:t>la</w:t>
              </w:r>
              <w:r>
                <w:rPr>
                  <w:spacing w:val="-5"/>
                  <w:w w:val="105"/>
                  <w:sz w:val="17"/>
                </w:rPr>
                <w:t> </w:t>
              </w:r>
              <w:r>
                <w:rPr>
                  <w:w w:val="105"/>
                  <w:sz w:val="17"/>
                </w:rPr>
                <w:t>Directiva</w:t>
              </w:r>
              <w:r>
                <w:rPr>
                  <w:spacing w:val="-4"/>
                  <w:w w:val="105"/>
                  <w:sz w:val="17"/>
                </w:rPr>
                <w:t> </w:t>
              </w:r>
              <w:r>
                <w:rPr>
                  <w:w w:val="105"/>
                  <w:sz w:val="17"/>
                </w:rPr>
                <w:t>2008/118/CE</w:t>
              </w:r>
              <w:r>
                <w:rPr>
                  <w:spacing w:val="7"/>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w w:val="105"/>
                  <w:sz w:val="17"/>
                </w:rPr>
                <w:t>.</w:t>
              </w:r>
              <w:r>
                <w:rPr>
                  <w:sz w:val="17"/>
                </w:rPr>
                <w:t> </w:t>
              </w:r>
              <w:r>
                <w:rPr>
                  <w:spacing w:val="-24"/>
                  <w:sz w:val="17"/>
                </w:rPr>
                <w:t> </w:t>
              </w:r>
            </w:hyperlink>
          </w:p>
        </w:tc>
        <w:tc>
          <w:tcPr>
            <w:tcW w:w="592"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18"/>
              </w:rPr>
            </w:pPr>
          </w:p>
          <w:p>
            <w:pPr>
              <w:pStyle w:val="TableParagraph"/>
              <w:ind w:left="101"/>
              <w:rPr>
                <w:sz w:val="17"/>
              </w:rPr>
            </w:pPr>
            <w:hyperlink w:history="true" w:anchor="_bookmark71">
              <w:r>
                <w:rPr>
                  <w:w w:val="105"/>
                  <w:sz w:val="17"/>
                </w:rPr>
                <w:t>185</w:t>
              </w:r>
            </w:hyperlink>
          </w:p>
        </w:tc>
      </w:tr>
      <w:tr>
        <w:trPr>
          <w:trHeight w:val="440" w:hRule="atLeast"/>
        </w:trPr>
        <w:tc>
          <w:tcPr>
            <w:tcW w:w="9218" w:type="dxa"/>
          </w:tcPr>
          <w:p>
            <w:pPr>
              <w:pStyle w:val="TableParagraph"/>
              <w:spacing w:before="128"/>
              <w:ind w:right="100"/>
              <w:jc w:val="right"/>
              <w:rPr>
                <w:sz w:val="17"/>
              </w:rPr>
            </w:pPr>
            <w:hyperlink w:history="true" w:anchor="_bookmark72">
              <w:r>
                <w:rPr>
                  <w:w w:val="105"/>
                  <w:sz w:val="17"/>
                </w:rPr>
                <w:t>CAPÍTULO I. Modificación de la Ley 37/1992, de 28 de diciembre, del Impuesto sobre el Valor Añadido. . . . . .</w:t>
              </w:r>
              <w:r>
                <w:rPr>
                  <w:sz w:val="17"/>
                </w:rPr>
                <w:t>  </w:t>
              </w:r>
            </w:hyperlink>
          </w:p>
        </w:tc>
        <w:tc>
          <w:tcPr>
            <w:tcW w:w="592" w:type="dxa"/>
          </w:tcPr>
          <w:p>
            <w:pPr>
              <w:pStyle w:val="TableParagraph"/>
              <w:spacing w:before="133"/>
              <w:ind w:left="101"/>
              <w:rPr>
                <w:sz w:val="17"/>
              </w:rPr>
            </w:pPr>
            <w:hyperlink w:history="true" w:anchor="_bookmark72">
              <w:r>
                <w:rPr>
                  <w:w w:val="105"/>
                  <w:sz w:val="17"/>
                </w:rPr>
                <w:t>185</w:t>
              </w:r>
            </w:hyperlink>
          </w:p>
        </w:tc>
      </w:tr>
      <w:tr>
        <w:trPr>
          <w:trHeight w:val="440" w:hRule="atLeast"/>
        </w:trPr>
        <w:tc>
          <w:tcPr>
            <w:tcW w:w="9218" w:type="dxa"/>
          </w:tcPr>
          <w:p>
            <w:pPr>
              <w:pStyle w:val="TableParagraph"/>
              <w:spacing w:before="128"/>
              <w:ind w:right="100"/>
              <w:jc w:val="right"/>
              <w:rPr>
                <w:sz w:val="17"/>
              </w:rPr>
            </w:pPr>
            <w:hyperlink w:history="true" w:anchor="_bookmark73">
              <w:r>
                <w:rPr>
                  <w:w w:val="105"/>
                  <w:sz w:val="17"/>
                </w:rPr>
                <w:t>CAPÍTULO II. Modificación de la Ley 38/1992, de 28 de diciembre, de Impuestos Especiales . . . . . . . . . . . .</w:t>
              </w:r>
              <w:r>
                <w:rPr>
                  <w:sz w:val="17"/>
                </w:rPr>
                <w:t>  </w:t>
              </w:r>
            </w:hyperlink>
          </w:p>
        </w:tc>
        <w:tc>
          <w:tcPr>
            <w:tcW w:w="592" w:type="dxa"/>
          </w:tcPr>
          <w:p>
            <w:pPr>
              <w:pStyle w:val="TableParagraph"/>
              <w:spacing w:before="133"/>
              <w:ind w:left="101"/>
              <w:rPr>
                <w:sz w:val="17"/>
              </w:rPr>
            </w:pPr>
            <w:hyperlink w:history="true" w:anchor="_bookmark73">
              <w:r>
                <w:rPr>
                  <w:w w:val="105"/>
                  <w:sz w:val="17"/>
                </w:rPr>
                <w:t>188</w:t>
              </w:r>
            </w:hyperlink>
          </w:p>
        </w:tc>
      </w:tr>
      <w:tr>
        <w:trPr>
          <w:trHeight w:val="680" w:hRule="atLeast"/>
        </w:trPr>
        <w:tc>
          <w:tcPr>
            <w:tcW w:w="9218" w:type="dxa"/>
          </w:tcPr>
          <w:p>
            <w:pPr>
              <w:pStyle w:val="TableParagraph"/>
              <w:spacing w:line="295" w:lineRule="auto" w:before="128"/>
              <w:ind w:left="599" w:right="99" w:hanging="200"/>
              <w:rPr>
                <w:sz w:val="17"/>
              </w:rPr>
            </w:pPr>
            <w:hyperlink w:history="true" w:anchor="_bookmark74">
              <w:r>
                <w:rPr>
                  <w:w w:val="105"/>
                  <w:sz w:val="17"/>
                </w:rPr>
                <w:t>CAPÍTULO III. Modificación del Reglamento del Impuesto sobre el Valor Añadido, aprobado por el Real</w:t>
              </w:r>
            </w:hyperlink>
            <w:r>
              <w:rPr>
                <w:w w:val="105"/>
                <w:sz w:val="17"/>
              </w:rPr>
              <w:t> </w:t>
            </w:r>
            <w:hyperlink w:history="true" w:anchor="_bookmark74">
              <w:r>
                <w:rPr>
                  <w:w w:val="105"/>
                  <w:sz w:val="17"/>
                </w:rPr>
                <w:t>Decreto 1624/1992, de 29 de diciembre . . . . . . . . . . . . . . . . . . . . . . . . . . . . . . . . . . . . . . . . . . . . .</w:t>
              </w:r>
              <w:r>
                <w:rPr>
                  <w:sz w:val="17"/>
                </w:rPr>
                <w:t>  </w:t>
              </w:r>
            </w:hyperlink>
          </w:p>
        </w:tc>
        <w:tc>
          <w:tcPr>
            <w:tcW w:w="592" w:type="dxa"/>
          </w:tcPr>
          <w:p>
            <w:pPr>
              <w:pStyle w:val="TableParagraph"/>
              <w:spacing w:before="4"/>
              <w:rPr>
                <w:rFonts w:ascii="Times New Roman"/>
                <w:sz w:val="32"/>
              </w:rPr>
            </w:pPr>
          </w:p>
          <w:p>
            <w:pPr>
              <w:pStyle w:val="TableParagraph"/>
              <w:spacing w:before="1"/>
              <w:ind w:left="101"/>
              <w:rPr>
                <w:sz w:val="17"/>
              </w:rPr>
            </w:pPr>
            <w:hyperlink w:history="true" w:anchor="_bookmark74">
              <w:r>
                <w:rPr>
                  <w:w w:val="105"/>
                  <w:sz w:val="17"/>
                </w:rPr>
                <w:t>189</w:t>
              </w:r>
            </w:hyperlink>
          </w:p>
        </w:tc>
      </w:tr>
      <w:tr>
        <w:trPr>
          <w:trHeight w:val="920" w:hRule="atLeast"/>
        </w:trPr>
        <w:tc>
          <w:tcPr>
            <w:tcW w:w="9218" w:type="dxa"/>
          </w:tcPr>
          <w:p>
            <w:pPr>
              <w:pStyle w:val="TableParagraph"/>
              <w:spacing w:line="295" w:lineRule="auto" w:before="128"/>
              <w:ind w:left="399" w:right="99" w:hanging="200"/>
              <w:jc w:val="both"/>
              <w:rPr>
                <w:sz w:val="17"/>
              </w:rPr>
            </w:pPr>
            <w:hyperlink w:history="true" w:anchor="_bookmark75">
              <w:r>
                <w:rPr>
                  <w:w w:val="105"/>
                  <w:sz w:val="17"/>
                </w:rPr>
                <w:t>TÍTULO II. Transposición de la Directiva (UE) 2017/1852 del Consejo, de 10 de octubre de 2017, relativa a los</w:t>
              </w:r>
            </w:hyperlink>
            <w:r>
              <w:rPr>
                <w:w w:val="105"/>
                <w:sz w:val="17"/>
              </w:rPr>
              <w:t> </w:t>
            </w:r>
            <w:hyperlink w:history="true" w:anchor="_bookmark75">
              <w:r>
                <w:rPr>
                  <w:w w:val="105"/>
                  <w:sz w:val="17"/>
                </w:rPr>
                <w:t>mecanismos</w:t>
              </w:r>
              <w:r>
                <w:rPr>
                  <w:spacing w:val="-7"/>
                  <w:w w:val="105"/>
                  <w:sz w:val="17"/>
                </w:rPr>
                <w:t> </w:t>
              </w:r>
              <w:r>
                <w:rPr>
                  <w:w w:val="105"/>
                  <w:sz w:val="17"/>
                </w:rPr>
                <w:t>de</w:t>
              </w:r>
              <w:r>
                <w:rPr>
                  <w:spacing w:val="-7"/>
                  <w:w w:val="105"/>
                  <w:sz w:val="17"/>
                </w:rPr>
                <w:t> </w:t>
              </w:r>
              <w:r>
                <w:rPr>
                  <w:w w:val="105"/>
                  <w:sz w:val="17"/>
                </w:rPr>
                <w:t>resolución</w:t>
              </w:r>
              <w:r>
                <w:rPr>
                  <w:spacing w:val="-7"/>
                  <w:w w:val="105"/>
                  <w:sz w:val="17"/>
                </w:rPr>
                <w:t> </w:t>
              </w:r>
              <w:r>
                <w:rPr>
                  <w:w w:val="105"/>
                  <w:sz w:val="17"/>
                </w:rPr>
                <w:t>de</w:t>
              </w:r>
              <w:r>
                <w:rPr>
                  <w:spacing w:val="-6"/>
                  <w:w w:val="105"/>
                  <w:sz w:val="17"/>
                </w:rPr>
                <w:t> </w:t>
              </w:r>
              <w:r>
                <w:rPr>
                  <w:w w:val="105"/>
                  <w:sz w:val="17"/>
                </w:rPr>
                <w:t>litigios</w:t>
              </w:r>
              <w:r>
                <w:rPr>
                  <w:spacing w:val="-7"/>
                  <w:w w:val="105"/>
                  <w:sz w:val="17"/>
                </w:rPr>
                <w:t> </w:t>
              </w:r>
              <w:r>
                <w:rPr>
                  <w:w w:val="105"/>
                  <w:sz w:val="17"/>
                </w:rPr>
                <w:t>fiscales</w:t>
              </w:r>
              <w:r>
                <w:rPr>
                  <w:spacing w:val="-7"/>
                  <w:w w:val="105"/>
                  <w:sz w:val="17"/>
                </w:rPr>
                <w:t> </w:t>
              </w:r>
              <w:r>
                <w:rPr>
                  <w:w w:val="105"/>
                  <w:sz w:val="17"/>
                </w:rPr>
                <w:t>en</w:t>
              </w:r>
              <w:r>
                <w:rPr>
                  <w:spacing w:val="-7"/>
                  <w:w w:val="105"/>
                  <w:sz w:val="17"/>
                </w:rPr>
                <w:t> </w:t>
              </w:r>
              <w:r>
                <w:rPr>
                  <w:w w:val="105"/>
                  <w:sz w:val="17"/>
                </w:rPr>
                <w:t>la</w:t>
              </w:r>
              <w:r>
                <w:rPr>
                  <w:spacing w:val="-6"/>
                  <w:w w:val="105"/>
                  <w:sz w:val="17"/>
                </w:rPr>
                <w:t> </w:t>
              </w:r>
              <w:r>
                <w:rPr>
                  <w:w w:val="105"/>
                  <w:sz w:val="17"/>
                </w:rPr>
                <w:t>Unión</w:t>
              </w:r>
              <w:r>
                <w:rPr>
                  <w:spacing w:val="-7"/>
                  <w:w w:val="105"/>
                  <w:sz w:val="17"/>
                </w:rPr>
                <w:t> </w:t>
              </w:r>
              <w:r>
                <w:rPr>
                  <w:w w:val="105"/>
                  <w:sz w:val="17"/>
                </w:rPr>
                <w:t>Europea,</w:t>
              </w:r>
              <w:r>
                <w:rPr>
                  <w:spacing w:val="-7"/>
                  <w:w w:val="105"/>
                  <w:sz w:val="17"/>
                </w:rPr>
                <w:t> </w:t>
              </w:r>
              <w:r>
                <w:rPr>
                  <w:w w:val="105"/>
                  <w:sz w:val="17"/>
                </w:rPr>
                <w:t>armonizando</w:t>
              </w:r>
              <w:r>
                <w:rPr>
                  <w:spacing w:val="-7"/>
                  <w:w w:val="105"/>
                  <w:sz w:val="17"/>
                </w:rPr>
                <w:t> </w:t>
              </w:r>
              <w:r>
                <w:rPr>
                  <w:w w:val="105"/>
                  <w:sz w:val="17"/>
                </w:rPr>
                <w:t>así</w:t>
              </w:r>
              <w:r>
                <w:rPr>
                  <w:spacing w:val="-6"/>
                  <w:w w:val="105"/>
                  <w:sz w:val="17"/>
                </w:rPr>
                <w:t> </w:t>
              </w:r>
              <w:r>
                <w:rPr>
                  <w:w w:val="105"/>
                  <w:sz w:val="17"/>
                </w:rPr>
                <w:t>el</w:t>
              </w:r>
              <w:r>
                <w:rPr>
                  <w:spacing w:val="-7"/>
                  <w:w w:val="105"/>
                  <w:sz w:val="17"/>
                </w:rPr>
                <w:t> </w:t>
              </w:r>
              <w:r>
                <w:rPr>
                  <w:w w:val="105"/>
                  <w:sz w:val="17"/>
                </w:rPr>
                <w:t>marco</w:t>
              </w:r>
              <w:r>
                <w:rPr>
                  <w:spacing w:val="-7"/>
                  <w:w w:val="105"/>
                  <w:sz w:val="17"/>
                </w:rPr>
                <w:t> </w:t>
              </w:r>
              <w:r>
                <w:rPr>
                  <w:w w:val="105"/>
                  <w:sz w:val="17"/>
                </w:rPr>
                <w:t>de</w:t>
              </w:r>
              <w:r>
                <w:rPr>
                  <w:spacing w:val="-6"/>
                  <w:w w:val="105"/>
                  <w:sz w:val="17"/>
                </w:rPr>
                <w:t> </w:t>
              </w:r>
              <w:r>
                <w:rPr>
                  <w:w w:val="105"/>
                  <w:sz w:val="17"/>
                </w:rPr>
                <w:t>resolución</w:t>
              </w:r>
              <w:r>
                <w:rPr>
                  <w:spacing w:val="-7"/>
                  <w:w w:val="105"/>
                  <w:sz w:val="17"/>
                </w:rPr>
                <w:t> </w:t>
              </w:r>
              <w:r>
                <w:rPr>
                  <w:w w:val="105"/>
                  <w:sz w:val="17"/>
                </w:rPr>
                <w:t>de</w:t>
              </w:r>
            </w:hyperlink>
            <w:r>
              <w:rPr>
                <w:w w:val="105"/>
                <w:sz w:val="17"/>
              </w:rPr>
              <w:t> </w:t>
            </w:r>
            <w:hyperlink w:history="true" w:anchor="_bookmark75">
              <w:r>
                <w:rPr>
                  <w:w w:val="105"/>
                  <w:sz w:val="17"/>
                </w:rPr>
                <w:t>procedimientos</w:t>
              </w:r>
              <w:r>
                <w:rPr>
                  <w:spacing w:val="-5"/>
                  <w:w w:val="105"/>
                  <w:sz w:val="17"/>
                </w:rPr>
                <w:t> </w:t>
              </w:r>
              <w:r>
                <w:rPr>
                  <w:w w:val="105"/>
                  <w:sz w:val="17"/>
                </w:rPr>
                <w:t>amistosos</w:t>
              </w:r>
              <w:r>
                <w:rPr>
                  <w:spacing w:val="-5"/>
                  <w:w w:val="105"/>
                  <w:sz w:val="17"/>
                </w:rPr>
                <w:t> </w:t>
              </w:r>
              <w:r>
                <w:rPr>
                  <w:w w:val="105"/>
                  <w:sz w:val="17"/>
                </w:rPr>
                <w:t>y</w:t>
              </w:r>
              <w:r>
                <w:rPr>
                  <w:spacing w:val="-5"/>
                  <w:w w:val="105"/>
                  <w:sz w:val="17"/>
                </w:rPr>
                <w:t> </w:t>
              </w:r>
              <w:r>
                <w:rPr>
                  <w:w w:val="105"/>
                  <w:sz w:val="17"/>
                </w:rPr>
                <w:t>reforzando</w:t>
              </w:r>
              <w:r>
                <w:rPr>
                  <w:spacing w:val="-5"/>
                  <w:w w:val="105"/>
                  <w:sz w:val="17"/>
                </w:rPr>
                <w:t> </w:t>
              </w:r>
              <w:r>
                <w:rPr>
                  <w:w w:val="105"/>
                  <w:sz w:val="17"/>
                </w:rPr>
                <w:t>la</w:t>
              </w:r>
              <w:r>
                <w:rPr>
                  <w:spacing w:val="-5"/>
                  <w:w w:val="105"/>
                  <w:sz w:val="17"/>
                </w:rPr>
                <w:t> </w:t>
              </w:r>
              <w:r>
                <w:rPr>
                  <w:w w:val="105"/>
                  <w:sz w:val="17"/>
                </w:rPr>
                <w:t>seguridad</w:t>
              </w:r>
              <w:r>
                <w:rPr>
                  <w:spacing w:val="-5"/>
                  <w:w w:val="105"/>
                  <w:sz w:val="17"/>
                </w:rPr>
                <w:t> </w:t>
              </w:r>
              <w:r>
                <w:rPr>
                  <w:w w:val="105"/>
                  <w:sz w:val="17"/>
                </w:rPr>
                <w:t>jurídica</w:t>
              </w:r>
              <w:r>
                <w:rPr>
                  <w:spacing w:val="41"/>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5"/>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spacing w:val="24"/>
                  <w:w w:val="105"/>
                  <w:sz w:val="17"/>
                </w:rPr>
                <w:t>.</w:t>
              </w:r>
              <w:r>
                <w:rPr>
                  <w:spacing w:val="-6"/>
                  <w:w w:val="105"/>
                  <w:sz w:val="17"/>
                </w:rPr>
                <w:t> </w:t>
              </w:r>
              <w:r>
                <w:rPr>
                  <w:w w:val="105"/>
                  <w:sz w:val="17"/>
                </w:rPr>
                <w:t>.</w:t>
              </w:r>
              <w:r>
                <w:rPr>
                  <w:sz w:val="17"/>
                </w:rPr>
                <w:t> </w:t>
              </w:r>
              <w:r>
                <w:rPr>
                  <w:spacing w:val="-24"/>
                  <w:sz w:val="17"/>
                </w:rPr>
                <w:t> </w:t>
              </w:r>
            </w:hyperlink>
          </w:p>
        </w:tc>
        <w:tc>
          <w:tcPr>
            <w:tcW w:w="592" w:type="dxa"/>
          </w:tcPr>
          <w:p>
            <w:pPr>
              <w:pStyle w:val="TableParagraph"/>
              <w:rPr>
                <w:rFonts w:ascii="Times New Roman"/>
                <w:sz w:val="22"/>
              </w:rPr>
            </w:pPr>
          </w:p>
          <w:p>
            <w:pPr>
              <w:pStyle w:val="TableParagraph"/>
              <w:spacing w:before="3"/>
              <w:rPr>
                <w:rFonts w:ascii="Times New Roman"/>
                <w:sz w:val="31"/>
              </w:rPr>
            </w:pPr>
          </w:p>
          <w:p>
            <w:pPr>
              <w:pStyle w:val="TableParagraph"/>
              <w:ind w:left="101"/>
              <w:rPr>
                <w:sz w:val="17"/>
              </w:rPr>
            </w:pPr>
            <w:hyperlink w:history="true" w:anchor="_bookmark75">
              <w:r>
                <w:rPr>
                  <w:w w:val="105"/>
                  <w:sz w:val="17"/>
                </w:rPr>
                <w:t>193</w:t>
              </w:r>
            </w:hyperlink>
          </w:p>
        </w:tc>
      </w:tr>
      <w:tr>
        <w:trPr>
          <w:trHeight w:val="680" w:hRule="atLeast"/>
        </w:trPr>
        <w:tc>
          <w:tcPr>
            <w:tcW w:w="9218" w:type="dxa"/>
          </w:tcPr>
          <w:p>
            <w:pPr>
              <w:pStyle w:val="TableParagraph"/>
              <w:spacing w:line="295" w:lineRule="auto" w:before="128"/>
              <w:ind w:left="600" w:right="99" w:hanging="201"/>
              <w:rPr>
                <w:sz w:val="17"/>
              </w:rPr>
            </w:pPr>
            <w:hyperlink w:history="true" w:anchor="_bookmark76">
              <w:r>
                <w:rPr>
                  <w:w w:val="105"/>
                  <w:sz w:val="17"/>
                </w:rPr>
                <w:t>CAPÍTULO I. Modificación del texto refundido de la Ley del Impuesto sobre la Renta de no Residentes,</w:t>
              </w:r>
            </w:hyperlink>
            <w:r>
              <w:rPr>
                <w:w w:val="105"/>
                <w:sz w:val="17"/>
              </w:rPr>
              <w:t> </w:t>
            </w:r>
            <w:hyperlink w:history="true" w:anchor="_bookmark76">
              <w:r>
                <w:rPr>
                  <w:w w:val="105"/>
                  <w:sz w:val="17"/>
                </w:rPr>
                <w:t>aprobado por el Real Decreto Legislativo 5/2004, de 5 de marzo . . . . . . . . . . . . . . . . . . . . . . . . . . . . .</w:t>
              </w:r>
              <w:r>
                <w:rPr>
                  <w:sz w:val="17"/>
                </w:rPr>
                <w:t>  </w:t>
              </w:r>
            </w:hyperlink>
          </w:p>
        </w:tc>
        <w:tc>
          <w:tcPr>
            <w:tcW w:w="592" w:type="dxa"/>
          </w:tcPr>
          <w:p>
            <w:pPr>
              <w:pStyle w:val="TableParagraph"/>
              <w:spacing w:before="4"/>
              <w:rPr>
                <w:rFonts w:ascii="Times New Roman"/>
                <w:sz w:val="32"/>
              </w:rPr>
            </w:pPr>
          </w:p>
          <w:p>
            <w:pPr>
              <w:pStyle w:val="TableParagraph"/>
              <w:spacing w:before="1"/>
              <w:ind w:left="101"/>
              <w:rPr>
                <w:sz w:val="17"/>
              </w:rPr>
            </w:pPr>
            <w:hyperlink w:history="true" w:anchor="_bookmark76">
              <w:r>
                <w:rPr>
                  <w:w w:val="105"/>
                  <w:sz w:val="17"/>
                </w:rPr>
                <w:t>193</w:t>
              </w:r>
            </w:hyperlink>
          </w:p>
        </w:tc>
      </w:tr>
      <w:tr>
        <w:trPr>
          <w:trHeight w:val="675" w:hRule="atLeast"/>
        </w:trPr>
        <w:tc>
          <w:tcPr>
            <w:tcW w:w="9218" w:type="dxa"/>
          </w:tcPr>
          <w:p>
            <w:pPr>
              <w:pStyle w:val="TableParagraph"/>
              <w:spacing w:line="295" w:lineRule="auto" w:before="128"/>
              <w:ind w:left="599" w:right="99" w:hanging="200"/>
              <w:rPr>
                <w:sz w:val="17"/>
              </w:rPr>
            </w:pPr>
            <w:hyperlink w:history="true" w:anchor="_bookmark77">
              <w:r>
                <w:rPr>
                  <w:w w:val="105"/>
                  <w:sz w:val="17"/>
                </w:rPr>
                <w:t>CAPÍTULO II. Modificación de la Ley 29/1998, de 13 de julio, reguladora de la Jurisdicción Contencioso-</w:t>
              </w:r>
            </w:hyperlink>
            <w:r>
              <w:rPr>
                <w:w w:val="105"/>
                <w:sz w:val="17"/>
              </w:rPr>
              <w:t> </w:t>
            </w:r>
            <w:hyperlink w:history="true" w:anchor="_bookmark77">
              <w:r>
                <w:rPr>
                  <w:w w:val="105"/>
                  <w:sz w:val="17"/>
                </w:rPr>
                <w:t>administrativa . . . . . . . . . . . . . . . . . . . . . . . . . . . . . . . . . . . . . . . . . . . . . . . . . . . . . . . . . . . . .</w:t>
              </w:r>
              <w:r>
                <w:rPr>
                  <w:sz w:val="17"/>
                </w:rPr>
                <w:t>  </w:t>
              </w:r>
            </w:hyperlink>
          </w:p>
        </w:tc>
        <w:tc>
          <w:tcPr>
            <w:tcW w:w="592" w:type="dxa"/>
          </w:tcPr>
          <w:p>
            <w:pPr>
              <w:pStyle w:val="TableParagraph"/>
              <w:spacing w:before="4"/>
              <w:rPr>
                <w:rFonts w:ascii="Times New Roman"/>
                <w:sz w:val="32"/>
              </w:rPr>
            </w:pPr>
          </w:p>
          <w:p>
            <w:pPr>
              <w:pStyle w:val="TableParagraph"/>
              <w:spacing w:before="1"/>
              <w:ind w:left="101"/>
              <w:rPr>
                <w:sz w:val="17"/>
              </w:rPr>
            </w:pPr>
            <w:hyperlink w:history="true" w:anchor="_bookmark77">
              <w:r>
                <w:rPr>
                  <w:w w:val="105"/>
                  <w:sz w:val="17"/>
                </w:rPr>
                <w:t>195</w:t>
              </w:r>
            </w:hyperlink>
          </w:p>
        </w:tc>
      </w:tr>
      <w:tr>
        <w:trPr>
          <w:trHeight w:val="458" w:hRule="atLeast"/>
        </w:trPr>
        <w:tc>
          <w:tcPr>
            <w:tcW w:w="9218" w:type="dxa"/>
          </w:tcPr>
          <w:p>
            <w:pPr>
              <w:pStyle w:val="TableParagraph"/>
              <w:spacing w:before="123"/>
              <w:ind w:right="98"/>
              <w:jc w:val="right"/>
              <w:rPr>
                <w:i/>
                <w:sz w:val="18"/>
              </w:rPr>
            </w:pPr>
            <w:hyperlink w:history="true" w:anchor="_bookmark78">
              <w:r>
                <w:rPr>
                  <w:i/>
                  <w:sz w:val="18"/>
                </w:rPr>
                <w:t>Disposiciones adicionales . . . . . . . . . . . . . . . . . . . . . . . . . . . . . . . . . . . . . . . . . . . . . . . . . . . . . . </w:t>
              </w:r>
            </w:hyperlink>
          </w:p>
        </w:tc>
        <w:tc>
          <w:tcPr>
            <w:tcW w:w="592" w:type="dxa"/>
          </w:tcPr>
          <w:p>
            <w:pPr>
              <w:pStyle w:val="TableParagraph"/>
              <w:spacing w:before="132"/>
              <w:ind w:left="101"/>
              <w:rPr>
                <w:sz w:val="17"/>
              </w:rPr>
            </w:pPr>
            <w:hyperlink w:history="true" w:anchor="_bookmark78">
              <w:r>
                <w:rPr>
                  <w:w w:val="105"/>
                  <w:sz w:val="17"/>
                </w:rPr>
                <w:t>195</w:t>
              </w:r>
            </w:hyperlink>
          </w:p>
        </w:tc>
      </w:tr>
      <w:tr>
        <w:trPr>
          <w:trHeight w:val="480" w:hRule="atLeast"/>
        </w:trPr>
        <w:tc>
          <w:tcPr>
            <w:tcW w:w="9218" w:type="dxa"/>
          </w:tcPr>
          <w:p>
            <w:pPr>
              <w:pStyle w:val="TableParagraph"/>
              <w:spacing w:before="144"/>
              <w:ind w:right="98"/>
              <w:jc w:val="right"/>
              <w:rPr>
                <w:i/>
                <w:sz w:val="18"/>
              </w:rPr>
            </w:pPr>
            <w:hyperlink w:history="true" w:anchor="_bookmark79">
              <w:r>
                <w:rPr>
                  <w:i/>
                  <w:sz w:val="18"/>
                </w:rPr>
                <w:t>Disposiciones transitorias . . . . . . . . . . . . . . . . . . . . . . . . . . . . . . . . . . . . . . . . . . . . . . . . . . . . . . </w:t>
              </w:r>
            </w:hyperlink>
          </w:p>
        </w:tc>
        <w:tc>
          <w:tcPr>
            <w:tcW w:w="592" w:type="dxa"/>
          </w:tcPr>
          <w:p>
            <w:pPr>
              <w:pStyle w:val="TableParagraph"/>
              <w:spacing w:before="154"/>
              <w:ind w:left="101"/>
              <w:rPr>
                <w:sz w:val="17"/>
              </w:rPr>
            </w:pPr>
            <w:hyperlink w:history="true" w:anchor="_bookmark79">
              <w:r>
                <w:rPr>
                  <w:w w:val="105"/>
                  <w:sz w:val="17"/>
                </w:rPr>
                <w:t>200</w:t>
              </w:r>
            </w:hyperlink>
          </w:p>
        </w:tc>
      </w:tr>
      <w:tr>
        <w:trPr>
          <w:trHeight w:val="480" w:hRule="atLeast"/>
        </w:trPr>
        <w:tc>
          <w:tcPr>
            <w:tcW w:w="9218" w:type="dxa"/>
          </w:tcPr>
          <w:p>
            <w:pPr>
              <w:pStyle w:val="TableParagraph"/>
              <w:spacing w:before="144"/>
              <w:ind w:right="98"/>
              <w:jc w:val="right"/>
              <w:rPr>
                <w:i/>
                <w:sz w:val="18"/>
              </w:rPr>
            </w:pPr>
            <w:hyperlink w:history="true" w:anchor="_bookmark80">
              <w:r>
                <w:rPr>
                  <w:i/>
                  <w:sz w:val="18"/>
                </w:rPr>
                <w:t>Disposiciones derogatorias . . . . . . . . . . . . . . . . . . . . . . . . . . . . . . . . . . . . . . . . . . . . . . . . . . . . . </w:t>
              </w:r>
            </w:hyperlink>
          </w:p>
        </w:tc>
        <w:tc>
          <w:tcPr>
            <w:tcW w:w="592" w:type="dxa"/>
          </w:tcPr>
          <w:p>
            <w:pPr>
              <w:pStyle w:val="TableParagraph"/>
              <w:spacing w:before="154"/>
              <w:ind w:left="101"/>
              <w:rPr>
                <w:sz w:val="17"/>
              </w:rPr>
            </w:pPr>
            <w:hyperlink w:history="true" w:anchor="_bookmark80">
              <w:r>
                <w:rPr>
                  <w:w w:val="105"/>
                  <w:sz w:val="17"/>
                </w:rPr>
                <w:t>203</w:t>
              </w:r>
            </w:hyperlink>
          </w:p>
        </w:tc>
      </w:tr>
      <w:tr>
        <w:trPr>
          <w:trHeight w:val="484" w:hRule="atLeast"/>
        </w:trPr>
        <w:tc>
          <w:tcPr>
            <w:tcW w:w="9218" w:type="dxa"/>
          </w:tcPr>
          <w:p>
            <w:pPr>
              <w:pStyle w:val="TableParagraph"/>
              <w:spacing w:before="144"/>
              <w:ind w:right="98"/>
              <w:jc w:val="right"/>
              <w:rPr>
                <w:i/>
                <w:sz w:val="18"/>
              </w:rPr>
            </w:pPr>
            <w:hyperlink w:history="true" w:anchor="_bookmark81">
              <w:r>
                <w:rPr>
                  <w:i/>
                  <w:sz w:val="18"/>
                </w:rPr>
                <w:t>Disposiciones finales . . . . . . . . . . . . . . . . . . . . . . . . . . . . . . . . . . . . . . . . . . . . . . . . . . . . . . . . . </w:t>
              </w:r>
            </w:hyperlink>
          </w:p>
        </w:tc>
        <w:tc>
          <w:tcPr>
            <w:tcW w:w="592" w:type="dxa"/>
          </w:tcPr>
          <w:p>
            <w:pPr>
              <w:pStyle w:val="TableParagraph"/>
              <w:spacing w:before="154"/>
              <w:ind w:left="101"/>
              <w:rPr>
                <w:sz w:val="17"/>
              </w:rPr>
            </w:pPr>
            <w:hyperlink w:history="true" w:anchor="_bookmark81">
              <w:r>
                <w:rPr>
                  <w:w w:val="105"/>
                  <w:sz w:val="17"/>
                </w:rPr>
                <w:t>203</w:t>
              </w:r>
            </w:hyperlink>
          </w:p>
        </w:tc>
      </w:tr>
      <w:tr>
        <w:trPr>
          <w:trHeight w:val="461" w:hRule="atLeast"/>
        </w:trPr>
        <w:tc>
          <w:tcPr>
            <w:tcW w:w="9218" w:type="dxa"/>
          </w:tcPr>
          <w:p>
            <w:pPr>
              <w:pStyle w:val="TableParagraph"/>
              <w:spacing w:before="149"/>
              <w:ind w:right="99"/>
              <w:jc w:val="right"/>
              <w:rPr>
                <w:sz w:val="17"/>
              </w:rPr>
            </w:pPr>
            <w:hyperlink w:history="true" w:anchor="_bookmark82">
              <w:r>
                <w:rPr>
                  <w:w w:val="105"/>
                  <w:sz w:val="17"/>
                </w:rPr>
                <w:t>ANEXO I. Servicios a que se refieren los artículos 1.1.a) y 76.1 . . . . . . . . . . . . . . . . . . . . . . . . . . . . . . . . .</w:t>
              </w:r>
              <w:r>
                <w:rPr>
                  <w:sz w:val="17"/>
                </w:rPr>
                <w:t>  </w:t>
              </w:r>
            </w:hyperlink>
          </w:p>
        </w:tc>
        <w:tc>
          <w:tcPr>
            <w:tcW w:w="592" w:type="dxa"/>
          </w:tcPr>
          <w:p>
            <w:pPr>
              <w:pStyle w:val="TableParagraph"/>
              <w:spacing w:before="154"/>
              <w:ind w:left="101"/>
              <w:rPr>
                <w:sz w:val="17"/>
              </w:rPr>
            </w:pPr>
            <w:hyperlink w:history="true" w:anchor="_bookmark82">
              <w:r>
                <w:rPr>
                  <w:w w:val="105"/>
                  <w:sz w:val="17"/>
                </w:rPr>
                <w:t>210</w:t>
              </w:r>
            </w:hyperlink>
          </w:p>
        </w:tc>
      </w:tr>
      <w:tr>
        <w:trPr>
          <w:trHeight w:val="440" w:hRule="atLeast"/>
        </w:trPr>
        <w:tc>
          <w:tcPr>
            <w:tcW w:w="9218" w:type="dxa"/>
          </w:tcPr>
          <w:p>
            <w:pPr>
              <w:pStyle w:val="TableParagraph"/>
              <w:spacing w:before="128"/>
              <w:ind w:right="100"/>
              <w:jc w:val="right"/>
              <w:rPr>
                <w:sz w:val="17"/>
              </w:rPr>
            </w:pPr>
            <w:hyperlink w:history="true" w:anchor="_bookmark83">
              <w:r>
                <w:rPr>
                  <w:w w:val="105"/>
                  <w:sz w:val="17"/>
                </w:rPr>
                <w:t>ANEXO II. Actividades a que se refiere el artículo 2.b) relativo al contrato de obras. . . . . . . . . . . . . . . . . . . . .</w:t>
              </w:r>
              <w:r>
                <w:rPr>
                  <w:sz w:val="17"/>
                </w:rPr>
                <w:t>  </w:t>
              </w:r>
            </w:hyperlink>
          </w:p>
        </w:tc>
        <w:tc>
          <w:tcPr>
            <w:tcW w:w="592" w:type="dxa"/>
          </w:tcPr>
          <w:p>
            <w:pPr>
              <w:pStyle w:val="TableParagraph"/>
              <w:spacing w:before="133"/>
              <w:ind w:left="101"/>
              <w:rPr>
                <w:sz w:val="17"/>
              </w:rPr>
            </w:pPr>
            <w:hyperlink w:history="true" w:anchor="_bookmark83">
              <w:r>
                <w:rPr>
                  <w:w w:val="105"/>
                  <w:sz w:val="17"/>
                </w:rPr>
                <w:t>211</w:t>
              </w:r>
            </w:hyperlink>
          </w:p>
        </w:tc>
      </w:tr>
      <w:tr>
        <w:trPr>
          <w:trHeight w:val="440" w:hRule="atLeast"/>
        </w:trPr>
        <w:tc>
          <w:tcPr>
            <w:tcW w:w="9218" w:type="dxa"/>
          </w:tcPr>
          <w:p>
            <w:pPr>
              <w:pStyle w:val="TableParagraph"/>
              <w:spacing w:before="128"/>
              <w:ind w:right="100"/>
              <w:jc w:val="right"/>
              <w:rPr>
                <w:sz w:val="17"/>
              </w:rPr>
            </w:pPr>
            <w:hyperlink w:history="true" w:anchor="_bookmark84">
              <w:r>
                <w:rPr>
                  <w:w w:val="105"/>
                  <w:sz w:val="17"/>
                </w:rPr>
                <w:t>ANEXO III. Información que debe figurar en los anuncios sobre la existencia de un sistema de clasificación . . . . .</w:t>
              </w:r>
              <w:r>
                <w:rPr>
                  <w:sz w:val="17"/>
                </w:rPr>
                <w:t>  </w:t>
              </w:r>
            </w:hyperlink>
          </w:p>
        </w:tc>
        <w:tc>
          <w:tcPr>
            <w:tcW w:w="592" w:type="dxa"/>
          </w:tcPr>
          <w:p>
            <w:pPr>
              <w:pStyle w:val="TableParagraph"/>
              <w:spacing w:before="133"/>
              <w:ind w:left="101"/>
              <w:rPr>
                <w:sz w:val="17"/>
              </w:rPr>
            </w:pPr>
            <w:hyperlink w:history="true" w:anchor="_bookmark84">
              <w:r>
                <w:rPr>
                  <w:w w:val="105"/>
                  <w:sz w:val="17"/>
                </w:rPr>
                <w:t>213</w:t>
              </w:r>
            </w:hyperlink>
          </w:p>
        </w:tc>
      </w:tr>
      <w:tr>
        <w:trPr>
          <w:trHeight w:val="680" w:hRule="atLeast"/>
        </w:trPr>
        <w:tc>
          <w:tcPr>
            <w:tcW w:w="9218" w:type="dxa"/>
          </w:tcPr>
          <w:p>
            <w:pPr>
              <w:pStyle w:val="TableParagraph"/>
              <w:spacing w:line="295" w:lineRule="auto" w:before="128"/>
              <w:ind w:left="400" w:right="99" w:hanging="201"/>
              <w:rPr>
                <w:sz w:val="17"/>
              </w:rPr>
            </w:pPr>
            <w:hyperlink w:history="true" w:anchor="_bookmark85">
              <w:r>
                <w:rPr>
                  <w:w w:val="105"/>
                  <w:sz w:val="17"/>
                </w:rPr>
                <w:t>ANEXO</w:t>
              </w:r>
              <w:r>
                <w:rPr>
                  <w:spacing w:val="-10"/>
                  <w:w w:val="105"/>
                  <w:sz w:val="17"/>
                </w:rPr>
                <w:t> </w:t>
              </w:r>
              <w:r>
                <w:rPr>
                  <w:w w:val="105"/>
                  <w:sz w:val="17"/>
                </w:rPr>
                <w:t>IV.</w:t>
              </w:r>
              <w:r>
                <w:rPr>
                  <w:spacing w:val="-9"/>
                  <w:w w:val="105"/>
                  <w:sz w:val="17"/>
                </w:rPr>
                <w:t> </w:t>
              </w:r>
              <w:r>
                <w:rPr>
                  <w:w w:val="105"/>
                  <w:sz w:val="17"/>
                </w:rPr>
                <w:t>Requisitos</w:t>
              </w:r>
              <w:r>
                <w:rPr>
                  <w:spacing w:val="-9"/>
                  <w:w w:val="105"/>
                  <w:sz w:val="17"/>
                </w:rPr>
                <w:t> </w:t>
              </w:r>
              <w:r>
                <w:rPr>
                  <w:w w:val="105"/>
                  <w:sz w:val="17"/>
                </w:rPr>
                <w:t>relativos</w:t>
              </w:r>
              <w:r>
                <w:rPr>
                  <w:spacing w:val="-9"/>
                  <w:w w:val="105"/>
                  <w:sz w:val="17"/>
                </w:rPr>
                <w:t> </w:t>
              </w:r>
              <w:r>
                <w:rPr>
                  <w:w w:val="105"/>
                  <w:sz w:val="17"/>
                </w:rPr>
                <w:t>a</w:t>
              </w:r>
              <w:r>
                <w:rPr>
                  <w:spacing w:val="-10"/>
                  <w:w w:val="105"/>
                  <w:sz w:val="17"/>
                </w:rPr>
                <w:t> </w:t>
              </w:r>
              <w:r>
                <w:rPr>
                  <w:w w:val="105"/>
                  <w:sz w:val="17"/>
                </w:rPr>
                <w:t>las</w:t>
              </w:r>
              <w:r>
                <w:rPr>
                  <w:spacing w:val="-9"/>
                  <w:w w:val="105"/>
                  <w:sz w:val="17"/>
                </w:rPr>
                <w:t> </w:t>
              </w:r>
              <w:r>
                <w:rPr>
                  <w:w w:val="105"/>
                  <w:sz w:val="17"/>
                </w:rPr>
                <w:t>herramientas</w:t>
              </w:r>
              <w:r>
                <w:rPr>
                  <w:spacing w:val="-9"/>
                  <w:w w:val="105"/>
                  <w:sz w:val="17"/>
                </w:rPr>
                <w:t> </w:t>
              </w:r>
              <w:r>
                <w:rPr>
                  <w:w w:val="105"/>
                  <w:sz w:val="17"/>
                </w:rPr>
                <w:t>y</w:t>
              </w:r>
              <w:r>
                <w:rPr>
                  <w:spacing w:val="-9"/>
                  <w:w w:val="105"/>
                  <w:sz w:val="17"/>
                </w:rPr>
                <w:t> </w:t>
              </w:r>
              <w:r>
                <w:rPr>
                  <w:w w:val="105"/>
                  <w:sz w:val="17"/>
                </w:rPr>
                <w:t>a</w:t>
              </w:r>
              <w:r>
                <w:rPr>
                  <w:spacing w:val="-9"/>
                  <w:w w:val="105"/>
                  <w:sz w:val="17"/>
                </w:rPr>
                <w:t> </w:t>
              </w:r>
              <w:r>
                <w:rPr>
                  <w:w w:val="105"/>
                  <w:sz w:val="17"/>
                </w:rPr>
                <w:t>los</w:t>
              </w:r>
              <w:r>
                <w:rPr>
                  <w:spacing w:val="-10"/>
                  <w:w w:val="105"/>
                  <w:sz w:val="17"/>
                </w:rPr>
                <w:t> </w:t>
              </w:r>
              <w:r>
                <w:rPr>
                  <w:w w:val="105"/>
                  <w:sz w:val="17"/>
                </w:rPr>
                <w:t>dispositivos</w:t>
              </w:r>
              <w:r>
                <w:rPr>
                  <w:spacing w:val="-9"/>
                  <w:w w:val="105"/>
                  <w:sz w:val="17"/>
                </w:rPr>
                <w:t> </w:t>
              </w:r>
              <w:r>
                <w:rPr>
                  <w:w w:val="105"/>
                  <w:sz w:val="17"/>
                </w:rPr>
                <w:t>de</w:t>
              </w:r>
              <w:r>
                <w:rPr>
                  <w:spacing w:val="-9"/>
                  <w:w w:val="105"/>
                  <w:sz w:val="17"/>
                </w:rPr>
                <w:t> </w:t>
              </w:r>
              <w:r>
                <w:rPr>
                  <w:w w:val="105"/>
                  <w:sz w:val="17"/>
                </w:rPr>
                <w:t>recepción</w:t>
              </w:r>
              <w:r>
                <w:rPr>
                  <w:spacing w:val="-9"/>
                  <w:w w:val="105"/>
                  <w:sz w:val="17"/>
                </w:rPr>
                <w:t> </w:t>
              </w:r>
              <w:r>
                <w:rPr>
                  <w:w w:val="105"/>
                  <w:sz w:val="17"/>
                </w:rPr>
                <w:t>electrónica</w:t>
              </w:r>
              <w:r>
                <w:rPr>
                  <w:spacing w:val="-10"/>
                  <w:w w:val="105"/>
                  <w:sz w:val="17"/>
                </w:rPr>
                <w:t> </w:t>
              </w:r>
              <w:r>
                <w:rPr>
                  <w:w w:val="105"/>
                  <w:sz w:val="17"/>
                </w:rPr>
                <w:t>de</w:t>
              </w:r>
              <w:r>
                <w:rPr>
                  <w:spacing w:val="-9"/>
                  <w:w w:val="105"/>
                  <w:sz w:val="17"/>
                </w:rPr>
                <w:t> </w:t>
              </w:r>
              <w:r>
                <w:rPr>
                  <w:w w:val="105"/>
                  <w:sz w:val="17"/>
                </w:rPr>
                <w:t>las</w:t>
              </w:r>
              <w:r>
                <w:rPr>
                  <w:spacing w:val="-9"/>
                  <w:w w:val="105"/>
                  <w:sz w:val="17"/>
                </w:rPr>
                <w:t> </w:t>
              </w:r>
              <w:r>
                <w:rPr>
                  <w:w w:val="105"/>
                  <w:sz w:val="17"/>
                </w:rPr>
                <w:t>ofertas,</w:t>
              </w:r>
              <w:r>
                <w:rPr>
                  <w:spacing w:val="-9"/>
                  <w:w w:val="105"/>
                  <w:sz w:val="17"/>
                </w:rPr>
                <w:t> </w:t>
              </w:r>
              <w:r>
                <w:rPr>
                  <w:w w:val="105"/>
                  <w:sz w:val="17"/>
                </w:rPr>
                <w:t>de</w:t>
              </w:r>
            </w:hyperlink>
            <w:r>
              <w:rPr>
                <w:w w:val="105"/>
                <w:sz w:val="17"/>
              </w:rPr>
              <w:t> </w:t>
            </w:r>
            <w:hyperlink w:history="true" w:anchor="_bookmark85">
              <w:r>
                <w:rPr>
                  <w:w w:val="105"/>
                  <w:sz w:val="17"/>
                </w:rPr>
                <w:t>las</w:t>
              </w:r>
              <w:r>
                <w:rPr>
                  <w:spacing w:val="-12"/>
                  <w:w w:val="105"/>
                  <w:sz w:val="17"/>
                </w:rPr>
                <w:t> </w:t>
              </w:r>
              <w:r>
                <w:rPr>
                  <w:w w:val="105"/>
                  <w:sz w:val="17"/>
                </w:rPr>
                <w:t>solicitudes</w:t>
              </w:r>
              <w:r>
                <w:rPr>
                  <w:spacing w:val="-12"/>
                  <w:w w:val="105"/>
                  <w:sz w:val="17"/>
                </w:rPr>
                <w:t> </w:t>
              </w:r>
              <w:r>
                <w:rPr>
                  <w:w w:val="105"/>
                  <w:sz w:val="17"/>
                </w:rPr>
                <w:t>de</w:t>
              </w:r>
              <w:r>
                <w:rPr>
                  <w:spacing w:val="-12"/>
                  <w:w w:val="105"/>
                  <w:sz w:val="17"/>
                </w:rPr>
                <w:t> </w:t>
              </w:r>
              <w:r>
                <w:rPr>
                  <w:w w:val="105"/>
                  <w:sz w:val="17"/>
                </w:rPr>
                <w:t>participación,</w:t>
              </w:r>
              <w:r>
                <w:rPr>
                  <w:spacing w:val="-12"/>
                  <w:w w:val="105"/>
                  <w:sz w:val="17"/>
                </w:rPr>
                <w:t> </w:t>
              </w:r>
              <w:r>
                <w:rPr>
                  <w:w w:val="105"/>
                  <w:sz w:val="17"/>
                </w:rPr>
                <w:t>de</w:t>
              </w:r>
              <w:r>
                <w:rPr>
                  <w:spacing w:val="-11"/>
                  <w:w w:val="105"/>
                  <w:sz w:val="17"/>
                </w:rPr>
                <w:t> </w:t>
              </w:r>
              <w:r>
                <w:rPr>
                  <w:w w:val="105"/>
                  <w:sz w:val="17"/>
                </w:rPr>
                <w:t>las</w:t>
              </w:r>
              <w:r>
                <w:rPr>
                  <w:spacing w:val="-12"/>
                  <w:w w:val="105"/>
                  <w:sz w:val="17"/>
                </w:rPr>
                <w:t> </w:t>
              </w:r>
              <w:r>
                <w:rPr>
                  <w:w w:val="105"/>
                  <w:sz w:val="17"/>
                </w:rPr>
                <w:t>solicitudes</w:t>
              </w:r>
              <w:r>
                <w:rPr>
                  <w:spacing w:val="-12"/>
                  <w:w w:val="105"/>
                  <w:sz w:val="17"/>
                </w:rPr>
                <w:t> </w:t>
              </w:r>
              <w:r>
                <w:rPr>
                  <w:w w:val="105"/>
                  <w:sz w:val="17"/>
                </w:rPr>
                <w:t>de</w:t>
              </w:r>
              <w:r>
                <w:rPr>
                  <w:spacing w:val="-12"/>
                  <w:w w:val="105"/>
                  <w:sz w:val="17"/>
                </w:rPr>
                <w:t> </w:t>
              </w:r>
              <w:r>
                <w:rPr>
                  <w:w w:val="105"/>
                  <w:sz w:val="17"/>
                </w:rPr>
                <w:t>clasificación</w:t>
              </w:r>
              <w:r>
                <w:rPr>
                  <w:spacing w:val="-12"/>
                  <w:w w:val="105"/>
                  <w:sz w:val="17"/>
                </w:rPr>
                <w:t> </w:t>
              </w:r>
              <w:r>
                <w:rPr>
                  <w:w w:val="105"/>
                  <w:sz w:val="17"/>
                </w:rPr>
                <w:t>o</w:t>
              </w:r>
              <w:r>
                <w:rPr>
                  <w:spacing w:val="-11"/>
                  <w:w w:val="105"/>
                  <w:sz w:val="17"/>
                </w:rPr>
                <w:t> </w:t>
              </w:r>
              <w:r>
                <w:rPr>
                  <w:w w:val="105"/>
                  <w:sz w:val="17"/>
                </w:rPr>
                <w:t>de</w:t>
              </w:r>
              <w:r>
                <w:rPr>
                  <w:spacing w:val="-12"/>
                  <w:w w:val="105"/>
                  <w:sz w:val="17"/>
                </w:rPr>
                <w:t> </w:t>
              </w:r>
              <w:r>
                <w:rPr>
                  <w:w w:val="105"/>
                  <w:sz w:val="17"/>
                </w:rPr>
                <w:t>los</w:t>
              </w:r>
              <w:r>
                <w:rPr>
                  <w:spacing w:val="-12"/>
                  <w:w w:val="105"/>
                  <w:sz w:val="17"/>
                </w:rPr>
                <w:t> </w:t>
              </w:r>
              <w:r>
                <w:rPr>
                  <w:w w:val="105"/>
                  <w:sz w:val="17"/>
                </w:rPr>
                <w:t>planos</w:t>
              </w:r>
              <w:r>
                <w:rPr>
                  <w:spacing w:val="-12"/>
                  <w:w w:val="105"/>
                  <w:sz w:val="17"/>
                </w:rPr>
                <w:t> </w:t>
              </w:r>
              <w:r>
                <w:rPr>
                  <w:w w:val="105"/>
                  <w:sz w:val="17"/>
                </w:rPr>
                <w:t>y</w:t>
              </w:r>
              <w:r>
                <w:rPr>
                  <w:spacing w:val="-11"/>
                  <w:w w:val="105"/>
                  <w:sz w:val="17"/>
                </w:rPr>
                <w:t> </w:t>
              </w:r>
              <w:r>
                <w:rPr>
                  <w:w w:val="105"/>
                  <w:sz w:val="17"/>
                </w:rPr>
                <w:t>proyectos</w:t>
              </w:r>
              <w:r>
                <w:rPr>
                  <w:spacing w:val="-12"/>
                  <w:w w:val="105"/>
                  <w:sz w:val="17"/>
                </w:rPr>
                <w:t> </w:t>
              </w:r>
              <w:r>
                <w:rPr>
                  <w:w w:val="105"/>
                  <w:sz w:val="17"/>
                </w:rPr>
                <w:t>en</w:t>
              </w:r>
              <w:r>
                <w:rPr>
                  <w:spacing w:val="-12"/>
                  <w:w w:val="105"/>
                  <w:sz w:val="17"/>
                </w:rPr>
                <w:t> </w:t>
              </w:r>
              <w:r>
                <w:rPr>
                  <w:w w:val="105"/>
                  <w:sz w:val="17"/>
                </w:rPr>
                <w:t>los</w:t>
              </w:r>
              <w:r>
                <w:rPr>
                  <w:spacing w:val="-12"/>
                  <w:w w:val="105"/>
                  <w:sz w:val="17"/>
                </w:rPr>
                <w:t> </w:t>
              </w:r>
              <w:r>
                <w:rPr>
                  <w:w w:val="105"/>
                  <w:sz w:val="17"/>
                </w:rPr>
                <w:t>concursos.</w:t>
              </w:r>
            </w:hyperlink>
          </w:p>
        </w:tc>
        <w:tc>
          <w:tcPr>
            <w:tcW w:w="592" w:type="dxa"/>
          </w:tcPr>
          <w:p>
            <w:pPr>
              <w:pStyle w:val="TableParagraph"/>
              <w:spacing w:before="4"/>
              <w:rPr>
                <w:rFonts w:ascii="Times New Roman"/>
                <w:sz w:val="32"/>
              </w:rPr>
            </w:pPr>
          </w:p>
          <w:p>
            <w:pPr>
              <w:pStyle w:val="TableParagraph"/>
              <w:spacing w:before="1"/>
              <w:ind w:left="101"/>
              <w:rPr>
                <w:sz w:val="17"/>
              </w:rPr>
            </w:pPr>
            <w:hyperlink w:history="true" w:anchor="_bookmark85">
              <w:r>
                <w:rPr>
                  <w:w w:val="105"/>
                  <w:sz w:val="17"/>
                </w:rPr>
                <w:t>214</w:t>
              </w:r>
            </w:hyperlink>
          </w:p>
        </w:tc>
      </w:tr>
      <w:tr>
        <w:trPr>
          <w:trHeight w:val="679" w:hRule="atLeast"/>
        </w:trPr>
        <w:tc>
          <w:tcPr>
            <w:tcW w:w="9218" w:type="dxa"/>
          </w:tcPr>
          <w:p>
            <w:pPr>
              <w:pStyle w:val="TableParagraph"/>
              <w:spacing w:line="295" w:lineRule="auto" w:before="128"/>
              <w:ind w:left="399" w:right="99" w:hanging="200"/>
              <w:rPr>
                <w:sz w:val="17"/>
              </w:rPr>
            </w:pPr>
            <w:hyperlink w:history="true" w:anchor="_bookmark86">
              <w:r>
                <w:rPr>
                  <w:w w:val="105"/>
                  <w:sz w:val="17"/>
                </w:rPr>
                <w:t>ANEXO V. Contenido de las invitaciones a presentar una oferta, a participar en el diálogo o a negociar previstas</w:t>
              </w:r>
            </w:hyperlink>
            <w:r>
              <w:rPr>
                <w:w w:val="105"/>
                <w:sz w:val="17"/>
              </w:rPr>
              <w:t> </w:t>
            </w:r>
            <w:hyperlink w:history="true" w:anchor="_bookmark86">
              <w:r>
                <w:rPr>
                  <w:w w:val="105"/>
                  <w:sz w:val="17"/>
                </w:rPr>
                <w:t>en el artículo 63 . . . . . . . . . . . . . . . . . . . . . . . . . . . . . . . . . . . . . . . . . . . . . . . . . . . . . . . . . . . . . .</w:t>
              </w:r>
              <w:r>
                <w:rPr>
                  <w:sz w:val="17"/>
                </w:rPr>
                <w:t>  </w:t>
              </w:r>
            </w:hyperlink>
          </w:p>
        </w:tc>
        <w:tc>
          <w:tcPr>
            <w:tcW w:w="592" w:type="dxa"/>
          </w:tcPr>
          <w:p>
            <w:pPr>
              <w:pStyle w:val="TableParagraph"/>
              <w:spacing w:before="4"/>
              <w:rPr>
                <w:rFonts w:ascii="Times New Roman"/>
                <w:sz w:val="32"/>
              </w:rPr>
            </w:pPr>
          </w:p>
          <w:p>
            <w:pPr>
              <w:pStyle w:val="TableParagraph"/>
              <w:spacing w:before="1"/>
              <w:ind w:left="101"/>
              <w:rPr>
                <w:sz w:val="17"/>
              </w:rPr>
            </w:pPr>
            <w:hyperlink w:history="true" w:anchor="_bookmark86">
              <w:r>
                <w:rPr>
                  <w:w w:val="105"/>
                  <w:sz w:val="17"/>
                </w:rPr>
                <w:t>215</w:t>
              </w:r>
            </w:hyperlink>
          </w:p>
        </w:tc>
      </w:tr>
      <w:tr>
        <w:trPr>
          <w:trHeight w:val="680" w:hRule="atLeast"/>
        </w:trPr>
        <w:tc>
          <w:tcPr>
            <w:tcW w:w="9218" w:type="dxa"/>
          </w:tcPr>
          <w:p>
            <w:pPr>
              <w:pStyle w:val="TableParagraph"/>
              <w:spacing w:line="295" w:lineRule="auto" w:before="128"/>
              <w:ind w:left="400" w:right="-1" w:hanging="200"/>
              <w:rPr>
                <w:sz w:val="17"/>
              </w:rPr>
            </w:pPr>
            <w:hyperlink w:history="true" w:anchor="_bookmark87">
              <w:r>
                <w:rPr>
                  <w:w w:val="105"/>
                  <w:sz w:val="17"/>
                </w:rPr>
                <w:t>ANEXO VI. Información que debe figurar en los anuncios periódicos indicativos y en los anuncios de publicación</w:t>
              </w:r>
            </w:hyperlink>
            <w:r>
              <w:rPr>
                <w:w w:val="105"/>
                <w:sz w:val="17"/>
              </w:rPr>
              <w:t> </w:t>
            </w:r>
            <w:hyperlink w:history="true" w:anchor="_bookmark87">
              <w:r>
                <w:rPr>
                  <w:w w:val="105"/>
                  <w:sz w:val="17"/>
                </w:rPr>
                <w:t>en el perfil de contratante. . . . . . . . . . . . . . . . . . . . . . . . . . . . . . . . . . . . . . . . . . . . . . . . . . . . . . . .</w:t>
              </w:r>
              <w:r>
                <w:rPr>
                  <w:sz w:val="17"/>
                </w:rPr>
                <w:t>  </w:t>
              </w:r>
            </w:hyperlink>
          </w:p>
        </w:tc>
        <w:tc>
          <w:tcPr>
            <w:tcW w:w="592" w:type="dxa"/>
          </w:tcPr>
          <w:p>
            <w:pPr>
              <w:pStyle w:val="TableParagraph"/>
              <w:spacing w:before="4"/>
              <w:rPr>
                <w:rFonts w:ascii="Times New Roman"/>
                <w:sz w:val="32"/>
              </w:rPr>
            </w:pPr>
          </w:p>
          <w:p>
            <w:pPr>
              <w:pStyle w:val="TableParagraph"/>
              <w:spacing w:before="1"/>
              <w:ind w:left="101"/>
              <w:rPr>
                <w:sz w:val="17"/>
              </w:rPr>
            </w:pPr>
            <w:hyperlink w:history="true" w:anchor="_bookmark87">
              <w:r>
                <w:rPr>
                  <w:w w:val="105"/>
                  <w:sz w:val="17"/>
                </w:rPr>
                <w:t>215</w:t>
              </w:r>
            </w:hyperlink>
          </w:p>
        </w:tc>
      </w:tr>
      <w:tr>
        <w:trPr>
          <w:trHeight w:val="440" w:hRule="atLeast"/>
        </w:trPr>
        <w:tc>
          <w:tcPr>
            <w:tcW w:w="9218" w:type="dxa"/>
          </w:tcPr>
          <w:p>
            <w:pPr>
              <w:pStyle w:val="TableParagraph"/>
              <w:spacing w:before="128"/>
              <w:ind w:right="99"/>
              <w:jc w:val="right"/>
              <w:rPr>
                <w:sz w:val="17"/>
              </w:rPr>
            </w:pPr>
            <w:hyperlink w:history="true" w:anchor="_bookmark88">
              <w:r>
                <w:rPr>
                  <w:w w:val="105"/>
                  <w:sz w:val="17"/>
                </w:rPr>
                <w:t>ANEXO VII. Información que debe figurar en los anuncios de licitación . . . . . . . . . . . . . . . . . . . . . . . . . . . .</w:t>
              </w:r>
              <w:r>
                <w:rPr>
                  <w:sz w:val="17"/>
                </w:rPr>
                <w:t>  </w:t>
              </w:r>
            </w:hyperlink>
          </w:p>
        </w:tc>
        <w:tc>
          <w:tcPr>
            <w:tcW w:w="592" w:type="dxa"/>
          </w:tcPr>
          <w:p>
            <w:pPr>
              <w:pStyle w:val="TableParagraph"/>
              <w:spacing w:before="133"/>
              <w:ind w:left="101"/>
              <w:rPr>
                <w:sz w:val="17"/>
              </w:rPr>
            </w:pPr>
            <w:hyperlink w:history="true" w:anchor="_bookmark88">
              <w:r>
                <w:rPr>
                  <w:w w:val="105"/>
                  <w:sz w:val="17"/>
                </w:rPr>
                <w:t>218</w:t>
              </w:r>
            </w:hyperlink>
          </w:p>
        </w:tc>
      </w:tr>
      <w:tr>
        <w:trPr>
          <w:trHeight w:val="440" w:hRule="atLeast"/>
        </w:trPr>
        <w:tc>
          <w:tcPr>
            <w:tcW w:w="9218" w:type="dxa"/>
          </w:tcPr>
          <w:p>
            <w:pPr>
              <w:pStyle w:val="TableParagraph"/>
              <w:spacing w:before="128"/>
              <w:ind w:right="99"/>
              <w:jc w:val="right"/>
              <w:rPr>
                <w:sz w:val="17"/>
              </w:rPr>
            </w:pPr>
            <w:hyperlink w:history="true" w:anchor="_bookmark89">
              <w:r>
                <w:rPr>
                  <w:w w:val="105"/>
                  <w:sz w:val="17"/>
                </w:rPr>
                <w:t>ANEXO VIII. Información que debe figurar en los anuncios de formalización . . . . . . . . . . . . . . . . . . . . . . . . .</w:t>
              </w:r>
              <w:r>
                <w:rPr>
                  <w:sz w:val="17"/>
                </w:rPr>
                <w:t>  </w:t>
              </w:r>
            </w:hyperlink>
          </w:p>
        </w:tc>
        <w:tc>
          <w:tcPr>
            <w:tcW w:w="592" w:type="dxa"/>
          </w:tcPr>
          <w:p>
            <w:pPr>
              <w:pStyle w:val="TableParagraph"/>
              <w:spacing w:before="133"/>
              <w:ind w:left="101"/>
              <w:rPr>
                <w:sz w:val="17"/>
              </w:rPr>
            </w:pPr>
            <w:hyperlink w:history="true" w:anchor="_bookmark89">
              <w:r>
                <w:rPr>
                  <w:w w:val="105"/>
                  <w:sz w:val="17"/>
                </w:rPr>
                <w:t>223</w:t>
              </w:r>
            </w:hyperlink>
          </w:p>
        </w:tc>
      </w:tr>
      <w:tr>
        <w:trPr>
          <w:trHeight w:val="440" w:hRule="atLeast"/>
        </w:trPr>
        <w:tc>
          <w:tcPr>
            <w:tcW w:w="9218" w:type="dxa"/>
          </w:tcPr>
          <w:p>
            <w:pPr>
              <w:pStyle w:val="TableParagraph"/>
              <w:spacing w:before="128"/>
              <w:ind w:right="100"/>
              <w:jc w:val="right"/>
              <w:rPr>
                <w:sz w:val="17"/>
              </w:rPr>
            </w:pPr>
            <w:hyperlink w:history="true" w:anchor="_bookmark90">
              <w:r>
                <w:rPr>
                  <w:w w:val="105"/>
                  <w:sz w:val="17"/>
                </w:rPr>
                <w:t>ANEXO IX. Información que debe figurar en los anuncios de los concursos de proyectos . . . . . . . . . . . . . . . . .</w:t>
              </w:r>
              <w:r>
                <w:rPr>
                  <w:sz w:val="17"/>
                </w:rPr>
                <w:t>  </w:t>
              </w:r>
            </w:hyperlink>
          </w:p>
        </w:tc>
        <w:tc>
          <w:tcPr>
            <w:tcW w:w="592" w:type="dxa"/>
          </w:tcPr>
          <w:p>
            <w:pPr>
              <w:pStyle w:val="TableParagraph"/>
              <w:spacing w:before="133"/>
              <w:ind w:left="101"/>
              <w:rPr>
                <w:sz w:val="17"/>
              </w:rPr>
            </w:pPr>
            <w:hyperlink w:history="true" w:anchor="_bookmark90">
              <w:r>
                <w:rPr>
                  <w:w w:val="105"/>
                  <w:sz w:val="17"/>
                </w:rPr>
                <w:t>226</w:t>
              </w:r>
            </w:hyperlink>
          </w:p>
        </w:tc>
      </w:tr>
      <w:tr>
        <w:trPr>
          <w:trHeight w:val="440" w:hRule="atLeast"/>
        </w:trPr>
        <w:tc>
          <w:tcPr>
            <w:tcW w:w="9218" w:type="dxa"/>
          </w:tcPr>
          <w:p>
            <w:pPr>
              <w:pStyle w:val="TableParagraph"/>
              <w:spacing w:before="128"/>
              <w:ind w:right="100"/>
              <w:jc w:val="right"/>
              <w:rPr>
                <w:sz w:val="17"/>
              </w:rPr>
            </w:pPr>
            <w:hyperlink w:history="true" w:anchor="_bookmark91">
              <w:r>
                <w:rPr>
                  <w:w w:val="105"/>
                  <w:sz w:val="17"/>
                </w:rPr>
                <w:t>ANEXO X. Información que debe figurar en los anuncios de modificación de los contratos durante su vigencia . . .</w:t>
              </w:r>
              <w:r>
                <w:rPr>
                  <w:sz w:val="17"/>
                </w:rPr>
                <w:t>  </w:t>
              </w:r>
            </w:hyperlink>
          </w:p>
        </w:tc>
        <w:tc>
          <w:tcPr>
            <w:tcW w:w="592" w:type="dxa"/>
          </w:tcPr>
          <w:p>
            <w:pPr>
              <w:pStyle w:val="TableParagraph"/>
              <w:spacing w:before="133"/>
              <w:ind w:left="101"/>
              <w:rPr>
                <w:sz w:val="17"/>
              </w:rPr>
            </w:pPr>
            <w:hyperlink w:history="true" w:anchor="_bookmark91">
              <w:r>
                <w:rPr>
                  <w:w w:val="105"/>
                  <w:sz w:val="17"/>
                </w:rPr>
                <w:t>227</w:t>
              </w:r>
            </w:hyperlink>
          </w:p>
        </w:tc>
      </w:tr>
      <w:tr>
        <w:trPr>
          <w:trHeight w:val="579" w:hRule="atLeast"/>
        </w:trPr>
        <w:tc>
          <w:tcPr>
            <w:tcW w:w="9218" w:type="dxa"/>
          </w:tcPr>
          <w:p>
            <w:pPr>
              <w:pStyle w:val="TableParagraph"/>
              <w:spacing w:line="240" w:lineRule="atLeast" w:before="83"/>
              <w:ind w:left="399" w:right="-1" w:hanging="200"/>
              <w:rPr>
                <w:sz w:val="17"/>
              </w:rPr>
            </w:pPr>
            <w:hyperlink w:history="true" w:anchor="_bookmark92">
              <w:r>
                <w:rPr>
                  <w:w w:val="105"/>
                  <w:sz w:val="17"/>
                </w:rPr>
                <w:t>ANEXO XI. Listado de Convenios internacionales en el ámbito social y medioambiental a que se refiere el artículo</w:t>
              </w:r>
            </w:hyperlink>
            <w:r>
              <w:rPr>
                <w:w w:val="105"/>
                <w:sz w:val="17"/>
              </w:rPr>
              <w:t> </w:t>
            </w:r>
            <w:hyperlink w:history="true" w:anchor="_bookmark92">
              <w:r>
                <w:rPr>
                  <w:w w:val="105"/>
                  <w:sz w:val="17"/>
                </w:rPr>
                <w:t>27.4 . . . . . . . . . . . . . . . . . . . . . . . . . . . . . . . . . . . . . . . . . . . . . . . . . . . . . . . . . . . . . . . . . . . . .</w:t>
              </w:r>
              <w:r>
                <w:rPr>
                  <w:sz w:val="17"/>
                </w:rPr>
                <w:t>  </w:t>
              </w:r>
            </w:hyperlink>
          </w:p>
        </w:tc>
        <w:tc>
          <w:tcPr>
            <w:tcW w:w="592" w:type="dxa"/>
          </w:tcPr>
          <w:p>
            <w:pPr>
              <w:pStyle w:val="TableParagraph"/>
              <w:spacing w:before="4"/>
              <w:rPr>
                <w:rFonts w:ascii="Times New Roman"/>
                <w:sz w:val="32"/>
              </w:rPr>
            </w:pPr>
          </w:p>
          <w:p>
            <w:pPr>
              <w:pStyle w:val="TableParagraph"/>
              <w:spacing w:line="187" w:lineRule="exact" w:before="1"/>
              <w:ind w:left="101"/>
              <w:rPr>
                <w:sz w:val="17"/>
              </w:rPr>
            </w:pPr>
            <w:hyperlink w:history="true" w:anchor="_bookmark92">
              <w:r>
                <w:rPr>
                  <w:w w:val="105"/>
                  <w:sz w:val="17"/>
                </w:rPr>
                <w:t>228</w:t>
              </w:r>
            </w:hyperlink>
          </w:p>
        </w:tc>
      </w:tr>
    </w:tbl>
    <w:p>
      <w:pPr>
        <w:spacing w:after="0" w:line="187" w:lineRule="exact"/>
        <w:rPr>
          <w:sz w:val="17"/>
        </w:rPr>
        <w:sectPr>
          <w:pgSz w:w="11910" w:h="16840"/>
          <w:pgMar w:header="529" w:footer="570" w:top="1200" w:bottom="760" w:left="740" w:right="540"/>
        </w:sectPr>
      </w:pPr>
    </w:p>
    <w:p>
      <w:pPr>
        <w:pStyle w:val="BodyText"/>
        <w:spacing w:before="0"/>
        <w:ind w:left="0" w:firstLine="0"/>
        <w:jc w:val="left"/>
        <w:rPr>
          <w:rFonts w:ascii="Times New Roman"/>
        </w:rPr>
      </w:pPr>
    </w:p>
    <w:p>
      <w:pPr>
        <w:pStyle w:val="BodyText"/>
        <w:spacing w:before="3"/>
        <w:ind w:left="0" w:firstLine="0"/>
        <w:jc w:val="left"/>
        <w:rPr>
          <w:rFonts w:ascii="Times New Roman"/>
        </w:rPr>
      </w:pPr>
    </w:p>
    <w:tbl>
      <w:tblPr>
        <w:tblW w:w="0" w:type="auto"/>
        <w:jc w:val="left"/>
        <w:tblInd w:w="7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17"/>
        <w:gridCol w:w="593"/>
      </w:tblGrid>
      <w:tr>
        <w:trPr>
          <w:trHeight w:val="479" w:hRule="atLeast"/>
        </w:trPr>
        <w:tc>
          <w:tcPr>
            <w:tcW w:w="9217" w:type="dxa"/>
          </w:tcPr>
          <w:p>
            <w:pPr>
              <w:pStyle w:val="TableParagraph"/>
              <w:spacing w:before="27"/>
              <w:ind w:right="173"/>
              <w:jc w:val="right"/>
              <w:rPr>
                <w:sz w:val="17"/>
              </w:rPr>
            </w:pPr>
            <w:hyperlink w:history="true" w:anchor="_bookmark93">
              <w:r>
                <w:rPr>
                  <w:w w:val="105"/>
                  <w:sz w:val="17"/>
                </w:rPr>
                <w:t>ANEXO XII. Requisitos mínimos en materia de competencia y conocimientos profesionales [artículo 10, apartado</w:t>
              </w:r>
            </w:hyperlink>
          </w:p>
          <w:p>
            <w:pPr>
              <w:pStyle w:val="TableParagraph"/>
              <w:spacing w:line="192" w:lineRule="exact" w:before="45"/>
              <w:ind w:right="99"/>
              <w:jc w:val="right"/>
              <w:rPr>
                <w:sz w:val="17"/>
              </w:rPr>
            </w:pPr>
            <w:hyperlink w:history="true" w:anchor="_bookmark93">
              <w:r>
                <w:rPr>
                  <w:w w:val="105"/>
                  <w:sz w:val="17"/>
                </w:rPr>
                <w:t>2,</w:t>
              </w:r>
              <w:r>
                <w:rPr>
                  <w:spacing w:val="-8"/>
                  <w:w w:val="105"/>
                  <w:sz w:val="17"/>
                </w:rPr>
                <w:t> </w:t>
              </w:r>
              <w:r>
                <w:rPr>
                  <w:w w:val="105"/>
                  <w:sz w:val="17"/>
                </w:rPr>
                <w:t>Directiva</w:t>
              </w:r>
              <w:r>
                <w:rPr>
                  <w:spacing w:val="-8"/>
                  <w:w w:val="105"/>
                  <w:sz w:val="17"/>
                </w:rPr>
                <w:t> </w:t>
              </w:r>
              <w:r>
                <w:rPr>
                  <w:w w:val="105"/>
                  <w:sz w:val="17"/>
                </w:rPr>
                <w:t>(UE)</w:t>
              </w:r>
              <w:r>
                <w:rPr>
                  <w:spacing w:val="-7"/>
                  <w:w w:val="105"/>
                  <w:sz w:val="17"/>
                </w:rPr>
                <w:t> </w:t>
              </w:r>
              <w:r>
                <w:rPr>
                  <w:w w:val="105"/>
                  <w:sz w:val="17"/>
                </w:rPr>
                <w:t>2016/97</w:t>
              </w:r>
              <w:r>
                <w:rPr>
                  <w:spacing w:val="-8"/>
                  <w:w w:val="105"/>
                  <w:sz w:val="17"/>
                </w:rPr>
                <w:t> </w:t>
              </w:r>
              <w:r>
                <w:rPr>
                  <w:w w:val="105"/>
                  <w:sz w:val="17"/>
                </w:rPr>
                <w:t>del</w:t>
              </w:r>
              <w:r>
                <w:rPr>
                  <w:spacing w:val="-8"/>
                  <w:w w:val="105"/>
                  <w:sz w:val="17"/>
                </w:rPr>
                <w:t> </w:t>
              </w:r>
              <w:r>
                <w:rPr>
                  <w:w w:val="105"/>
                  <w:sz w:val="17"/>
                </w:rPr>
                <w:t>Parlamento</w:t>
              </w:r>
              <w:r>
                <w:rPr>
                  <w:spacing w:val="-7"/>
                  <w:w w:val="105"/>
                  <w:sz w:val="17"/>
                </w:rPr>
                <w:t> </w:t>
              </w:r>
              <w:r>
                <w:rPr>
                  <w:w w:val="105"/>
                  <w:sz w:val="17"/>
                </w:rPr>
                <w:t>Europeo</w:t>
              </w:r>
              <w:r>
                <w:rPr>
                  <w:spacing w:val="-8"/>
                  <w:w w:val="105"/>
                  <w:sz w:val="17"/>
                </w:rPr>
                <w:t> </w:t>
              </w:r>
              <w:r>
                <w:rPr>
                  <w:w w:val="105"/>
                  <w:sz w:val="17"/>
                </w:rPr>
                <w:t>y</w:t>
              </w:r>
              <w:r>
                <w:rPr>
                  <w:spacing w:val="-8"/>
                  <w:w w:val="105"/>
                  <w:sz w:val="17"/>
                </w:rPr>
                <w:t> </w:t>
              </w:r>
              <w:r>
                <w:rPr>
                  <w:w w:val="105"/>
                  <w:sz w:val="17"/>
                </w:rPr>
                <w:t>del</w:t>
              </w:r>
              <w:r>
                <w:rPr>
                  <w:spacing w:val="-7"/>
                  <w:w w:val="105"/>
                  <w:sz w:val="17"/>
                </w:rPr>
                <w:t> </w:t>
              </w:r>
              <w:r>
                <w:rPr>
                  <w:w w:val="105"/>
                  <w:sz w:val="17"/>
                </w:rPr>
                <w:t>Consejo,</w:t>
              </w:r>
              <w:r>
                <w:rPr>
                  <w:spacing w:val="-8"/>
                  <w:w w:val="105"/>
                  <w:sz w:val="17"/>
                </w:rPr>
                <w:t> </w:t>
              </w:r>
              <w:r>
                <w:rPr>
                  <w:w w:val="105"/>
                  <w:sz w:val="17"/>
                </w:rPr>
                <w:t>de</w:t>
              </w:r>
              <w:r>
                <w:rPr>
                  <w:spacing w:val="-8"/>
                  <w:w w:val="105"/>
                  <w:sz w:val="17"/>
                </w:rPr>
                <w:t> </w:t>
              </w:r>
              <w:r>
                <w:rPr>
                  <w:w w:val="105"/>
                  <w:sz w:val="17"/>
                </w:rPr>
                <w:t>20</w:t>
              </w:r>
              <w:r>
                <w:rPr>
                  <w:spacing w:val="-7"/>
                  <w:w w:val="105"/>
                  <w:sz w:val="17"/>
                </w:rPr>
                <w:t> </w:t>
              </w:r>
              <w:r>
                <w:rPr>
                  <w:w w:val="105"/>
                  <w:sz w:val="17"/>
                </w:rPr>
                <w:t>de</w:t>
              </w:r>
              <w:r>
                <w:rPr>
                  <w:spacing w:val="-8"/>
                  <w:w w:val="105"/>
                  <w:sz w:val="17"/>
                </w:rPr>
                <w:t> </w:t>
              </w:r>
              <w:r>
                <w:rPr>
                  <w:w w:val="105"/>
                  <w:sz w:val="17"/>
                </w:rPr>
                <w:t>enero</w:t>
              </w:r>
              <w:r>
                <w:rPr>
                  <w:spacing w:val="-8"/>
                  <w:w w:val="105"/>
                  <w:sz w:val="17"/>
                </w:rPr>
                <w:t> </w:t>
              </w:r>
              <w:r>
                <w:rPr>
                  <w:w w:val="105"/>
                  <w:sz w:val="17"/>
                </w:rPr>
                <w:t>de</w:t>
              </w:r>
              <w:r>
                <w:rPr>
                  <w:spacing w:val="-7"/>
                  <w:w w:val="105"/>
                  <w:sz w:val="17"/>
                </w:rPr>
                <w:t> </w:t>
              </w:r>
              <w:r>
                <w:rPr>
                  <w:w w:val="105"/>
                  <w:sz w:val="17"/>
                </w:rPr>
                <w:t>2016]</w:t>
              </w:r>
              <w:r>
                <w:rPr>
                  <w:spacing w:val="-30"/>
                  <w:w w:val="105"/>
                  <w:sz w:val="17"/>
                </w:rPr>
                <w:t> </w:t>
              </w:r>
              <w:r>
                <w:rPr>
                  <w:spacing w:val="24"/>
                  <w:w w:val="105"/>
                  <w:sz w:val="17"/>
                </w:rPr>
                <w:t>.</w:t>
              </w:r>
              <w:r>
                <w:rPr>
                  <w:spacing w:val="-8"/>
                  <w:w w:val="105"/>
                  <w:sz w:val="17"/>
                </w:rPr>
                <w:t> </w:t>
              </w:r>
              <w:r>
                <w:rPr>
                  <w:spacing w:val="24"/>
                  <w:w w:val="105"/>
                  <w:sz w:val="17"/>
                </w:rPr>
                <w:t>.</w:t>
              </w:r>
              <w:r>
                <w:rPr>
                  <w:spacing w:val="-9"/>
                  <w:w w:val="105"/>
                  <w:sz w:val="17"/>
                </w:rPr>
                <w:t> </w:t>
              </w:r>
              <w:r>
                <w:rPr>
                  <w:spacing w:val="24"/>
                  <w:w w:val="105"/>
                  <w:sz w:val="17"/>
                </w:rPr>
                <w:t>.</w:t>
              </w:r>
              <w:r>
                <w:rPr>
                  <w:spacing w:val="-8"/>
                  <w:w w:val="105"/>
                  <w:sz w:val="17"/>
                </w:rPr>
                <w:t> </w:t>
              </w:r>
              <w:r>
                <w:rPr>
                  <w:spacing w:val="24"/>
                  <w:w w:val="105"/>
                  <w:sz w:val="17"/>
                </w:rPr>
                <w:t>.</w:t>
              </w:r>
              <w:r>
                <w:rPr>
                  <w:spacing w:val="-9"/>
                  <w:w w:val="105"/>
                  <w:sz w:val="17"/>
                </w:rPr>
                <w:t> </w:t>
              </w:r>
              <w:r>
                <w:rPr>
                  <w:spacing w:val="24"/>
                  <w:w w:val="105"/>
                  <w:sz w:val="17"/>
                </w:rPr>
                <w:t>.</w:t>
              </w:r>
              <w:r>
                <w:rPr>
                  <w:spacing w:val="-8"/>
                  <w:w w:val="105"/>
                  <w:sz w:val="17"/>
                </w:rPr>
                <w:t> </w:t>
              </w:r>
              <w:r>
                <w:rPr>
                  <w:spacing w:val="24"/>
                  <w:w w:val="105"/>
                  <w:sz w:val="17"/>
                </w:rPr>
                <w:t>.</w:t>
              </w:r>
              <w:r>
                <w:rPr>
                  <w:spacing w:val="-9"/>
                  <w:w w:val="105"/>
                  <w:sz w:val="17"/>
                </w:rPr>
                <w:t> </w:t>
              </w:r>
              <w:r>
                <w:rPr>
                  <w:spacing w:val="24"/>
                  <w:w w:val="105"/>
                  <w:sz w:val="17"/>
                </w:rPr>
                <w:t>.</w:t>
              </w:r>
              <w:r>
                <w:rPr>
                  <w:spacing w:val="-8"/>
                  <w:w w:val="105"/>
                  <w:sz w:val="17"/>
                </w:rPr>
                <w:t> </w:t>
              </w:r>
              <w:r>
                <w:rPr>
                  <w:spacing w:val="24"/>
                  <w:w w:val="105"/>
                  <w:sz w:val="17"/>
                </w:rPr>
                <w:t>.</w:t>
              </w:r>
              <w:r>
                <w:rPr>
                  <w:spacing w:val="-9"/>
                  <w:w w:val="105"/>
                  <w:sz w:val="17"/>
                </w:rPr>
                <w:t> </w:t>
              </w:r>
              <w:r>
                <w:rPr>
                  <w:spacing w:val="24"/>
                  <w:w w:val="105"/>
                  <w:sz w:val="17"/>
                </w:rPr>
                <w:t>.</w:t>
              </w:r>
              <w:r>
                <w:rPr>
                  <w:spacing w:val="-8"/>
                  <w:w w:val="105"/>
                  <w:sz w:val="17"/>
                </w:rPr>
                <w:t> </w:t>
              </w:r>
              <w:r>
                <w:rPr>
                  <w:spacing w:val="24"/>
                  <w:w w:val="105"/>
                  <w:sz w:val="17"/>
                </w:rPr>
                <w:t>.</w:t>
              </w:r>
              <w:r>
                <w:rPr>
                  <w:spacing w:val="-9"/>
                  <w:w w:val="105"/>
                  <w:sz w:val="17"/>
                </w:rPr>
                <w:t> </w:t>
              </w:r>
              <w:r>
                <w:rPr>
                  <w:spacing w:val="24"/>
                  <w:w w:val="105"/>
                  <w:sz w:val="17"/>
                </w:rPr>
                <w:t>.</w:t>
              </w:r>
              <w:r>
                <w:rPr>
                  <w:spacing w:val="-8"/>
                  <w:w w:val="105"/>
                  <w:sz w:val="17"/>
                </w:rPr>
                <w:t> </w:t>
              </w:r>
              <w:r>
                <w:rPr>
                  <w:spacing w:val="24"/>
                  <w:w w:val="105"/>
                  <w:sz w:val="17"/>
                </w:rPr>
                <w:t>.</w:t>
              </w:r>
              <w:r>
                <w:rPr>
                  <w:spacing w:val="-9"/>
                  <w:w w:val="105"/>
                  <w:sz w:val="17"/>
                </w:rPr>
                <w:t> </w:t>
              </w:r>
              <w:r>
                <w:rPr>
                  <w:spacing w:val="24"/>
                  <w:w w:val="105"/>
                  <w:sz w:val="17"/>
                </w:rPr>
                <w:t>.</w:t>
              </w:r>
              <w:r>
                <w:rPr>
                  <w:spacing w:val="-8"/>
                  <w:w w:val="105"/>
                  <w:sz w:val="17"/>
                </w:rPr>
                <w:t> </w:t>
              </w:r>
              <w:r>
                <w:rPr>
                  <w:w w:val="105"/>
                  <w:sz w:val="17"/>
                </w:rPr>
                <w:t>.</w:t>
              </w:r>
              <w:r>
                <w:rPr>
                  <w:sz w:val="17"/>
                </w:rPr>
                <w:t> </w:t>
              </w:r>
              <w:r>
                <w:rPr>
                  <w:spacing w:val="-24"/>
                  <w:sz w:val="17"/>
                </w:rPr>
                <w:t> </w:t>
              </w:r>
            </w:hyperlink>
          </w:p>
        </w:tc>
        <w:tc>
          <w:tcPr>
            <w:tcW w:w="593" w:type="dxa"/>
          </w:tcPr>
          <w:p>
            <w:pPr>
              <w:pStyle w:val="TableParagraph"/>
              <w:spacing w:before="8"/>
              <w:rPr>
                <w:rFonts w:ascii="Times New Roman"/>
                <w:sz w:val="23"/>
              </w:rPr>
            </w:pPr>
          </w:p>
          <w:p>
            <w:pPr>
              <w:pStyle w:val="TableParagraph"/>
              <w:spacing w:line="187" w:lineRule="exact"/>
              <w:ind w:left="102"/>
              <w:rPr>
                <w:sz w:val="17"/>
              </w:rPr>
            </w:pPr>
            <w:hyperlink w:history="true" w:anchor="_bookmark93">
              <w:r>
                <w:rPr>
                  <w:w w:val="105"/>
                  <w:sz w:val="17"/>
                </w:rPr>
                <w:t>228</w:t>
              </w:r>
            </w:hyperlink>
          </w:p>
        </w:tc>
      </w:tr>
    </w:tbl>
    <w:p>
      <w:pPr>
        <w:spacing w:after="0" w:line="187" w:lineRule="exact"/>
        <w:rPr>
          <w:sz w:val="17"/>
        </w:rPr>
        <w:sectPr>
          <w:pgSz w:w="11910" w:h="16840"/>
          <w:pgMar w:header="529" w:footer="570" w:top="1200" w:bottom="760" w:left="740" w:right="540"/>
        </w:sectPr>
      </w:pPr>
    </w:p>
    <w:p>
      <w:pPr>
        <w:pStyle w:val="BodyText"/>
        <w:spacing w:before="4"/>
        <w:ind w:left="0" w:firstLine="0"/>
        <w:jc w:val="left"/>
        <w:rPr>
          <w:rFonts w:ascii="Times New Roman"/>
          <w:sz w:val="29"/>
        </w:rPr>
      </w:pPr>
    </w:p>
    <w:p>
      <w:pPr>
        <w:spacing w:before="137"/>
        <w:ind w:left="2929" w:right="3127" w:firstLine="0"/>
        <w:jc w:val="center"/>
        <w:rPr>
          <w:sz w:val="28"/>
        </w:rPr>
      </w:pPr>
      <w:r>
        <w:rPr>
          <w:color w:val="004479"/>
          <w:sz w:val="28"/>
        </w:rPr>
        <w:t>TEXTO CONSOLIDADO</w:t>
      </w:r>
    </w:p>
    <w:p>
      <w:pPr>
        <w:spacing w:before="38"/>
        <w:ind w:left="1414" w:right="1612" w:firstLine="0"/>
        <w:jc w:val="center"/>
        <w:rPr>
          <w:sz w:val="28"/>
        </w:rPr>
      </w:pPr>
      <w:r>
        <w:rPr>
          <w:color w:val="004479"/>
          <w:sz w:val="28"/>
        </w:rPr>
        <w:t>Última modificación: sin modificaciones</w:t>
      </w:r>
    </w:p>
    <w:p>
      <w:pPr>
        <w:pStyle w:val="BodyText"/>
        <w:spacing w:before="0"/>
        <w:ind w:left="0" w:firstLine="0"/>
        <w:jc w:val="left"/>
        <w:rPr>
          <w:sz w:val="38"/>
        </w:rPr>
      </w:pPr>
    </w:p>
    <w:p>
      <w:pPr>
        <w:pStyle w:val="BodyText"/>
        <w:ind w:left="0" w:firstLine="0"/>
        <w:jc w:val="left"/>
        <w:rPr>
          <w:sz w:val="38"/>
        </w:rPr>
      </w:pPr>
    </w:p>
    <w:p>
      <w:pPr>
        <w:pStyle w:val="BodyText"/>
        <w:spacing w:before="0"/>
        <w:ind w:left="0" w:right="198" w:firstLine="0"/>
        <w:jc w:val="center"/>
      </w:pPr>
      <w:bookmarkStart w:name="[Preámbulo]" w:id="2"/>
      <w:bookmarkEnd w:id="2"/>
      <w:r>
        <w:rPr/>
      </w:r>
      <w:bookmarkStart w:name="_bookmark0" w:id="3"/>
      <w:bookmarkEnd w:id="3"/>
      <w:r>
        <w:rPr/>
      </w:r>
      <w:r>
        <w:rPr/>
        <w:t>I</w:t>
      </w:r>
    </w:p>
    <w:p>
      <w:pPr>
        <w:pStyle w:val="BodyText"/>
        <w:spacing w:line="249" w:lineRule="auto" w:before="130"/>
        <w:ind w:right="1274"/>
      </w:pPr>
      <w:r>
        <w:rPr/>
        <w:t>La transposición en plazo de directivas de la Unión Europea constituye en la actualidad uno de los objetivos prioritarios establecidos por el Consejo Europeo. La Comisión Europea presenta informes periódicos al Consejo de Competitividad a los que se les da un alto valor político en cuanto que sirven para medir la eficacia y la credibilidad de los Estados miembros en la puesta en práctica del mercado interior.</w:t>
      </w:r>
    </w:p>
    <w:p>
      <w:pPr>
        <w:pStyle w:val="BodyText"/>
        <w:spacing w:line="249" w:lineRule="auto" w:before="4"/>
        <w:ind w:right="1272"/>
      </w:pPr>
      <w:r>
        <w:rPr/>
        <w:t>El cumplimiento de este objetivo resulta hoy, si cabe, aún más relevante, habida cuenta del escenario diseñado por el Tratado de Lisboa por el que se modifican el Tratado de la Unión Europea y el Tratado constitutivo de la Comunidad Europea, para los incumplimientos en el plazo de transposición de directivas, en los que la Comisión puede pedir al Tribunal de Justicia de la Unión Europea la imposición de importantes sanciones económicas de manera acelerada según el artículo 260.3 del Tratado de Funcionamiento de la Unión Europea.</w:t>
      </w:r>
    </w:p>
    <w:p>
      <w:pPr>
        <w:pStyle w:val="BodyText"/>
        <w:spacing w:line="249" w:lineRule="auto" w:before="5"/>
        <w:ind w:right="1270"/>
      </w:pPr>
      <w:r>
        <w:rPr/>
        <w:t>España viene cumpliendo consistentemente con los criterios de transposición en los plazos comprometidos. Sin embargo, en estos momentos se da un significativo retraso en la transposición de determinadas normas.</w:t>
      </w:r>
    </w:p>
    <w:p>
      <w:pPr>
        <w:pStyle w:val="BodyText"/>
        <w:spacing w:line="249" w:lineRule="auto" w:before="3"/>
        <w:ind w:right="1270"/>
      </w:pPr>
      <w:r>
        <w:rPr/>
        <w:t>Es por ello que, en primer lugar, este real decreto-ley tiene por objeto la transposición parcial a la Directiva 2014/25/UE, del Parlamento Europeo y del Consejo, de 26 de febrero de 2014, relativa a la contratación por entidades que operan en los sectores del agua, la energía, los transportes y los servicios postales, y dar transposición también parcial a la Directiva 2014/23/UE, del Parlamento Europeo y del Consejo, de 26 de febrero de 2014, relativa a la adjudicación de contratos de</w:t>
      </w:r>
      <w:r>
        <w:rPr>
          <w:spacing w:val="-7"/>
        </w:rPr>
        <w:t> </w:t>
      </w:r>
      <w:r>
        <w:rPr/>
        <w:t>concesión.</w:t>
      </w:r>
    </w:p>
    <w:p>
      <w:pPr>
        <w:pStyle w:val="BodyText"/>
        <w:spacing w:line="249" w:lineRule="auto" w:before="5"/>
        <w:ind w:right="1272"/>
      </w:pPr>
      <w:r>
        <w:rPr/>
        <w:t>El plazo de transposición de estas Directivas expiró el 18 de abril de 2016, sin que la transposición de las Directivas 2014/25/UE y 2014/23/UE se hubiera completado, a pesar de que determinadas materias reguladas en las Directivas 2014/25/UE y 2014/23/UE se habían transpuesto ya a través de determinadas modificaciones puntuales del entonces vigente texto refundido de la Ley de Contratos del Sector Público de 14 de noviembre de 2011 aprobado por el Real Decreto Legislativo 3/2011, de 14 de noviembre; y, posteriormente, por la Ley 9/2017, de 8 de noviembre, de Contratos del Sector Público, por la que se transponen al ordenamiento jurídico español las Directivas del Parlamento Europeo y del Consejo 2014/23/UE y 2014/24/UE, de 26 de febrero de 2014. En ese momento el Anteproyecto de Ley de contratos del sector público y el Anteproyecto de Ley sobre procedimientos de contratación en los sectores del agua, la energía, los transportes y los servicios postales contaban con toda la fase de tramitación administrativa realizada y estaban preparados para ser remitidos a las Cortes Generales para su aprobación definitiva, sin embargo, al encontrarse el Gobierno en funciones desde el 21 de diciembre de 2015 sendos proyectos de ley no podían ser presentados a las Cortes</w:t>
      </w:r>
      <w:r>
        <w:rPr>
          <w:spacing w:val="-12"/>
        </w:rPr>
        <w:t> </w:t>
      </w:r>
      <w:r>
        <w:rPr/>
        <w:t>Generales.</w:t>
      </w:r>
    </w:p>
    <w:p>
      <w:pPr>
        <w:pStyle w:val="BodyText"/>
        <w:spacing w:line="249" w:lineRule="auto" w:before="12"/>
        <w:ind w:right="1271"/>
      </w:pPr>
      <w:r>
        <w:rPr/>
        <w:t>Posteriormente, una vez formado el nuevo Gobierno, el 25 de noviembre de 2016 los dos Anteproyectos de Ley mencionados anteriormente fueron elevados por el mismo a las Cortes Generales para su tramitación parlamentaria y aprobación definitiva por el procedimiento de urgencia. A pesar de ello la Comisión Europea dirigió al Reino de España dictamen motivado el 9 de diciembre de 2016.</w:t>
      </w:r>
    </w:p>
    <w:p>
      <w:pPr>
        <w:pStyle w:val="BodyText"/>
        <w:spacing w:line="249" w:lineRule="auto" w:before="4"/>
        <w:ind w:right="1272"/>
      </w:pPr>
      <w:r>
        <w:rPr/>
        <w:t>El proyecto de Ley de Contratos del Sector Público fue aprobado por las Cortes Generales y publicado en el BOE de 9 de noviembre de 2017 como Ley 9/2017, de 8 de noviembre, de Contratos del Sector Público, por la que se transponen al ordenamiento jurídico español las Directivas del Parlamento Europeo y del Consejo 2014/23/UE y 2014/24/UE, de 26 de febrero de 2014; sin embargo, el Proyecto de Ley de procedimientos de contratación en los sectores del agua, la energía, los transportes y los servicios postales, pese a haber sido objeto de tramitación en paralelo con esta Ley, no fue aprobado.</w:t>
      </w:r>
    </w:p>
    <w:p>
      <w:pPr>
        <w:pStyle w:val="BodyText"/>
        <w:spacing w:line="249" w:lineRule="auto" w:before="6"/>
        <w:ind w:right="1272"/>
      </w:pPr>
      <w:r>
        <w:rPr/>
        <w:t>El 7 de diciembre de 2017 la Comisión Europea interpuso contra el Reino de España dos recursos ante el Tribunal de Justicia de la Unión Europea para que declare que España ha incumplido las obligaciones que le incumben en virtud de:</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3"/>
      </w:pPr>
      <w:r>
        <w:rPr/>
        <w:t>El artículo 106.1 de la Directiva 2014/25/UE y le condene al pago de una multa coercitiva diaria de 123.928,64 euros, con efecto a partir de la fecha de pronunciamiento de la sentencia, de conformidad con el artículo 206.3 del Tratado de Funcionamiento de la Unión Europea y en virtud del artículo 51.1 de la Directiva 2014/23/UE, con efecto a partir de la fecha de pronunciamiento de la sentencia, y le condene al pago de una multa coercitiva diaria de 61.964,32 euros, de conformidad con el artículo 206.3 del Tratado de Funcionamiento de la Unión</w:t>
      </w:r>
      <w:r>
        <w:rPr>
          <w:spacing w:val="-4"/>
        </w:rPr>
        <w:t> </w:t>
      </w:r>
      <w:r>
        <w:rPr/>
        <w:t>Europea.</w:t>
      </w:r>
    </w:p>
    <w:p>
      <w:pPr>
        <w:pStyle w:val="BodyText"/>
        <w:spacing w:line="249" w:lineRule="auto" w:before="126"/>
        <w:ind w:right="1271"/>
      </w:pPr>
      <w:r>
        <w:rPr/>
        <w:t>En el momento actual los dos procedimientos ante el Tribunal de Justicia de la Unión Europea están llegando a su fin, por lo que es de esperar que sendas sentencias previsiblemente condenatorias sean dictadas en próximas fechas. Ante la inminencia de sendos pronunciamientos la Ponencia designada en el Congreso de los Diputados para redactar el Informe sobre el proyecto de Ley sobre procedimientos de contratación en los sectores del agua, la energía, los transportes y los servicios postales por la que se transpone al ordenamiento jurídico español la Directiva 2014/25/UE, del Parlamento Europeo y del Consejo, de 26 de febrero de 2014, elevó a la Comisión de Hacienda, con competencia legislativa plena, su Informe, de conformidad con el cual se aprobaba un nuevo texto para el Proyecto de Ley (BOCCGG de 28 de enero de 2019).</w:t>
      </w:r>
    </w:p>
    <w:p>
      <w:pPr>
        <w:pStyle w:val="BodyText"/>
        <w:spacing w:line="249" w:lineRule="auto" w:before="8"/>
        <w:ind w:right="1272"/>
      </w:pPr>
      <w:r>
        <w:rPr/>
        <w:t>La disolución de las Cámaras parlamentarias en marzo de 2019, consecuencia de la convocatoria de elecciones generales anticipadas, hizo imposible culminar la tramitación parlamentaria de esta Ley, imposibilitando el cumplimiento de la obligación que incumbe al Reino de España de aprobar las disposiciones necesarias para completar la transposición de las Directivas 2014/25/UE y 2014/23/UE antes de que la XII Legislatura llegara a su fin el pasado día 21 de mayo de 2019. La escasa duración de la XIII Legislatura, que concluyó el día 24 de septiembre de 2019 nuevamente impidió la aprobación de esta Ley. El inicio de la actual XIV legislatura el pasado día 3 de diciembre de 2019 y la formación de Gobierno en plenas funciones desde el mes de enero de 2020 posibilitan que se retome la aprobación urgente de un texto legal que complete la transposición de las Directivas antes citadas.</w:t>
      </w:r>
    </w:p>
    <w:p>
      <w:pPr>
        <w:pStyle w:val="BodyText"/>
        <w:spacing w:line="249" w:lineRule="auto" w:before="8"/>
        <w:ind w:right="1272"/>
      </w:pPr>
      <w:r>
        <w:rPr/>
        <w:t>Adicionalmente, este real decreto-ley también da cumplimiento al artículo 6.1 de la Decisión del Consejo de fecha 2 de agosto de 2016 por la que se formula una advertencia a España para que adopte medidas dirigidas a la reducción del déficit que se considera necesaria para poner remedio a la situación de déficit excesivo de fecha 2 de agosto de 2016.</w:t>
      </w:r>
    </w:p>
    <w:p>
      <w:pPr>
        <w:pStyle w:val="BodyText"/>
        <w:spacing w:line="249" w:lineRule="auto" w:before="4"/>
        <w:ind w:right="1274"/>
      </w:pPr>
      <w:r>
        <w:rPr/>
        <w:t>Ante la gravedad de las consecuencias de seguir acumulando retraso en la completa incorporación al ordenamiento jurídico español de las citadas Directivas, y en cumplimiento de la Decisión del Consejo de 2016, resulta imprescindible acudir a la aprobación de un real decreto-ley para proceder a su transposición urgente, lo que previsiblemente determinará que los recursos por incumplimiento interpuestos por la Comisión Europea ante el Tribunal de Justicia de la Unión Europea decaigan por pérdida de su objeto y, en cualquier caso, debería evitar la imposición de sanciones económicas a España, al haber solicitado la Comisión Europea la imposición de multas coercitivas</w:t>
      </w:r>
      <w:r>
        <w:rPr>
          <w:spacing w:val="-8"/>
        </w:rPr>
        <w:t> </w:t>
      </w:r>
      <w:r>
        <w:rPr/>
        <w:t>diarias.</w:t>
      </w:r>
    </w:p>
    <w:p>
      <w:pPr>
        <w:pStyle w:val="BodyText"/>
        <w:spacing w:before="7"/>
        <w:ind w:left="1414" w:firstLine="0"/>
      </w:pPr>
      <w:r>
        <w:rPr/>
        <w:t>Por todo lo expresado anteriormente, concurren de esta forma las circunstancias de</w:t>
      </w:r>
    </w:p>
    <w:p>
      <w:pPr>
        <w:pStyle w:val="BodyText"/>
        <w:spacing w:line="249" w:lineRule="auto" w:before="16"/>
        <w:ind w:right="1273" w:firstLine="0"/>
      </w:pPr>
      <w:r>
        <w:rPr/>
        <w:t>«</w:t>
      </w:r>
      <w:r>
        <w:rPr>
          <w:i/>
        </w:rPr>
        <w:t>extraordinaria y urgente necesidad»</w:t>
      </w:r>
      <w:r>
        <w:rPr/>
        <w:t>, que constituyen el presupuesto habilitante exigido al Gobierno por el artículo 86.1 de la Constitución Española para dictar decretos leyes. Así, de acuerdo con la doctrina constitucional, la concurrencia de la extraordinaria y urgente necesidad requiere tomar en consideración dos elementos:</w:t>
      </w:r>
    </w:p>
    <w:p>
      <w:pPr>
        <w:pStyle w:val="BodyText"/>
        <w:spacing w:line="249" w:lineRule="auto" w:before="123"/>
        <w:ind w:right="1272"/>
      </w:pPr>
      <w:r>
        <w:rPr/>
        <w:t>En primer lugar, los motivos de extraordinaria y urgente necesidad que han sido tenidos en cuenta por el Gobierno en su aprobación, son los que han sido explicitados previamente de una forma razonada. La situación descrita sin lugar a dudas demanda una acción normativa inmediata en un plazo más breve que el requerido por la vía normal o por el procedimiento de urgencia para la tramitación parlamentaria de las Leyes (SSTC 6/1983, de 4 de febrero, FJ 5; 11/2002, de 17 de enero, FJ 4; y 137/2003, de 3 de julio, FJ 3), para  evitar de este modo que el Reino de España sea sancionado pecuniariamente por el Tribunal de Justicia de la Unión</w:t>
      </w:r>
      <w:r>
        <w:rPr>
          <w:spacing w:val="-5"/>
        </w:rPr>
        <w:t> </w:t>
      </w:r>
      <w:r>
        <w:rPr/>
        <w:t>Europea.</w:t>
      </w:r>
    </w:p>
    <w:p>
      <w:pPr>
        <w:pStyle w:val="BodyText"/>
        <w:spacing w:line="249" w:lineRule="auto" w:before="7"/>
        <w:ind w:right="1273"/>
      </w:pPr>
      <w:r>
        <w:rPr/>
        <w:t>En segundo lugar, debe justificarse la existencia de una necesaria conexión entre la situación de urgencia definida y la medida concreta adoptada para subvenir a la misma, el real decreto-ley de transposición. En este sentido, debe señalarse que, aunque el contenido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del real decreto-ley se ha elaborado a partir del texto aprobado por la Ponencia de la Comisión de Hacienda del Congreso, se han excluido del mismo aquellas disposiciones que no encontraban justificación directa en la transposición de las Directivas europeas.</w:t>
      </w:r>
    </w:p>
    <w:p>
      <w:pPr>
        <w:pStyle w:val="BodyText"/>
        <w:spacing w:line="249" w:lineRule="auto" w:before="122"/>
        <w:ind w:right="1272"/>
      </w:pPr>
      <w:r>
        <w:rPr/>
        <w:t>De este modo, en el momento que entre en vigor, y al haber cumplido el Reino de España con su obligación de adoptar las disposiciones legales necesarias para dar cumplimiento a las Directivas 2014/25/UE y 2014/23/UE, tal y como se ha indicado anteriormente, resulta previsible que los recursos ante el Tribunal de Justicia de la Unión Europa bien decaigan por pérdida de su objeto o bien den lugar a pronunciamientos sin consecuencias económicas para el Reino de España, al haber solicitado Comisión Europea la imposición de multas coercitivas diarias. En este sentido, el real decreto-ley viene a completar la transposición parcial que la Ley 9/2017 realizó de las Directivas 2014/25/UE y 2014/23/UE. Más concretamente, la Directiva 2014/25/UE fue parcialmente transpuesta por la Ley 9/2017 en lo que respecta a la contratación por parte de las Administraciones Públicas en los sectores del agua, la energía, los transportes y los servicios postales; por lo que el presente real decreto-ley viene a completar la transposición de esta Directiva en lo que se refiere a la contratación en los citados sectores por parte de las entidades del sector público que no son Administración Pública y por las empresas privadas con derechos especiales o exclusivos. Por otra parte, la Directiva 2014/23/UE también fue parcialmente transpuesta por la Ley 9/2017 en lo que se refiere a los contratos de concesión de obras y de concesión de servicios en el ámbito general; por lo que este real decreto también viene a completar la transposición de la Directiva 2014/23/UE en lo que se refiere a los contratos de concesión de obras y de concesión de servicios relativos a las actividades que están sujetas al presente real decreto-ley (agua, energía, transportes y servicios</w:t>
      </w:r>
      <w:r>
        <w:rPr>
          <w:spacing w:val="-6"/>
        </w:rPr>
        <w:t> </w:t>
      </w:r>
      <w:r>
        <w:rPr/>
        <w:t>postales).</w:t>
      </w:r>
    </w:p>
    <w:p>
      <w:pPr>
        <w:spacing w:line="252" w:lineRule="auto" w:before="16"/>
        <w:ind w:left="1074" w:right="1271" w:firstLine="340"/>
        <w:jc w:val="both"/>
        <w:rPr>
          <w:i/>
          <w:sz w:val="20"/>
        </w:rPr>
      </w:pPr>
      <w:r>
        <w:rPr>
          <w:sz w:val="20"/>
        </w:rPr>
        <w:t>En cualquier caso, conforme a la jurisprudencia del Tribunal Constitucional no es necesario tener la certeza de que se evitará la condena. El antecedente más relevante es la STC 1/2012, de 13 de enero, relativa a la transposición tardía de las Directivas 85/337/CEE y 977/337/CEE mediante el Real Decreto-Ley 9/2000, de 6 de octubre. En aquella ocasión la Comisión Europea solo retiró una de las dos demandas de incumplimiento presentadas y pendientes de resolución por el Tribunal de Justicia de la Unión Europea; y a pesar de ello el Tribunal Constitucional consideró que «</w:t>
      </w:r>
      <w:r>
        <w:rPr>
          <w:i/>
          <w:sz w:val="20"/>
        </w:rPr>
        <w:t>el éxito, aunque parcial, que obtuvo la acción </w:t>
      </w:r>
      <w:r>
        <w:rPr>
          <w:i/>
          <w:sz w:val="20"/>
        </w:rPr>
        <w:t>gubernamental de transposición tardía de las mencionadas directivas mediante el controvertido Real Decreto ley pone de manifiesto que la finalidad pretendida sí era razonable y que, en circunstancias como las del presente caso, la utilización del decreto ley sí puede contribuir a que la Comisión tome cuanto antes la decisión de archivar un procedimiento ya abierto </w:t>
      </w:r>
      <w:r>
        <w:rPr>
          <w:i/>
          <w:spacing w:val="-8"/>
          <w:sz w:val="20"/>
        </w:rPr>
        <w:t>y, </w:t>
      </w:r>
      <w:r>
        <w:rPr>
          <w:i/>
          <w:sz w:val="20"/>
        </w:rPr>
        <w:t>por ende, puede contribuir a evitar que el TJUE dicte una sentencia que declare un incumplimiento por parte del Reino de</w:t>
      </w:r>
      <w:r>
        <w:rPr>
          <w:i/>
          <w:spacing w:val="-18"/>
          <w:sz w:val="20"/>
        </w:rPr>
        <w:t> </w:t>
      </w:r>
      <w:r>
        <w:rPr>
          <w:i/>
          <w:sz w:val="20"/>
        </w:rPr>
        <w:t>España».</w:t>
      </w:r>
    </w:p>
    <w:p>
      <w:pPr>
        <w:pStyle w:val="BodyText"/>
        <w:spacing w:line="217" w:lineRule="exact" w:before="0"/>
        <w:ind w:left="1414" w:firstLine="0"/>
      </w:pPr>
      <w:r>
        <w:rPr/>
        <w:t>Por todo ello, concurren, por su naturaleza y finalidad, las circunstancias</w:t>
      </w:r>
      <w:r>
        <w:rPr>
          <w:spacing w:val="55"/>
        </w:rPr>
        <w:t> </w:t>
      </w:r>
      <w:r>
        <w:rPr/>
        <w:t>de</w:t>
      </w:r>
    </w:p>
    <w:p>
      <w:pPr>
        <w:pStyle w:val="BodyText"/>
        <w:spacing w:line="249" w:lineRule="auto" w:before="10"/>
        <w:ind w:right="1273" w:firstLine="0"/>
      </w:pPr>
      <w:r>
        <w:rPr/>
        <w:t>extraordinaria y urgente necesidad que exige el artículo 86 de la Constitución Española  como presupuesto habilitante para recurrir a este tipo de norma para trasponer la directiva  en materia de</w:t>
      </w:r>
      <w:r>
        <w:rPr>
          <w:spacing w:val="-3"/>
        </w:rPr>
        <w:t> </w:t>
      </w:r>
      <w:r>
        <w:rPr/>
        <w:t>contratación.</w:t>
      </w:r>
    </w:p>
    <w:p>
      <w:pPr>
        <w:pStyle w:val="BodyText"/>
        <w:spacing w:line="249" w:lineRule="auto" w:before="3"/>
        <w:ind w:right="1272"/>
      </w:pPr>
      <w:r>
        <w:rPr/>
        <w:t>En este ámbito, con este real decreto-ley se completa la transposición del paquete de Directivas comunitarias que en materia de contratación pública aprobó la Unión Europea en 2014, esto es, además de las ya citadas Directivas 2014/25/UE y 2014/23/UE, la Directiva 2014/24/UE, del Parlamento Europeo y del Consejo, de 26 de febrero de 2014, sobre contratación pública.</w:t>
      </w:r>
    </w:p>
    <w:p>
      <w:pPr>
        <w:pStyle w:val="BodyText"/>
        <w:spacing w:line="249" w:lineRule="auto" w:before="4"/>
        <w:ind w:right="1273"/>
      </w:pPr>
      <w:r>
        <w:rPr/>
        <w:t>Estas tres Directivas son parte de un nuevo panorama legislativo marcado por la denominada «Estrategia Europa 2020», dentro de la cual, la contratación pública desempeña un papel clave, puesto que se configura como uno de los instrumentos basados en el mercado interior que deben ser utilizados para conseguir un crecimiento inteligente, sostenible e integrador, garantizando al mismo tiempo un uso con mayor racionalidad económica de los fondos públicos.</w:t>
      </w:r>
    </w:p>
    <w:p>
      <w:pPr>
        <w:pStyle w:val="BodyText"/>
        <w:spacing w:line="249" w:lineRule="auto" w:before="5"/>
        <w:ind w:right="1273"/>
      </w:pPr>
      <w:r>
        <w:rPr/>
        <w:t>Estas Directivas constituyen la culminación de un proceso iniciado en el seno de la Unión Europea en el año 2010, que después de diversas propuestas y negociaciones primero en la Comisión Europea, luego en el Consejo de la Unión Europea y finalmente, entre el Parlamento y el Consejo, fue finalmente aprobado por estos dos últimos el 15 de enero de 2014 y el 11 de febrero de 2014, respectivamente; siendo publicadas estas normas en el</w:t>
      </w:r>
    </w:p>
    <w:p>
      <w:pPr>
        <w:pStyle w:val="BodyText"/>
        <w:spacing w:before="4"/>
        <w:ind w:firstLine="0"/>
      </w:pPr>
      <w:r>
        <w:rPr/>
        <w:t>«Diario Oficial de la Unión Europea» el 28 de marzo de 2014.</w:t>
      </w:r>
    </w:p>
    <w:p>
      <w:pPr>
        <w:spacing w:after="0"/>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Con esta normativa, la Unión Europea ha dado por concluido un proceso de revisión y modernización de las vigentes normas sobre contratación pública, que permitirá incrementar la eficiencia del gasto público y facilitar, en particular, la participación de las pequeñas y medianas empresas, PYMES, en la contratación pública, así como favorecer que los  poderes públicos empleen la contratación en apoyo de objetivos sociales, laborales y medioambientales comunes. Asimismo, se hacía preciso aclarar determinadas nociones y conceptos básicos para garantizar la seguridad jurídica, así como incorporar la Jurisprudencia del Tribunal de Justicia de la Unión Europea relativa a la contratación pública, lo que también ha sido un logro de estas</w:t>
      </w:r>
      <w:r>
        <w:rPr>
          <w:spacing w:val="-10"/>
        </w:rPr>
        <w:t> </w:t>
      </w:r>
      <w:r>
        <w:rPr/>
        <w:t>Directivas.</w:t>
      </w:r>
    </w:p>
    <w:p>
      <w:pPr>
        <w:pStyle w:val="BodyText"/>
        <w:spacing w:line="249" w:lineRule="auto" w:before="7"/>
        <w:ind w:right="1272"/>
      </w:pPr>
      <w:r>
        <w:rPr/>
        <w:t>Como se viene indicando en esta exposición de motivos el presente real decreto-ley transpone al ordenamiento jurídico nacional la Directiva 2014/25/UE en lo relativo a la contratación en los sectores del agua, la energía, los transportes y los servicios postales por parte de los poderes adjudicadores que no tengan la consideración de Administración Pública, las empresas públicas, así como por otras entidades distintas de las anteriores que tengan derechos especiales o exclusivos. Las disposiciones de esta Directiva que afectan a la contratación en estos sectores especiales por parte de las Administraciones Públicas han sido objeto de incorporación a nuestro ordenamiento jurídico por la Ley 9/2017, de 8 de noviembre, por la que se transponen al ordenamiento jurídico español las Directivas del Parlamento Europeo y del Consejo 2014/23/UE y 2014/24/UE, de 26 de febrero. Asimismo, el presente real decreto-ley da transposición a la Directiva 2014/23/UE en lo atinente a la licitación de contratos de concesión de obras y de concesión de servicios en los sectores de la energía, los transportes y los servicios postales, por parte de los poderes adjudicadores que no merezcan la consideración de Administración Pública, las empresas públicas, así como</w:t>
      </w:r>
      <w:r>
        <w:rPr>
          <w:spacing w:val="-3"/>
        </w:rPr>
        <w:t> </w:t>
      </w:r>
      <w:r>
        <w:rPr/>
        <w:t>entidades</w:t>
      </w:r>
      <w:r>
        <w:rPr>
          <w:spacing w:val="-4"/>
        </w:rPr>
        <w:t> </w:t>
      </w:r>
      <w:r>
        <w:rPr/>
        <w:t>distintas</w:t>
      </w:r>
      <w:r>
        <w:rPr>
          <w:spacing w:val="-4"/>
        </w:rPr>
        <w:t> </w:t>
      </w:r>
      <w:r>
        <w:rPr/>
        <w:t>de</w:t>
      </w:r>
      <w:r>
        <w:rPr>
          <w:spacing w:val="-4"/>
        </w:rPr>
        <w:t> </w:t>
      </w:r>
      <w:r>
        <w:rPr/>
        <w:t>las</w:t>
      </w:r>
      <w:r>
        <w:rPr>
          <w:spacing w:val="-4"/>
        </w:rPr>
        <w:t> </w:t>
      </w:r>
      <w:r>
        <w:rPr/>
        <w:t>anteriores</w:t>
      </w:r>
      <w:r>
        <w:rPr>
          <w:spacing w:val="-4"/>
        </w:rPr>
        <w:t> </w:t>
      </w:r>
      <w:r>
        <w:rPr/>
        <w:t>que</w:t>
      </w:r>
      <w:r>
        <w:rPr>
          <w:spacing w:val="-4"/>
        </w:rPr>
        <w:t> </w:t>
      </w:r>
      <w:r>
        <w:rPr/>
        <w:t>tengan</w:t>
      </w:r>
      <w:r>
        <w:rPr>
          <w:spacing w:val="-3"/>
        </w:rPr>
        <w:t> </w:t>
      </w:r>
      <w:r>
        <w:rPr/>
        <w:t>derechos</w:t>
      </w:r>
      <w:r>
        <w:rPr>
          <w:spacing w:val="-3"/>
        </w:rPr>
        <w:t> </w:t>
      </w:r>
      <w:r>
        <w:rPr/>
        <w:t>especiales</w:t>
      </w:r>
      <w:r>
        <w:rPr>
          <w:spacing w:val="-4"/>
        </w:rPr>
        <w:t> </w:t>
      </w:r>
      <w:r>
        <w:rPr/>
        <w:t>o</w:t>
      </w:r>
      <w:r>
        <w:rPr>
          <w:spacing w:val="-4"/>
        </w:rPr>
        <w:t> </w:t>
      </w:r>
      <w:r>
        <w:rPr/>
        <w:t>exclusivos.</w:t>
      </w:r>
    </w:p>
    <w:p>
      <w:pPr>
        <w:pStyle w:val="BodyText"/>
        <w:spacing w:before="8"/>
        <w:ind w:left="0" w:firstLine="0"/>
        <w:jc w:val="left"/>
        <w:rPr>
          <w:sz w:val="25"/>
        </w:rPr>
      </w:pPr>
    </w:p>
    <w:p>
      <w:pPr>
        <w:pStyle w:val="BodyText"/>
        <w:spacing w:before="0"/>
        <w:ind w:left="2930" w:right="3127" w:firstLine="0"/>
        <w:jc w:val="center"/>
      </w:pPr>
      <w:r>
        <w:rPr/>
        <w:t>II</w:t>
      </w:r>
    </w:p>
    <w:p>
      <w:pPr>
        <w:pStyle w:val="BodyText"/>
        <w:spacing w:line="249" w:lineRule="auto" w:before="130"/>
        <w:ind w:right="1272"/>
      </w:pPr>
      <w:r>
        <w:rPr/>
        <w:t>Tal y como se manifestaba en las anteriores Leyes, esto es, en la Ley 48/1998, de 30 de diciembre, sobre procedimientos de contratación en los sectores del agua, la energía, los transportes y las telecomunicaciones y, su sucesora, la Ley 31/2007, de 30 de octubre, sobre procedimientos de contratación en los sectores del agua, la energía, los transportes y los servicios postales, el Derecho de la Unión Europea ha previsto para la contratación en el ámbito de los sectores del agua, energía, los transportes y los servicios postales, un régimen normativo distinto al aplicable a los demás contratos públicos, cuyas directivas reguladoras fueron objeto de transposición por las Leyes de Contratos del Sector Público. Este régimen singular en lo que concierne a determinados aspectos de la ordenación de su actividad contractual, entre ellos la selección del contratista, es menos estricto y rígido que el establecido en la Directiva 2014/24/UE del Parlamento Europeo y del Consejo, sobre contratación pública, asegurando en todo caso los principios del Tratado de Funcionamiento de la Unión Europea y, en particular, la libre circulación de mercancías, la libertad de establecimiento y la libre prestación de servicios, así como los principios que se derivan de estos, como los de igualdad de trato, no discriminación, proporcionalidad, transparencia, publicidad y libre competencia.</w:t>
      </w:r>
    </w:p>
    <w:p>
      <w:pPr>
        <w:pStyle w:val="BodyText"/>
        <w:spacing w:line="249" w:lineRule="auto" w:before="13"/>
        <w:ind w:right="1272"/>
      </w:pPr>
      <w:r>
        <w:rPr/>
        <w:t>La Comisión Europea manifestó en su «Informe de evaluación: Impacto y eficacia de la legislación de la Unión Europea sobre contratación pública», de 27 de junio de 2011, que le parecía adecuado mantener normas en materia de contratación por las entidades que operan en los sectores del agua, la energía, los transportes y los servicios postales, puesto que las autoridades nacionales seguían pudiendo influir en el comportamiento de estas entidades, en particular mediante la participación en su capital y la representación en sus órganos de administración, gestión o supervisión. Otra razón para seguir regulando la contratación en esos sectores era el carácter cerrado de los mercados en que operan las entidades en dichos sectores, debido a la concesión por los Estados Miembros de la Unión Europea de derechos especiales o exclusivos para el suministro, la puesta a disposición o la explotación de redes para la prestación del servicio de que se trate. La regulación de la contratación en estos sectores persigue garantizar su apertura a la</w:t>
      </w:r>
      <w:r>
        <w:rPr>
          <w:spacing w:val="-17"/>
        </w:rPr>
        <w:t> </w:t>
      </w:r>
      <w:r>
        <w:rPr/>
        <w:t>competencia.</w:t>
      </w:r>
    </w:p>
    <w:p>
      <w:pPr>
        <w:pStyle w:val="BodyText"/>
        <w:spacing w:line="249" w:lineRule="auto" w:before="10"/>
        <w:ind w:right="1275"/>
      </w:pPr>
      <w:r>
        <w:rPr/>
        <w:t>El sistema legal de contratación pública que se establece en el presente real decreto-ley y que, en comparación con su antecesora la Ley 31/2007, de 30 de octubre, es inequívocamente más ambicioso y extenso, en gran medida por imperativo de las</w:t>
      </w:r>
      <w:r>
        <w:rPr>
          <w:spacing w:val="43"/>
        </w:rPr>
        <w:t> </w:t>
      </w:r>
      <w:r>
        <w:rPr/>
        <w:t>Directivas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comunitarias que transpone, completa lo dispuesto en la Ley 9/2017, de 8 de noviembre, a la cual se hacen diversas remisiones a lo largo del articulado, persigue aclarar las normas vigentes en aras de una mayor seguridad jurídica, y trata de conseguir que se utilice la contratación pública como instrumento para implementar las políticas tanto europeas como nacionales en materia social, medioambiental, de innovación y desarrollo y promoción de las PYMES y todo ello, garantizando la eficiencia en el gasto público y respetando los principios de igualdad de trato, no discriminación, transparencia, proporcionalidad, libre competencia, integridad o los principios de garantía de la unidad de mercado.</w:t>
      </w:r>
    </w:p>
    <w:p>
      <w:pPr>
        <w:pStyle w:val="BodyText"/>
        <w:spacing w:line="249" w:lineRule="auto" w:before="6"/>
        <w:ind w:right="1272"/>
      </w:pPr>
      <w:r>
        <w:rPr/>
        <w:t>Por otro lado, en estos momentos se da un significativo retraso en la transposición de las siguientes normas, la Directiva (UE) 2016/97 del Parlamento Europeo y del Consejo, de 20 de enero de 2016, sobre la distribución de seguros; la Directiva (UE) 2016/2341 del Parlamento Europeo y del Consejo, de 14 de diciembre de 2016, relativa a las actividades y la supervisión de los fondos de pensiones de empleo, y la Directiva (UE) 2017/828 del Parlamento Europeo y del Consejo, de 17 de mayo de 2017, por la que se modifica la Directiva 2007/36/CE en lo que respecta al fomento de la implicación a largo plazo de los accionistas. En relación a esta última se ha considerado conveniente su transposición parcial mediante este real decreto-ley en las materias que afectan directamente al sector asegurador.</w:t>
      </w:r>
    </w:p>
    <w:p>
      <w:pPr>
        <w:pStyle w:val="BodyText"/>
        <w:spacing w:line="249" w:lineRule="auto" w:before="8"/>
        <w:ind w:right="1271"/>
      </w:pPr>
      <w:r>
        <w:rPr/>
        <w:t>Todas ellas son normas con un elevado componente de protección de los derechos de los clientes de servicios financieros tanto en su vertiente de tomador, asegurado, beneficiario, y partícipe de planes y fondos de pensiones, en lo que respecta a la Directiva (UE) 2016/97 del Parlamento Europeo y del Consejo, de 20 de enero de 2016, y la Directiva (UE) 2016/2341 del Parlamento Europeo y del Consejo, de 14 de diciembre de 2016, como desde la perspectiva de inversor, con las mejoras del sistema de información que proporciona la Directiva (UE) 2017/828 del Parlamento Europeo y del Consejo, de 17 de mayo de</w:t>
      </w:r>
      <w:r>
        <w:rPr>
          <w:spacing w:val="-2"/>
        </w:rPr>
        <w:t> </w:t>
      </w:r>
      <w:r>
        <w:rPr/>
        <w:t>2017.</w:t>
      </w:r>
    </w:p>
    <w:p>
      <w:pPr>
        <w:pStyle w:val="BodyText"/>
        <w:spacing w:line="249" w:lineRule="auto" w:before="7"/>
        <w:ind w:right="1273"/>
      </w:pPr>
      <w:r>
        <w:rPr/>
        <w:t>Se requiere una norma con rango de ley para su transposición y por tanto incorporación al ordenamiento jurídico interno.</w:t>
      </w:r>
    </w:p>
    <w:p>
      <w:pPr>
        <w:pStyle w:val="BodyText"/>
        <w:spacing w:line="249" w:lineRule="auto"/>
        <w:ind w:right="1271"/>
      </w:pPr>
      <w:r>
        <w:rPr/>
        <w:t>El instrumento finalmente elegido para ello es el real decreto-ley por cuanto existe un riesgo de multa con base en lo establecido en el artículo 260.3 del Tratado de Funcionamiento de la Unión Europea, al tiempo que la falta de transposición de las directivas citadas afecta a la adecuada protección de los derechos de los tomadores, asegurados, beneficiarios y partícipes de planes de pensiones.</w:t>
      </w:r>
    </w:p>
    <w:p>
      <w:pPr>
        <w:pStyle w:val="BodyText"/>
        <w:spacing w:line="249" w:lineRule="auto" w:before="4"/>
        <w:ind w:right="1274"/>
      </w:pPr>
      <w:r>
        <w:rPr/>
        <w:t>La justificación de su utilización se encuentra en la Sentencia 23/1993, de 21 de enero, del Tribunal Constitucional, que señala que el real decreto-ley es un instrumento constitucionalmente lícito para afrontar coyunturas económicas problemáticas, y en su Sentencia 1/2012, de 13 de enero, avala la concurrencia del presupuesto habilitante de la extraordinaria y urgente necesidad del artículo 86.1 de la Constitución cuando concurran «el patente retraso en la transposición» y la existencia de «procedimientos de incumplimiento contra el Reino de España».</w:t>
      </w:r>
    </w:p>
    <w:p>
      <w:pPr>
        <w:pStyle w:val="BodyText"/>
        <w:spacing w:line="249" w:lineRule="auto" w:before="5"/>
        <w:ind w:right="1272"/>
      </w:pPr>
      <w:r>
        <w:rPr/>
        <w:t>Por otro lado, este real decreto-ley contiene modificaciones en la normativa reguladora del Impuesto sobre el Valor Añadido y de los Impuestos Especiales, con la finalidad de proceder a la incorporación del Derecho de la Unión Europea al ordenamiento interno, en concreto, de la Directiva (UE) 2018/1910, del Consejo, de 4 de diciembre de 2018, por la que se modifica la Directiva 2006/112/CE en lo que se refiere a la armonización y la  simplificación de determinadas normas del régimen del impuesto sobre el valor añadido en la imposición de los intercambios entre los Estados miembros, y la Directiva (UE) 2019/475 del Consejo, de 18 de febrero de 2019, por la que se modifican las Directivas 2006/112/CE y 2008/118/CE en lo que respecta a la inclusión del municipio italiano de Campione d’Italia y las aguas italianas del Lago de Lugano en el territorio aduanero de la Unión y en el ámbito de aplicación territorial de la Directiva</w:t>
      </w:r>
      <w:r>
        <w:rPr>
          <w:spacing w:val="-8"/>
        </w:rPr>
        <w:t> </w:t>
      </w:r>
      <w:r>
        <w:rPr/>
        <w:t>2008/118/CE.</w:t>
      </w:r>
    </w:p>
    <w:p>
      <w:pPr>
        <w:pStyle w:val="BodyText"/>
        <w:spacing w:line="249" w:lineRule="auto" w:before="9"/>
        <w:ind w:right="1273"/>
      </w:pPr>
      <w:r>
        <w:rPr/>
        <w:t>El 7 de diciembre de 2018 fueron publicados en el «Diario Oficial de la Unión Europea» la citada Directiva (UE) 2018/1910, que introduce ciertas mejoras en la normativa comunitaria del Impuesto sobre el Valor Añadido (IVA en adelante) aplicables durante el régimen transitorio de tributación de las operaciones intracomunitarias de bienes, y el Reglamento de Ejecución (UE) 2018/1912 del Consejo, de 4 de diciembre de 2018, por el que se modifica el Reglamento de Ejecución (UE) 282/2011 en lo que respecta a determinadas exenciones relacionadas con operaciones</w:t>
      </w:r>
      <w:r>
        <w:rPr>
          <w:spacing w:val="-10"/>
        </w:rPr>
        <w:t> </w:t>
      </w:r>
      <w:r>
        <w:rPr/>
        <w:t>intracomunitarias.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La Comisión Europea ya ha presentado una propuesta destinada a establecer los elementos de un régimen definitivo del IVA en el comercio intracomunitario de bienes entre empresarios y profesionales, propuesta que pretende superar el régimen transitorio de tributación en destino, que hizo necesaria la creación de un nuevo hecho imponible adquisiciones intracomunitarias de bienes, para establecer un régimen definitivo de tributación basado en el principio de imposición en el Estado miembro de destino como una única entrega de bienes.</w:t>
      </w:r>
    </w:p>
    <w:p>
      <w:pPr>
        <w:pStyle w:val="BodyText"/>
        <w:spacing w:line="249" w:lineRule="auto" w:before="5"/>
        <w:ind w:right="1272"/>
      </w:pPr>
      <w:r>
        <w:rPr/>
        <w:t>Dado que previsiblemente se tardarán varios años en acordar el diseño final del régimen definitivo, así como su aprobación y entrada en vigor, la citada Directiva (UE) 2018/1910, con una finalidad eminentemente práctica, establece, dentro del régimen actual aplicable a estas operaciones intracomunitarias de bienes, disposiciones específicas cuyo objetivo es lograr un tratamiento armonizado en todos los Estados miembros de determinadas operaciones del comercio transfronterizo para conseguir una tributación simplificada y uniforme en todos ellos de estas operaciones intracomunitarias, que hasta la fecha estaban siendo interpretadas de forma divergente por las distintas Administraciones</w:t>
      </w:r>
      <w:r>
        <w:rPr>
          <w:spacing w:val="-7"/>
        </w:rPr>
        <w:t> </w:t>
      </w:r>
      <w:r>
        <w:rPr/>
        <w:t>tributarias.</w:t>
      </w:r>
    </w:p>
    <w:p>
      <w:pPr>
        <w:pStyle w:val="BodyText"/>
        <w:spacing w:line="249" w:lineRule="auto" w:before="7"/>
        <w:ind w:right="1274"/>
      </w:pPr>
      <w:r>
        <w:rPr/>
        <w:t>La referida normativa comunitaria, que, como se ha señalado, establece en el IVA reglas comunes de tributación en el ámbito de los intercambios de bienes entre Estados miembros, debe ser de aplicación en todos ellos desde el 1 de enero de 2020.</w:t>
      </w:r>
    </w:p>
    <w:p>
      <w:pPr>
        <w:pStyle w:val="BodyText"/>
        <w:spacing w:line="249" w:lineRule="auto"/>
        <w:ind w:right="1273"/>
      </w:pPr>
      <w:r>
        <w:rPr/>
        <w:t>A tal fin se modifica la Ley 37/1992, de 28 de diciembre, del Impuesto sobre el Valor Añadido, para proceder a la incorporación del Derecho de la Unión Europea al ordenamiento interno, estableciéndose en el IVA reglas comunes de tributación en el ámbito de los intercambios de bienes entre Estados miembros con una nueva regulación legal de los requisitos para la aplicación de la exención en las entregas intracomunitarias de bienes y la armonización de determinadas operaciones del ámbito intracomunitario, modificación legal que se completa con el establecimiento de nuevas obligaciones reglamentarias en materia registral complementarias de la referida regulación.</w:t>
      </w:r>
    </w:p>
    <w:p>
      <w:pPr>
        <w:pStyle w:val="BodyText"/>
        <w:spacing w:line="249" w:lineRule="auto" w:before="7"/>
        <w:ind w:right="1272"/>
      </w:pPr>
      <w:r>
        <w:rPr/>
        <w:t>De esta forma, la Ley 37/1992, de 28 de diciembre, incorpora a nuestro ordenamiento interno las reglas armonizadas de tributación en el IVA de los denominados acuerdos de venta de bienes en consigna. Esto es, los acuerdos celebrados entre empresarios o profesionales para la venta transfronteriza de mercancías, en las que un empresario (proveedor) envía bienes desde un Estado miembro a otro, dentro de la Unión Europea, para que queden almacenados en el Estado miembro de destino a disposición de otro empresario o profesional (cliente), que puede adquirirlos en un momento posterior a su llegada.</w:t>
      </w:r>
    </w:p>
    <w:p>
      <w:pPr>
        <w:pStyle w:val="BodyText"/>
        <w:spacing w:line="249" w:lineRule="auto" w:before="6"/>
        <w:ind w:right="1273"/>
      </w:pPr>
      <w:r>
        <w:rPr/>
        <w:t>Actualmente, esta operación da lugar a una transferencia de bienes u operación asimilada a una entrega intracomunitaria de bienes en el Estado miembro de partida de los bienes, y a una operación asimilada a una adquisición intracomunitaria de bienes en el Estado miembro de llegada de los bienes, efectuadas en ambos casos por el proveedor. Posteriormente, cuando el cliente adquiere el bien, el proveedor realizará una  entrega interior en el Estado miembro de llegada en la que será de aplicación la regla de inversión del sujeto pasivo correspondiendo tal condición a su cliente. El tratamiento actual de la operación exige, además, que el proveedor se encuentre identificado a efectos del IVA en el Estado miembro de destino de la</w:t>
      </w:r>
      <w:r>
        <w:rPr>
          <w:spacing w:val="-5"/>
        </w:rPr>
        <w:t> </w:t>
      </w:r>
      <w:r>
        <w:rPr/>
        <w:t>mercancía.</w:t>
      </w:r>
    </w:p>
    <w:p>
      <w:pPr>
        <w:pStyle w:val="BodyText"/>
        <w:spacing w:line="249" w:lineRule="auto" w:before="7"/>
        <w:ind w:right="1273"/>
      </w:pPr>
      <w:r>
        <w:rPr/>
        <w:t>Con el objetivo de simplificar estas operaciones y reducir las cargas administrativas de los empresarios y profesionales que realizan aquellas, la nueva regulación establece que las entregas de bienes efectuadas en el marco de un acuerdo de ventas de bienes en consigna darán lugar a una entrega intracomunitaria de bienes exenta en el Estado miembro de partida efectuada por el proveedor, y a una adquisición intracomunitaria de bienes en el Estado miembro de llegada de los bienes efectuada por el cliente, cumplidos determinados requisitos.</w:t>
      </w:r>
    </w:p>
    <w:p>
      <w:pPr>
        <w:pStyle w:val="BodyText"/>
        <w:spacing w:line="249" w:lineRule="auto" w:before="6"/>
        <w:ind w:right="1273"/>
      </w:pPr>
      <w:r>
        <w:rPr/>
        <w:t>Este tratamiento simplificado será de aplicación únicamente cuando los bienes sean adquiridos por el cliente dentro del plazo de un año desde la llegada al Estado miembro de destino. La fecha de adquisición será la que deberá tenerse en cuenta a efectos del devengo de las respectivas operaciones intracomunitarias.</w:t>
      </w:r>
    </w:p>
    <w:p>
      <w:pPr>
        <w:pStyle w:val="BodyText"/>
        <w:spacing w:line="249" w:lineRule="auto" w:before="3"/>
        <w:ind w:right="1273"/>
      </w:pPr>
      <w:r>
        <w:rPr/>
        <w:t>En todo caso, los empresarios o profesionales podrán optar por no acogerse a la simplificación incumpliendo las condiciones previstas para su aplicación.</w:t>
      </w:r>
    </w:p>
    <w:p>
      <w:pPr>
        <w:pStyle w:val="BodyText"/>
        <w:spacing w:line="249" w:lineRule="auto"/>
        <w:ind w:right="1272"/>
      </w:pPr>
      <w:r>
        <w:rPr/>
        <w:t>Las modificaciones de la Ley 37/1992, de 28 de diciembre, incorporan también una simplificación para las operaciones en cadena. Esto es, cuando unos mismos bienes, que van</w:t>
      </w:r>
      <w:r>
        <w:rPr>
          <w:spacing w:val="11"/>
        </w:rPr>
        <w:t> </w:t>
      </w:r>
      <w:r>
        <w:rPr/>
        <w:t>a</w:t>
      </w:r>
      <w:r>
        <w:rPr>
          <w:spacing w:val="12"/>
        </w:rPr>
        <w:t> </w:t>
      </w:r>
      <w:r>
        <w:rPr/>
        <w:t>ser</w:t>
      </w:r>
      <w:r>
        <w:rPr>
          <w:spacing w:val="11"/>
        </w:rPr>
        <w:t> </w:t>
      </w:r>
      <w:r>
        <w:rPr/>
        <w:t>enviados</w:t>
      </w:r>
      <w:r>
        <w:rPr>
          <w:spacing w:val="12"/>
        </w:rPr>
        <w:t> </w:t>
      </w:r>
      <w:r>
        <w:rPr/>
        <w:t>o</w:t>
      </w:r>
      <w:r>
        <w:rPr>
          <w:spacing w:val="12"/>
        </w:rPr>
        <w:t> </w:t>
      </w:r>
      <w:r>
        <w:rPr/>
        <w:t>transportados</w:t>
      </w:r>
      <w:r>
        <w:rPr>
          <w:spacing w:val="11"/>
        </w:rPr>
        <w:t> </w:t>
      </w:r>
      <w:r>
        <w:rPr/>
        <w:t>con</w:t>
      </w:r>
      <w:r>
        <w:rPr>
          <w:spacing w:val="12"/>
        </w:rPr>
        <w:t> </w:t>
      </w:r>
      <w:r>
        <w:rPr/>
        <w:t>destino</w:t>
      </w:r>
      <w:r>
        <w:rPr>
          <w:spacing w:val="12"/>
        </w:rPr>
        <w:t> </w:t>
      </w:r>
      <w:r>
        <w:rPr/>
        <w:t>a</w:t>
      </w:r>
      <w:r>
        <w:rPr>
          <w:spacing w:val="11"/>
        </w:rPr>
        <w:t> </w:t>
      </w:r>
      <w:r>
        <w:rPr/>
        <w:t>otro</w:t>
      </w:r>
      <w:r>
        <w:rPr>
          <w:spacing w:val="12"/>
        </w:rPr>
        <w:t> </w:t>
      </w:r>
      <w:r>
        <w:rPr/>
        <w:t>Estado</w:t>
      </w:r>
      <w:r>
        <w:rPr>
          <w:spacing w:val="12"/>
        </w:rPr>
        <w:t> </w:t>
      </w:r>
      <w:r>
        <w:rPr/>
        <w:t>miembro</w:t>
      </w:r>
      <w:r>
        <w:rPr>
          <w:spacing w:val="11"/>
        </w:rPr>
        <w:t> </w:t>
      </w:r>
      <w:r>
        <w:rPr/>
        <w:t>directamente</w:t>
      </w:r>
      <w:r>
        <w:rPr>
          <w:spacing w:val="12"/>
        </w:rPr>
        <w:t> </w:t>
      </w:r>
      <w:r>
        <w:rPr/>
        <w:t>desde</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el primer proveedor al adquirente final de la cadena, son objeto de entregas sucesivas entre diferentes empresarios o profesionales. Así, los bienes serán entregados al menos a un primer intermediario que, a su vez, los entregará a otros intermediarios o al cliente final de la cadena, existiendo un único transporte intracomunitario.</w:t>
      </w:r>
    </w:p>
    <w:p>
      <w:pPr>
        <w:pStyle w:val="BodyText"/>
        <w:spacing w:line="249" w:lineRule="auto" w:before="3"/>
        <w:ind w:right="1275"/>
      </w:pPr>
      <w:r>
        <w:rPr/>
        <w:t>Para evitar diferentes interpretaciones entre los Estados miembros, impedir la doble imposición o la ausencia de imposición, y reforzar la seguridad jurídica de los operadores, con carácter general la expedición o el transporte se entenderá vinculada únicamente a la entrega de bienes efectuada por el proveedor a favor del intermediario, que constituirá una entrega intracomunitaria de bienes exenta del IVA.</w:t>
      </w:r>
    </w:p>
    <w:p>
      <w:pPr>
        <w:pStyle w:val="BodyText"/>
        <w:spacing w:line="249" w:lineRule="auto" w:before="4"/>
        <w:ind w:right="1272"/>
      </w:pPr>
      <w:r>
        <w:rPr/>
        <w:t>No obstante, la expedición o el transporte se entenderá vinculada únicamente a la entrega efectuada por el intermediario que expida o transporte los bienes directamente al cliente, cuando dicho intermediario haya comunicado a su proveedor un número de identificación fiscal a efectos del Impuesto sobre el Valor Añadido (NIF-IVA) suministrado por el Reino de España. En este caso, la entrega del proveedor al intermediario constituirá una entrega interior sujeta y no exenta del IVA y la entrega efectuada por el intermediario a su cliente será una entrega intracomunitaria de bienes exenta del IVA.</w:t>
      </w:r>
    </w:p>
    <w:p>
      <w:pPr>
        <w:pStyle w:val="BodyText"/>
        <w:spacing w:line="249" w:lineRule="auto" w:before="6"/>
        <w:ind w:right="1270"/>
      </w:pPr>
      <w:r>
        <w:rPr/>
        <w:t>Por último, una vez asumido por todos los Estados miembros que la lucha contra el fraude en las operaciones intracomunitarias de bienes exige una actuación coordinada y diligente que garantice la adecuada asignación de los números de identificación a efectos del IVA (NIF-IVA) a los operadores que realicen estas operaciones, efectuada a través del Registro de operadores intracomunitarios, así como la actualización y control permanente del censo VIES (Sistema de Intercambio de Información sobre el IVA), listado donde constan todos los operadores intracomunitarios que hayan obtenido un NIF-IVA, y la vigilancia en el cumplimiento con la declaración de operaciones intracomunitarias, se modifican los requisitos exigidos para la aplicación de la exención a las entregas intracomunitarias de bienes.</w:t>
      </w:r>
    </w:p>
    <w:p>
      <w:pPr>
        <w:pStyle w:val="BodyText"/>
        <w:spacing w:line="249" w:lineRule="auto" w:before="8"/>
        <w:ind w:right="1271"/>
      </w:pPr>
      <w:r>
        <w:rPr/>
        <w:t>A tal efecto, para la aplicación de la exención, junto con la condición de que los bienes  se transporten a otro Estado miembro, como condición material y no formal, será necesario que el adquirente disponga de un número de identificación a efectos del IVA atribuido por un Estado miembro distinto del Reino de España que haya comunicado al empresario o profesional que realice la entrega intracomunitaria y que este último haya incluido dichas operaciones en la declaración recapitulativa de operaciones intracomunitarias, efectuada a través del modelo</w:t>
      </w:r>
      <w:r>
        <w:rPr>
          <w:spacing w:val="-2"/>
        </w:rPr>
        <w:t> </w:t>
      </w:r>
      <w:r>
        <w:rPr/>
        <w:t>349.</w:t>
      </w:r>
    </w:p>
    <w:p>
      <w:pPr>
        <w:pStyle w:val="BodyText"/>
        <w:spacing w:line="249" w:lineRule="auto" w:before="6"/>
        <w:ind w:right="1272"/>
      </w:pPr>
      <w:r>
        <w:rPr/>
        <w:t>Tal y como se ha señalado, la Directiva (UE) 2018/1910, y, en consecuencia, la Ley 37/1992, de 28 de diciembre, ha pasado a regular los denominados acuerdos de ventas de bienes en consigna. Para garantizar la correcta aplicación de las medidas de simplificación derivadas de estos acuerdos, la Ley establece la obligación de que los empresarios y profesionales que participan en los mismos deban llevar libros registros específicos referidos a estas operaciones. La llevanza y constancia de las operaciones en los nuevos registros se configura no únicamente como un requisito formal sino como un requisito sustantivo, puesto que su cumplimiento será necesario para la aplicación de la simplificación. En este sentido, el mencionado Reglamento de Ejecución (UE) 2018/1912 ha modificado el Reglamento de Ejecución (UE) 282/2011 para regular de forma armonizada el contenido de estos nuevos libros</w:t>
      </w:r>
      <w:r>
        <w:rPr>
          <w:spacing w:val="-2"/>
        </w:rPr>
        <w:t> </w:t>
      </w:r>
      <w:r>
        <w:rPr/>
        <w:t>registros.</w:t>
      </w:r>
    </w:p>
    <w:p>
      <w:pPr>
        <w:pStyle w:val="BodyText"/>
        <w:spacing w:line="249" w:lineRule="auto" w:before="9"/>
        <w:ind w:right="1271"/>
      </w:pPr>
      <w:r>
        <w:rPr/>
        <w:t>Por otra parte, la Directiva reguladora del Impuesto ha establecido la obligación de que el vendedor que expida o transporte bienes a otro Estado miembro en el marco de un acuerdo de ventas de bienes en consigna presente la declaración recapitulativa de operaciones intracomunitarias, efectuada a través del modelo 349.</w:t>
      </w:r>
    </w:p>
    <w:p>
      <w:pPr>
        <w:pStyle w:val="BodyText"/>
        <w:spacing w:line="249" w:lineRule="auto" w:before="3"/>
        <w:ind w:right="1274"/>
      </w:pPr>
      <w:r>
        <w:rPr/>
        <w:t>En consecuencia, se modifica el Reglamento del Impuesto, aprobado por el Real Decreto 1624/1992, de 29 de diciembre, para regular, dentro de los libros registro de determinadas operaciones intracomunitarias que deben llevar los sujetos pasivos del Impuesto, los movimientos de mercancías y las operaciones derivadas de un acuerdo de ventas de bienes en consigna, así como la declaración recapitulativa de operaciones intracomunitarias para incluir dentro de los obligados a su presentación a los empresarios o profesionales que envíen bienes con destino a otro Estado miembro en el marco de los referidos acuerdos y el contenido de la declaración.</w:t>
      </w:r>
    </w:p>
    <w:p>
      <w:pPr>
        <w:pStyle w:val="BodyText"/>
        <w:spacing w:line="249" w:lineRule="auto" w:before="7"/>
        <w:ind w:right="1274"/>
      </w:pPr>
      <w:r>
        <w:rPr/>
        <w:t>Ahora bien, se retrasa hasta el 1 de enero de 2021 la obligación de que el nuevo libro registro de determinadas operaciones intracomunitarias, derivado de un acuerdo de ventas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de bienes en consigna, se lleve a través de la Sede electrónica de la Agencia Estatal de Administración Tributaria para los empresarios y profesionales acogidos al suministro inmediato de información, para facilitar su cumplimiento y el desarrollo técnico necesario para su</w:t>
      </w:r>
      <w:r>
        <w:rPr>
          <w:spacing w:val="-2"/>
        </w:rPr>
        <w:t> </w:t>
      </w:r>
      <w:r>
        <w:rPr/>
        <w:t>aplicación.</w:t>
      </w:r>
    </w:p>
    <w:p>
      <w:pPr>
        <w:pStyle w:val="BodyText"/>
        <w:spacing w:line="249" w:lineRule="auto" w:before="3"/>
        <w:ind w:right="1273"/>
      </w:pPr>
      <w:r>
        <w:rPr/>
        <w:t>Por otra parte, la Directiva (UE) 2018/1910, como se ha señalado, establece, como requisito sustantivo para la aplicación de la exención de las entregas intracomunitarias de bienes, que el empresario o profesional que la realice haya consignado dicha operación en la declaración recapitulativa de operaciones intracomunitarias, en el modelo 349. En este sentido, para que el cumplimiento de este requisito se aproxime en el tiempo a la fecha de operación, y teniendo en cuenta su escaso uso por parte de los sujetos pasivos, se suprime la posibilidad de que dicha declaración recapitulativa se presente con carácter anual.</w:t>
      </w:r>
    </w:p>
    <w:p>
      <w:pPr>
        <w:pStyle w:val="BodyText"/>
        <w:spacing w:line="249" w:lineRule="auto" w:before="6"/>
        <w:ind w:right="1272"/>
      </w:pPr>
      <w:r>
        <w:rPr/>
        <w:t>Con parecida finalidad, en el ámbito de la aplicación de las exenciones intracomunitarias, el Reglamento de Ejecución (UE) 2018/1912 ha incluido en el referido Reglamento de Ejecución (UE) 282/2011 una serie de presunciones en materia de prueba del transporte intracomunitario para garantizar un marco legal armonizado y aumentar el control del fraude derivado de estas operaciones. Puesto que la aplicación de la exención en las entregas intracomunitarias de bienes exige necesariamente que los bienes sean expedidos o transportados a otro Estado miembro, el Reglamento de Ejecución de la Directiva armonizada, directamente aplicable, establece y especifica las circunstancias en las que debe considerarse que los bienes han sido efectivamente expedidos o transportados desde un Estado miembro al otro. Este sistema armonizado de presunciones, sin perjuicio de que admitan prueba en contrario, tiene por objetivo simplificar la prueba de los requisitos para la aplicación de la</w:t>
      </w:r>
      <w:r>
        <w:rPr>
          <w:spacing w:val="-4"/>
        </w:rPr>
        <w:t> </w:t>
      </w:r>
      <w:r>
        <w:rPr/>
        <w:t>exención.</w:t>
      </w:r>
    </w:p>
    <w:p>
      <w:pPr>
        <w:pStyle w:val="BodyText"/>
        <w:spacing w:line="249" w:lineRule="auto" w:before="9"/>
        <w:ind w:right="1272"/>
      </w:pPr>
      <w:r>
        <w:rPr/>
        <w:t>Por tanto, se modifica el Reglamento del Impuesto en lo referente a la justificación de la expedición o transporte de los bienes al Estado miembro de destino, que podrá realizarse por cualquier medio de prueba admitido en derecho y, en particular, aplicando el sistema de presunciones incorporado a nuestro ordenamiento jurídico por el Reglamento de Ejecución (UE) n.°</w:t>
      </w:r>
      <w:r>
        <w:rPr>
          <w:spacing w:val="-2"/>
        </w:rPr>
        <w:t> </w:t>
      </w:r>
      <w:r>
        <w:rPr/>
        <w:t>282/2011.</w:t>
      </w:r>
    </w:p>
    <w:p>
      <w:pPr>
        <w:pStyle w:val="BodyText"/>
        <w:spacing w:line="249" w:lineRule="auto" w:before="5"/>
        <w:ind w:right="1272"/>
      </w:pPr>
      <w:r>
        <w:rPr/>
        <w:t>Con independencia de lo anterior, la Directiva (UE) 2019/475 determina que, con efectos desde el 1 de enero de 2020, el municipio italiano Campione d’Italia y las aguas italianas del Lago de Lugano pasan a formar parte del territorio aduanero de la Unión y del ámbito de aplicación de la Directiva 2008/118/CE del Consejo, a efectos de los Impuestos Especiales, dejando al mismo tiempo esos territorios fuera del ámbito de aplicación territorial de la Directiva 2006/112/CE del Consejo, a efectos del IVA, lo que hace necesario modificar la Ley 38/1992, de 28 de diciembre, de Impuestos Especiales, y la ya aludida Ley 37/1992, para incorporar el nuevo estatuto de estos territorios a efectos de los Impuestos Especiales y del IVA, respectivamente, que es de aplicación desde el 1 de enero de 2020.</w:t>
      </w:r>
    </w:p>
    <w:p>
      <w:pPr>
        <w:pStyle w:val="BodyText"/>
        <w:spacing w:line="249" w:lineRule="auto" w:before="7"/>
        <w:ind w:right="1274"/>
      </w:pPr>
      <w:r>
        <w:rPr/>
        <w:t>En este sentido, este real decreto-ley respeta los límites materiales constitucionalmente establecidos para el uso de tal instrumento normativo, pues no afecta al ordenamiento de las instituciones básicas del Estado, a los derechos, deberes y libertades de los ciudadanos regulados en el Título I de la Constitución, al régimen de las comunidades autónomas ni al derecho electoral general.</w:t>
      </w:r>
    </w:p>
    <w:p>
      <w:pPr>
        <w:spacing w:line="252" w:lineRule="auto" w:before="10"/>
        <w:ind w:left="1074" w:right="1271" w:firstLine="340"/>
        <w:jc w:val="both"/>
        <w:rPr>
          <w:sz w:val="20"/>
        </w:rPr>
      </w:pPr>
      <w:r>
        <w:rPr>
          <w:sz w:val="20"/>
        </w:rPr>
        <w:t>A este respecto procede recordar que el Tribunal Constitucional precisó que «</w:t>
      </w:r>
      <w:r>
        <w:rPr>
          <w:i/>
          <w:sz w:val="20"/>
        </w:rPr>
        <w:t>cuando el </w:t>
      </w:r>
      <w:r>
        <w:rPr>
          <w:i/>
          <w:sz w:val="20"/>
        </w:rPr>
        <w:t>artículo 86.1 CE excluye del ámbito del decreto-ley a los deberes consagrados en el título I de la Constitución, únicamente está impidiendo aquellas intervenciones o innovaciones normativas que afecten, no de cualquier manera, sino de forma relevante o sustancial, al deber constitucional de «todos» de contribuir al sostenimiento de los gastos públicos». </w:t>
      </w:r>
      <w:r>
        <w:rPr>
          <w:sz w:val="20"/>
        </w:rPr>
        <w:t>De esta forma, el criterio decisivo es su impacto sobre el reparto de la carga tributaria entre los contribuyentes considerados en su conjunto (STC 182/1997, FJ 7, entre</w:t>
      </w:r>
      <w:r>
        <w:rPr>
          <w:spacing w:val="-11"/>
          <w:sz w:val="20"/>
        </w:rPr>
        <w:t> </w:t>
      </w:r>
      <w:r>
        <w:rPr>
          <w:sz w:val="20"/>
        </w:rPr>
        <w:t>otras).</w:t>
      </w:r>
    </w:p>
    <w:p>
      <w:pPr>
        <w:pStyle w:val="BodyText"/>
        <w:spacing w:line="249" w:lineRule="auto" w:before="0"/>
        <w:ind w:right="1272"/>
      </w:pPr>
      <w:r>
        <w:rPr/>
        <w:t>El requisito habilitante de extraordinaria y urgente necesidad que se establece por mandato constitucional para el uso de la figura normativa del real decreto-ley se justifica en este supuesto de transposición de directivas comunitarias en el ámbito del Impuesto sobre el Valor Añadido y los Impuestos Especiales por cuanto que dicha transposición vencía el 31 de diciembre de</w:t>
      </w:r>
      <w:r>
        <w:rPr>
          <w:spacing w:val="-4"/>
        </w:rPr>
        <w:t> </w:t>
      </w:r>
      <w:r>
        <w:rPr/>
        <w:t>2019.</w:t>
      </w:r>
    </w:p>
    <w:p>
      <w:pPr>
        <w:pStyle w:val="BodyText"/>
        <w:spacing w:line="249" w:lineRule="auto" w:before="0"/>
        <w:ind w:right="1273"/>
      </w:pPr>
      <w:r>
        <w:rPr/>
        <w:t>A esta consideración general referida al plazo vencido de transposición ha de añadirse que las modificaciones que se introducen en relación con dichos tributos afectan y tienen relación con todos los operadores comunitarios y no únicamente con los establecidos en</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España con lo que el retraso en la transposición determinaría un perjuicio para el funcionamiento global del mercado interior.</w:t>
      </w:r>
    </w:p>
    <w:p>
      <w:pPr>
        <w:pStyle w:val="BodyText"/>
        <w:spacing w:line="249" w:lineRule="auto" w:before="1"/>
        <w:ind w:right="1272"/>
      </w:pPr>
      <w:r>
        <w:rPr/>
        <w:t>El referido perjuicio para el funcionamiento global del mercado interior quedaría concretado en la imposibilidad de dar un tratamiento armonizado en todos los Estados miembros a determinadas operaciones del comercio transfronterizo para conseguir una tributación simplificada y uniforme e introduciría importantes limitaciones a la lucha contra el fraude en las operaciones intracomunitarias.</w:t>
      </w:r>
    </w:p>
    <w:p>
      <w:pPr>
        <w:pStyle w:val="BodyText"/>
        <w:spacing w:line="249" w:lineRule="auto" w:before="4"/>
        <w:ind w:right="1272"/>
      </w:pPr>
      <w:r>
        <w:rPr/>
        <w:t>Por último, este real decreto-ley modifica la regulación del Impuesto sobre la Renta de no Residentes con el fin de transponer la Directiva (UE) 2017/1852 del Consejo de 10 de octubre de 2017, relativa a los mecanismos de resolución de litigios fiscales en la Unión Europea, armonizando así el marco de resolución de procedimientos amistosos y reforzando la seguridad</w:t>
      </w:r>
      <w:r>
        <w:rPr>
          <w:spacing w:val="-2"/>
        </w:rPr>
        <w:t> </w:t>
      </w:r>
      <w:r>
        <w:rPr/>
        <w:t>jurídica.</w:t>
      </w:r>
    </w:p>
    <w:p>
      <w:pPr>
        <w:pStyle w:val="BodyText"/>
        <w:spacing w:line="249" w:lineRule="auto" w:before="4"/>
        <w:ind w:right="1273"/>
      </w:pPr>
      <w:r>
        <w:rPr/>
        <w:t>En concreto, la Directiva (UE) 2017/1852 determina que los Estados miembros podrán denegar el acceso al procedimiento de resolución regulado en el artículo 6 de la misma cuando concurra la imposición de sanciones por fraude fiscal, impago deliberado o negligencia grave. En este sentido, España, haciendo uso de dicha facultad, define qué se entiende por dichos conceptos a efectos de la normativa española aplicable a los procedimientos amistosos en los términos que se desarrollen reglamentariamente.</w:t>
      </w:r>
    </w:p>
    <w:p>
      <w:pPr>
        <w:pStyle w:val="BodyText"/>
        <w:spacing w:line="249" w:lineRule="auto" w:before="5"/>
        <w:ind w:right="1274"/>
      </w:pPr>
      <w:r>
        <w:rPr/>
        <w:t>Asimismo, se establecen como excepción al régimen general de preeminencia de la tramitación de los procedimientos amistosos respecto de los procedimientos judiciales y administrativos de revisión aquellos casos en los que hayan sido impugnadas las antedichas sanciones.</w:t>
      </w:r>
    </w:p>
    <w:p>
      <w:pPr>
        <w:pStyle w:val="BodyText"/>
        <w:spacing w:line="249" w:lineRule="auto" w:before="4"/>
        <w:ind w:right="1270"/>
      </w:pPr>
      <w:r>
        <w:rPr/>
        <w:t>A su vez, se confieren al Tribunal Económico-Administrativo Central las funciones atribuidas por la mencionada Directiva (UE) 2017/1852 en materia de constitución y funcionamiento de la comisión consultiva.</w:t>
      </w:r>
    </w:p>
    <w:p>
      <w:pPr>
        <w:pStyle w:val="BodyText"/>
        <w:spacing w:line="249" w:lineRule="auto"/>
        <w:ind w:right="1275"/>
      </w:pPr>
      <w:r>
        <w:rPr/>
        <w:t>Asimismo, se elimina la excepción relativa al devengo de intereses de demora, lo que conllevará el devengo de estos durante la tramitación de los procedimientos amistosos iniciados a partir de la entrada en vigor de este real decreto-ley.</w:t>
      </w:r>
    </w:p>
    <w:p>
      <w:pPr>
        <w:pStyle w:val="BodyText"/>
        <w:spacing w:line="249" w:lineRule="auto" w:before="3"/>
        <w:ind w:right="1273"/>
      </w:pPr>
      <w:r>
        <w:rPr/>
        <w:t>Finalmente, se modifica la Ley 29/1998, de 13 de julio, reguladora de la Jurisdicción Contencioso-administrativa, con el fin de acompasarla a los cambios introducidos en materia de procedimientos amistosos en el Texto Refundido de la Ley del Impuesto sobre la Renta de no Residentes, aprobado por el Real Decreto Legislativo 5/2004, de 5 de</w:t>
      </w:r>
      <w:r>
        <w:rPr>
          <w:spacing w:val="-35"/>
        </w:rPr>
        <w:t> </w:t>
      </w:r>
      <w:r>
        <w:rPr/>
        <w:t>marzo.</w:t>
      </w:r>
    </w:p>
    <w:p>
      <w:pPr>
        <w:pStyle w:val="BodyText"/>
        <w:spacing w:line="249" w:lineRule="auto" w:before="3"/>
        <w:ind w:right="1274"/>
      </w:pPr>
      <w:r>
        <w:rPr/>
        <w:t>El presupuesto habilitante de extraordinaria y urgente necesidad para la utilización del instrumento normativo del real decreto-ley se justifica en este supuesto por cuanto que la transposición de dicha Directiva (UE) 2017/1852 vencía el 30 de junio de 2019 y para evitar, de este modo, posibles consecuencias que se puedan derivar del incumplimiento del antedicho plazo.</w:t>
      </w:r>
    </w:p>
    <w:p>
      <w:pPr>
        <w:pStyle w:val="BodyText"/>
        <w:spacing w:line="249" w:lineRule="auto" w:before="4"/>
        <w:ind w:right="1272"/>
      </w:pPr>
      <w:r>
        <w:rPr/>
        <w:t>Adicionalmente a lo anterior, la ausencia de transposición de la referida Directiva de forma inmediata afectaría notablemente a la seguridad jurídica y a los derechos de los contribuyentes, en la medida en que derechos reconocidos a los mismos en la</w:t>
      </w:r>
      <w:r>
        <w:rPr>
          <w:spacing w:val="9"/>
        </w:rPr>
        <w:t> </w:t>
      </w:r>
      <w:r>
        <w:rPr/>
        <w:t>norma europea podrían ser invocados, pero no sería posible dar una adecuada respuesta por parte de España, al carecer de regulación específica al respecto, como, por ejemplo, en cuanto a la constitución de la comisión de</w:t>
      </w:r>
      <w:r>
        <w:rPr>
          <w:spacing w:val="-5"/>
        </w:rPr>
        <w:t> </w:t>
      </w:r>
      <w:r>
        <w:rPr/>
        <w:t>arbitraje.</w:t>
      </w:r>
    </w:p>
    <w:p>
      <w:pPr>
        <w:pStyle w:val="BodyText"/>
        <w:spacing w:line="249" w:lineRule="auto" w:before="5"/>
        <w:ind w:right="1273"/>
      </w:pPr>
      <w:r>
        <w:rPr/>
        <w:t>Este real decreto-ley comprende tres Libros, diecisiete disposiciones adicionales, ocho disposiciones transitorias, una disposición derogatoria única, dieciséis disposiciones finales y doce anexos.</w:t>
      </w:r>
    </w:p>
    <w:p>
      <w:pPr>
        <w:pStyle w:val="BodyText"/>
        <w:spacing w:before="10"/>
        <w:ind w:left="0" w:firstLine="0"/>
        <w:jc w:val="left"/>
        <w:rPr>
          <w:sz w:val="13"/>
        </w:rPr>
      </w:pPr>
    </w:p>
    <w:p>
      <w:pPr>
        <w:pStyle w:val="BodyText"/>
        <w:spacing w:before="126"/>
        <w:ind w:left="2930" w:right="3127" w:firstLine="0"/>
        <w:jc w:val="center"/>
      </w:pPr>
      <w:r>
        <w:rPr/>
        <w:t>III</w:t>
      </w:r>
    </w:p>
    <w:p>
      <w:pPr>
        <w:pStyle w:val="BodyText"/>
        <w:spacing w:line="249" w:lineRule="auto" w:before="130"/>
        <w:ind w:right="1273"/>
      </w:pPr>
      <w:r>
        <w:rPr/>
        <w:t>El contenido del presente decreto-ley se centra, en lo relativo a la contratación, en la transposición parcial de la nueva Directiva 2014/25/UE respecto de todas aquellas entidades contratantes que no sean Administración Pública, la cual, a su vez, da continuidad a la regulación anterior, referida a los sectores y actividades cubiertos por la misma, e introduce la contratación electrónica obligatoria, fomentando así el empleo de nuevas técnicas de contratación que con un enfoque menos ambicioso ya aparecían en la anterior regulación. Concretamente se establece la obligatoriedad de utilizar medios de información y de comunicación electrónicos en todas las fases del procedimiento, con el objetivo de aumentar la eficiencia y la transparencia en el</w:t>
      </w:r>
      <w:r>
        <w:rPr>
          <w:spacing w:val="-7"/>
        </w:rPr>
        <w:t> </w:t>
      </w:r>
      <w:r>
        <w:rPr/>
        <w:t>mismo.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Además de ese contenido tradicional en el ámbito de los denominados «sectores excluidos», hay que destacar que mediante el presente real decreto-ley se incorporan también las disposiciones correspondientes al contrato de concesión de obras y al nuevo contrato de concesión de servicios, contenidas dentro de la Directiva 2014/23/UE, solo cuando se dan en los sectores y actividades comprendidos dentro del presente real decreto- ley y solo respecto de las entidades que configuran su ámbito subjetivo de aplicación, denominadas «entidades contratantes» de forma genérica, encontrándose el resto de las disposiciones de esta última Directiva incorporadas y transpuestas en la Ley 9/2017, de 8 de noviembre.</w:t>
      </w:r>
    </w:p>
    <w:p>
      <w:pPr>
        <w:pStyle w:val="BodyText"/>
        <w:spacing w:line="249" w:lineRule="auto" w:before="7"/>
        <w:ind w:right="1272"/>
      </w:pPr>
      <w:r>
        <w:rPr/>
        <w:t>El real decreto-ley recoge en el Libro primero en su título I su objeto y las definiciones adecuadas a los diferentes conceptos manejados a lo largo del Libro primero del presente real decreto-ley de tal manera que se respeten las interpretaciones comunitarias originarias de la Directiva 2014/25/UE. Cabe destacar que por primera vez se regulan los procedimientos de adjudicación que convoquen las «entidades contratantes» de contratos de concesión de obras o de concesión de servicios en los sectores de la energía, los transportes y los servicios</w:t>
      </w:r>
      <w:r>
        <w:rPr>
          <w:spacing w:val="-2"/>
        </w:rPr>
        <w:t> </w:t>
      </w:r>
      <w:r>
        <w:rPr/>
        <w:t>postales.</w:t>
      </w:r>
    </w:p>
    <w:p>
      <w:pPr>
        <w:pStyle w:val="BodyText"/>
        <w:spacing w:line="249" w:lineRule="auto" w:before="6"/>
        <w:ind w:right="1272"/>
      </w:pPr>
      <w:r>
        <w:rPr/>
        <w:t>El ámbito subjetivo se prevé en el Libro primero del real decreto-ley, tal y como especifica el Capítulo II de su título I, se proyecta sobre los poderes adjudicadores, las empresas públicas y las entidades privadas que tengan atribuidos derechos especiales o exclusivos, exceptuándose sin embargo las Administraciones Públicas, que quedan sujetas a la regulación más estricta de la Ley 9/2017, de 8 de noviembre, por razones de disciplina y control de su funcionamiento, aspectos estos que parece aconsejable primar, respetando los umbrales establecidos en la Directiva 2014/25/UE a efectos de determinar que contratos tendrán la consideración de contratos sujetos a regulación armonizada, en coherencia con lo establecido en la disposición adicional octava de la Ley 9/2017, de 8 de noviembre. Ello es plenamente compatible con el Derecho de la Unión Europea, ya que esta opción garantiza obviamente los principios de publicidad, concurrencia, igualdad y no discriminación en materia contractual, al exigirse estos con mayor rigor en el ámbito de la contratación pública sujeta a la Ley 9/2017, de 8 de</w:t>
      </w:r>
      <w:r>
        <w:rPr>
          <w:spacing w:val="-9"/>
        </w:rPr>
        <w:t> </w:t>
      </w:r>
      <w:r>
        <w:rPr/>
        <w:t>noviembre.</w:t>
      </w:r>
    </w:p>
    <w:p>
      <w:pPr>
        <w:pStyle w:val="BodyText"/>
        <w:spacing w:line="249" w:lineRule="auto" w:before="10"/>
        <w:ind w:right="1271"/>
      </w:pPr>
      <w:r>
        <w:rPr/>
        <w:t>En el Capítulo III del título I del Libro primero se define, con estricta fidelidad al contenido de la Directiva 2014/25/UE, el ámbito objetivo de aplicación del real decreto-ley, concretando tanto la naturaleza de los contratos que regula como el contenido material de los mismos. El presente real decreto-ley, en comparación con la Ley 31/2007, de 30 de octubre, hace una regulación más amplia y pormenorizada de las exclusiones de su ámbito objetivo de aplicación, de los contratos mixtos y de los contratos destinados a la realización de varias actividades, y ello tanto por imperativo de las Directivas comunitarias, como para delimitar correctamente el ámbito de aplicación de este real decreto-ley no solo respecto de la Ley 9/2017, de 8 de noviembre, sino también respecto de la Ley 24/2011, de 1 de agosto, de contratos del sector público en los ámbitos de la defensa y de la seguridad, la cual se aprobó con posterioridad a la Ley 31/2007, de 30 de octubre. Por otra parte, se regulan por primera vez los encargos a medios propios personificados por parte de entidades contratantes que sean poderes adjudicadores, así como los convenios que se celebren entre entidades contratantes pertenecientes al sector público. Asimismo, como novedad, se revisa la regulación que hacía la Ley 31/2007, de 30 de octubre, de los contratos con empresas asociadas y con empresas conjuntas, para garantizar un uso adecuado de los mismos acordes con el principio de libre concurrencia.</w:t>
      </w:r>
    </w:p>
    <w:p>
      <w:pPr>
        <w:pStyle w:val="BodyText"/>
        <w:spacing w:line="249" w:lineRule="auto" w:before="14"/>
        <w:ind w:right="1271"/>
      </w:pPr>
      <w:r>
        <w:rPr/>
        <w:t>El Capítulo IV del título I del Libro primero señala como principios que han de regir la contratación los ya tradicionales principios de no discriminación, reconocimiento mutuo, proporcionalidad, igualdad de trato y transparencia; a los que, como novedad, este real decreto-ley añade: el principio de libre competencia, con una formulación amplia, de manera que el mismo aparece asociado tanto al elemento intencional, como al objeto y efectos de la práctica o medida potencialmente restrictiva; y los principios de garantía de la unidad de mercado que se recogen en la Ley 20/2013, de 9 de diciembre, de garantía de la unidad de mercado. Este elenco de principios se acompaña de un mandato legal inequívoco a la entidad contratante para que incorpore de manera transversal, tanto en la configuración como en la sustanciación del procedimiento, consideraciones de naturaleza social, medioambiental y de apoyo a las pequeñas y medianas empresas. Dando continuidad a este nuevo</w:t>
      </w:r>
      <w:r>
        <w:rPr>
          <w:spacing w:val="33"/>
        </w:rPr>
        <w:t> </w:t>
      </w:r>
      <w:r>
        <w:rPr/>
        <w:t>enfoque</w:t>
      </w:r>
      <w:r>
        <w:rPr>
          <w:spacing w:val="33"/>
        </w:rPr>
        <w:t> </w:t>
      </w:r>
      <w:r>
        <w:rPr/>
        <w:t>comúnmente</w:t>
      </w:r>
      <w:r>
        <w:rPr>
          <w:spacing w:val="34"/>
        </w:rPr>
        <w:t> </w:t>
      </w:r>
      <w:r>
        <w:rPr/>
        <w:t>denominado</w:t>
      </w:r>
      <w:r>
        <w:rPr>
          <w:spacing w:val="33"/>
        </w:rPr>
        <w:t> </w:t>
      </w:r>
      <w:r>
        <w:rPr/>
        <w:t>como</w:t>
      </w:r>
      <w:r>
        <w:rPr>
          <w:spacing w:val="34"/>
        </w:rPr>
        <w:t> </w:t>
      </w:r>
      <w:r>
        <w:rPr/>
        <w:t>«contratación</w:t>
      </w:r>
      <w:r>
        <w:rPr>
          <w:spacing w:val="33"/>
        </w:rPr>
        <w:t> </w:t>
      </w:r>
      <w:r>
        <w:rPr/>
        <w:t>pública</w:t>
      </w:r>
      <w:r>
        <w:rPr>
          <w:spacing w:val="34"/>
        </w:rPr>
        <w:t> </w:t>
      </w:r>
      <w:r>
        <w:rPr/>
        <w:t>estratégica»</w:t>
      </w:r>
      <w:r>
        <w:rPr>
          <w:spacing w:val="33"/>
        </w:rPr>
        <w:t> </w:t>
      </w:r>
      <w:r>
        <w:rPr/>
        <w:t>el</w:t>
      </w:r>
      <w:r>
        <w:rPr>
          <w:spacing w:val="34"/>
        </w:rPr>
        <w:t> </w:t>
      </w:r>
      <w:r>
        <w:rPr/>
        <w:t>real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firstLine="0"/>
      </w:pPr>
      <w:r>
        <w:rPr/>
        <w:t>decreto-ley impone a las entidades contratantes la obligación de tomar medidas para garantizar que en la ejecución de sus contratos las empresas cumplen las obligaciones de tipo medioambiental, social y laboral, pudiendo llegar a imponer penalidades por incumplimiento de estas obligaciones. Asimismo, se regulan por primera vez los conflictos de intereses que pudieran surgir en los procedimientos de contratación que se sustancien con sujeción a este real decreto-ley.</w:t>
      </w:r>
    </w:p>
    <w:p>
      <w:pPr>
        <w:pStyle w:val="BodyText"/>
        <w:spacing w:line="249" w:lineRule="auto" w:before="5"/>
        <w:ind w:right="1271"/>
      </w:pPr>
      <w:r>
        <w:rPr/>
        <w:t>En su título II se establecen los requisitos relativos a la capacidad y clasificación de los operadores económicos. Como novedad se impone la aplicación de las prohibiciones para contratar, que regula la Ley 9/2017, de 8 de noviembre, respecto de todas las entidades contratantes, y no solo respecto de los antes denominados organismos de derecho público y de las empresas públicas, como hacía la Ley 31/2007, de 30 de octubre. Asimismo, se mantienen los sistemas potestativos de clasificación de contratistas, cuyo objetivo o finalidad seguirá siendo definido por las entidades contratantes que voluntariamente los establezcan y gestionen, aunque continúen estando llamados tanto a facilitar la selección del contratista como a simplificar el propio procedimiento cuando opere como medio de convocatoria.</w:t>
      </w:r>
    </w:p>
    <w:p>
      <w:pPr>
        <w:pStyle w:val="BodyText"/>
        <w:spacing w:line="249" w:lineRule="auto" w:before="7"/>
        <w:ind w:right="1273"/>
      </w:pPr>
      <w:r>
        <w:rPr/>
        <w:t>En el título III del Libro primero del real decreto-ley al precisar las exigencias y particularidades de la preparación y la documentación de los contratos introduce importantes novedades respecto de la anterior Ley 31/2007, de 30 de octubre. Se regulan por primera vez las consultas al mercado que hagan las entidades contratantes, tanto para planificar sus licitaciones como para informar al mercado de sus planes de contratación, junto con las necesarias cautelas para garantizar una libre y leal competencia, en especial a través de la publicidad en el perfil del contratante de la entidad correspondiente; se obliga a las entidades contratantes a dejar constancia en la documentación preparatoria del procedimiento de contratación de las necesidades a las que pretenden dar satisfacción con el mismo; se regula cómo debe ser calculado el presupuesto base de licitación por parte de las entidades contratantes pertenecientes al sector público; se detalla más pormenorizadamente el contenido mínimo de los pliegos; y se introduce una regulación más extensa y detallada de las etiquetas, informes de pruebas, certificaciones y otros medios de prueba, con el objeto de acreditar que los bienes, productos o servicios cumplen las prescripciones técnicas exigidas, los criterios de adjudicación o las condiciones de ejecución del contrato que en cada caso establezcan los pliegos de</w:t>
      </w:r>
      <w:r>
        <w:rPr>
          <w:spacing w:val="-5"/>
        </w:rPr>
        <w:t> </w:t>
      </w:r>
      <w:r>
        <w:rPr/>
        <w:t>condiciones.</w:t>
      </w:r>
    </w:p>
    <w:p>
      <w:pPr>
        <w:pStyle w:val="BodyText"/>
        <w:spacing w:line="249" w:lineRule="auto" w:before="13"/>
        <w:ind w:right="1272"/>
      </w:pPr>
      <w:r>
        <w:rPr/>
        <w:t>El título IV del Libro primero por primera vez regula el contenido mínimo de los contratos sujetos a este real decreto-ley; así como la duración de los mismos la cual, para los contratos de entidades contratantes pertenecientes al Sector Público, se sujetará a</w:t>
      </w:r>
      <w:r>
        <w:rPr>
          <w:spacing w:val="19"/>
        </w:rPr>
        <w:t> </w:t>
      </w:r>
      <w:r>
        <w:rPr/>
        <w:t>las mismas limitaciones que establece la Ley 9/2017, de 8 de noviembre, velándose así porque los contratos se sometan periódicamente a</w:t>
      </w:r>
      <w:r>
        <w:rPr>
          <w:spacing w:val="-5"/>
        </w:rPr>
        <w:t> </w:t>
      </w:r>
      <w:r>
        <w:rPr/>
        <w:t>concurrencia.</w:t>
      </w:r>
    </w:p>
    <w:p>
      <w:pPr>
        <w:pStyle w:val="BodyText"/>
        <w:spacing w:line="249" w:lineRule="auto" w:before="4"/>
        <w:ind w:right="1272"/>
      </w:pPr>
      <w:r>
        <w:rPr/>
        <w:t>El título IV del Libro primero adicionalmente regula los requisitos de los candidatos y licitadores, las normas generales que deberán regir los procedimientos de adjudicación, los medios de publicidad de los mismos y los tipos de procedimientos. Con carácter general el real decreto-ley exige que se dé acceso a los pliegos de condiciones y a las prescripciones técnicas por medios electrónicos a través del perfil de contratante; e impone con carácter obligatorio a las entidades contratantes la tenencia de un perfil de contratante que deberá alojarse bien en la Plataforma de Contratación del Sector Público o bien en otra plataforma equivalente, según el tipo de entidad contratante. La regulación del perfil de contratante se asemeja mucho a la establecida por la Ley 9/2017, de 8 de noviembre, convirtiéndose en el principal canal para dar publicidad unificada a la práctica totalidad de los anuncios, las actuaciones, actos y resoluciones que recaen a lo largo del procedimiento de contratación e, incluso, durante la ejecución del contrato. El real decreto-ley al regular todo lo relativo a los medios de comunicación electrónicos, como novedad impone su utilización con carácter obligatorio, salvo excepciones tasadas. Asimismo, se hacen todos los ajustes necesarios a lo largo de la regulación del procedimiento de licitación para adaptarlo a las nuevas exigencias que trae consigo la contratación electrónica.</w:t>
      </w:r>
    </w:p>
    <w:p>
      <w:pPr>
        <w:pStyle w:val="BodyText"/>
        <w:spacing w:line="249" w:lineRule="auto" w:before="13"/>
        <w:ind w:right="1271"/>
      </w:pPr>
      <w:r>
        <w:rPr/>
        <w:t>El título IV del Libro primero presenta otras novedades, entre las que cabe destacar las siguientes: se regula por primera vez el objeto del contrato, exigiéndose su determinación, prohibiéndose su fraccionamiento fraudulento; imponiéndose con carácter general la obligación de dividir en lotes el objeto del contrato siempre que la naturaleza del mismo lo permita, debiéndose justificar en el expediente la decisión contraria; y haciéndose una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expresa referencia a las ofertas que combinen varios lotes o todos los lotes, comúnmente conocidas como «ofertas integradoras».</w:t>
      </w:r>
    </w:p>
    <w:p>
      <w:pPr>
        <w:pStyle w:val="BodyText"/>
        <w:spacing w:line="249" w:lineRule="auto" w:before="1"/>
        <w:ind w:right="1271"/>
      </w:pPr>
      <w:r>
        <w:rPr/>
        <w:t>El título IV del Libro primero asimismo regula los criterios de adjudicación, introduciendo un gran número de novedades, a destacar: la sustitución del principio de la oferta económicamente más ventajosa por el principio de la mejor oferta determinada preferentemente con arreglo a criterios basados en la mejor relación calidad-precio; se exige, como es tradicional, una vinculación con el objeto del contrato, exigencia esta que ciertamente se relaja dado que ya no debe ser «directa», y además se formula de manera amplia al referirse a las prestaciones que deban realizarse en virtud del contrato en cualquier etapa de su «ciclo de vida», lo que potencialmente, una vez más, permite la toma en consideración de un mayor número de aspectos sociales, laborales, medioambientales y de innovación y desarrollo por parte de las entidades contratantes; y se exige que al valorar las ofertas en las licitaciones de determinados contratos en los que el legislador ha considerado que debería primar la calidad, como son los contratos de servicios de carácter intelectual, los criterios cualitativos representen el 51 por ciento o más de la puntuación asignable.</w:t>
      </w:r>
    </w:p>
    <w:p>
      <w:pPr>
        <w:pStyle w:val="BodyText"/>
        <w:spacing w:line="249" w:lineRule="auto" w:before="11"/>
        <w:ind w:right="1272"/>
      </w:pPr>
      <w:r>
        <w:rPr/>
        <w:t>En el título IV del Libro primero igualmente se introduce como novedad la declaración responsable como prueba preliminar del cumplimiento de los requisitos para contratar, cuyo contenido se ajusta al formulario normalizado establecido por el Reglamento de Ejecución (UE) n.º 2016/7 de la Comisión, de 5 de enero de 2016, y se realizan los ajustes necesarios en la regulación de los procedimientos de licitación. Otras novedades destacables consisten en la obligación que se impone a las entidades contratantes de rechazar ofertas durante el procedimiento de ofertas anormalmente bajas cuando se detecte que no cumplen las obligaciones medioambientales, sociales o laborales que resulten de aplicación, pudiendo  las entidades contratantes incluso no adjudicar el contrato a la mejor oferta cuando la misma no cumpla estas obligaciones; se introduce la obligación de la entidad contratante de trasladar a la Comisión Nacional de los Mercados y la Competencia o, en su caso, a la autoridad autonómica con competencia en la materia, aquellos indicios fundados de conductas colusorias detectadas con motivo de la sustanciación del procedimiento de contratación, con carácter previo a la adjudicación del contrato y con efecto suspensivo; se incorpora el régimen comunitario de publicidad resultante de las nuevas Directivas comunitarias de contratación, ulteriormente desarrollado por el Reglamento de Ejecución (UE) n.º 2015/1986 de la Comisión, de 11 de noviembre de 2015, por el que se establecen formularios normalizados para la publicación de anuncios en el ámbito de la contratación pública y se deroga el Reglamento de Ejecución (UE) n.º 842/2011, el cual, dentro del margen permitido por el legislador comunitario, se ha intentado simplificar lo máximo posible; se regulan de forma más garantista los procedimientos abierto, restringido y negociado, y se introducen como novedad el diálogo competitivo y el procedimiento de asociación para la innovación, imponiéndose a las entidades contratantes la obligación de motivar la elección del</w:t>
      </w:r>
      <w:r>
        <w:rPr>
          <w:spacing w:val="-2"/>
        </w:rPr>
        <w:t> </w:t>
      </w:r>
      <w:r>
        <w:rPr/>
        <w:t>procedimiento.</w:t>
      </w:r>
    </w:p>
    <w:p>
      <w:pPr>
        <w:pStyle w:val="BodyText"/>
        <w:spacing w:line="249" w:lineRule="auto" w:before="20"/>
        <w:ind w:right="1273"/>
      </w:pPr>
      <w:r>
        <w:rPr/>
        <w:t>El nuevo procedimiento de asociación para la innovación nace con la idea de fomentar el desarrollo de soluciones innovadoras sin cerrar el mercado; y está previsto para cuando las soluciones que hay disponibles en el mercado no pueden dar satisfacción a una necesidad de una entidad contratante en relación con el desarrollo de determinados productos, obras o servicios innovadores y su ulterior adquisición. Este procedimiento permite a las entidades contratantes establecer una asociación para la innovación a largo plazo con vistas a realizar este desarrollo y adquisición posterior, generando así el denominado «tirón comercial».</w:t>
      </w:r>
    </w:p>
    <w:p>
      <w:pPr>
        <w:pStyle w:val="BodyText"/>
        <w:spacing w:line="249" w:lineRule="auto" w:before="5"/>
        <w:ind w:right="1272"/>
      </w:pPr>
      <w:r>
        <w:rPr/>
        <w:t>En relación con este nuevo procedimiento, la nueva Directiva perfila un proceso en el que, tras una convocatoria de licitación, cualquier empresario puede formular una solicitud  de participación, tras lo cual, los candidatos que resulten seleccionados podrán formular ofertas, convirtiéndose así en licitadores, en el marco de un proceso de negociación. Este podrá desarrollarse en fases sucesivas, y culminará con la creación de la asociación para la innovación. Esta asociación para la innovación se estructurará a su vez en fases sucesivas, pero ya no tendrá lugar entre la entidad contratante y los licitadores, sino entre aquel y uno o más socios; y que generalmente culminará con la adquisición de los suministros, servicios u obras</w:t>
      </w:r>
      <w:r>
        <w:rPr>
          <w:spacing w:val="-2"/>
        </w:rPr>
        <w:t> </w:t>
      </w:r>
      <w:r>
        <w:rPr/>
        <w:t>resultantes.</w:t>
      </w:r>
    </w:p>
    <w:p>
      <w:pPr>
        <w:pStyle w:val="BodyText"/>
        <w:spacing w:line="249" w:lineRule="auto" w:before="8"/>
        <w:ind w:right="1274"/>
      </w:pPr>
      <w:r>
        <w:rPr/>
        <w:t>Se trata, por tanto, de un procedimiento en el que podrían distinguirse, esquemáticamente, cuatro momentos diferenciados: selección de candidatos, negociación con los licitadores, la asociación con los socios, y la adquisición del producto resultante. 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firstLine="0"/>
      </w:pPr>
      <w:r>
        <w:rPr/>
        <w:t>este esquema responde el artículo 87 del real decreto-ley, dedicado monográficamente a la regulación de este nuevo procedimiento.</w:t>
      </w:r>
    </w:p>
    <w:p>
      <w:pPr>
        <w:pStyle w:val="BodyText"/>
        <w:spacing w:line="249" w:lineRule="auto" w:before="1"/>
        <w:ind w:right="1273"/>
      </w:pPr>
      <w:r>
        <w:rPr/>
        <w:t>Asimismo, en el título IV del Libro primero se amplía el ámbito de actuación de la tradicional figura de los «contratos reservados», dado que el empleo y la ocupación se consideran elementos clave para garantizar la igualdad de oportunidades, además de contribuir a la integración social de los discapacitados y de los colectivos más desfavorecidos. Por ello no solo se mantiene la posibilidad que asiste a la entidad contratante de reservar el derecho a participar en los procedimientos de contratación a Centros Especiales de Empleo, o de prever su ejecución en el marco de programas de empleo protegido; sino que como novedad se prevé que las entidades contratantes puedan reservar este derecho también a empresas de inserción, a condición de que el porcentaje de trabajadores con discapacidad o en situación de exclusión social de los Centros Especiales de Empleo, de las Empresas de inserción o de los programas sean los previstos en su normativa de referencia y, en todo caso, al menos del 30 por cien. Igualmente se amplía la posibilidad de reservar el derecho a participar en licitaciones de contratos de servicios sociales, culturales y de salud a determinadas organizaciones que ya vengan prestando estos servicios y que, entre otros requisitos, reinviertan sus beneficios en el logro de sus propios objetivos. En el ámbito de la discapacidad resulta de aplicación, por remisión, la causa de prohibición de contratar que establece la Ley 9/2017, de 8 de noviembre relativa al incumplimiento del requisito de que al menos el 2 por ciento de los empleados de las empresas de 50 o más trabajadores sean trabajadores con</w:t>
      </w:r>
      <w:r>
        <w:rPr>
          <w:spacing w:val="-9"/>
        </w:rPr>
        <w:t> </w:t>
      </w:r>
      <w:r>
        <w:rPr/>
        <w:t>discapacidad.</w:t>
      </w:r>
    </w:p>
    <w:p>
      <w:pPr>
        <w:pStyle w:val="BodyText"/>
        <w:spacing w:line="249" w:lineRule="auto" w:before="16"/>
        <w:ind w:right="1272"/>
      </w:pPr>
      <w:r>
        <w:rPr/>
        <w:t>El título V del Libro primero recoge bajo la denominación de Técnicas de Racionalización de la Contratación y Concursos de Proyectos, técnicas de contratación relacionadas con las nuevas técnicas electrónicas de compra. Dichas técnicas permiten ampliar la competencia y mejorar la eficacia del sistema público de compras a través de la posibilidad de que las entidades contratantes recurran a centrales de compras, a sistemas dinámicos de adquisición o a subastas electrónicas. Como novedad se regulan por primera vez la contratación conjunta esporádica entre dos o más entidades contratantes, y la contratación con intervención de entidades contratantes de diferentes Estados Miembros de la Unión Europea.</w:t>
      </w:r>
    </w:p>
    <w:p>
      <w:pPr>
        <w:pStyle w:val="BodyText"/>
        <w:spacing w:line="249" w:lineRule="auto" w:before="7"/>
        <w:ind w:right="1271"/>
      </w:pPr>
      <w:r>
        <w:rPr/>
        <w:t>El título VI del Libro primero tiene por objeto regular la ejecución y extinción de los contratos, de forma análoga a la contenida dentro de la Ley 9/2017, de 8 de noviembre, particularmente en cuanto a las principales novedades de esta: se impulsa la incorporación de consideraciones sociales, laborales, medioambientales y de innovación y desarrollo en  las condiciones de ejecución, de dos formas. En primer lugar, se establece la obligación de introducir al menos una de las consideraciones de esta naturaleza que lista el artículo 105, entre las cuales están incluidas aquellas que fomenten la igualdad entre mujeres y hombres en el trabajo, favorezcan la mayor participación de la mujer en el mercado laboral y la conciliación del trabajo y la vida familiar; y, en segundo lugar, la introducción de estas condiciones se ve favorecida por que el requisito de vinculación al objeto del contrato se beneficia de la misma flexibilidad que los criterios de</w:t>
      </w:r>
      <w:r>
        <w:rPr>
          <w:spacing w:val="-11"/>
        </w:rPr>
        <w:t> </w:t>
      </w:r>
      <w:r>
        <w:rPr/>
        <w:t>adjudicación.</w:t>
      </w:r>
    </w:p>
    <w:p>
      <w:pPr>
        <w:pStyle w:val="BodyText"/>
        <w:spacing w:line="249" w:lineRule="auto" w:before="9"/>
        <w:ind w:right="1271"/>
      </w:pPr>
      <w:r>
        <w:rPr/>
        <w:t>El título VI al regular la subcontratación se elimina el límite a la misma que, en defecto de previsión en el pliego, establecía la Ley 31/2007, de 30 de octubre, en el 60 por ciento del importe de adjudicación del contrato, siguiendo así el real decreto-ley el criterio sentado por el Tribunal de Justicia de la Unión Europea en su sentencia Wroclaw, de 14 de julio de 2016. Adicionalmente, se regulan los pagos a subcontratistas y suministradores, la posibilidad de pagos directos a los subcontratistas cuando así lo hubieran previsto los pliegos y se cuente con la conformidad del contratista principal; y la comprobación de los mismos por parte de las entidades contratantes se regula en forma análoga a la contenida en la Ley 9/2017, de 8 de noviembre, de manera que esta comprobación de pagos será obligatoria en determinados contratos.</w:t>
      </w:r>
    </w:p>
    <w:p>
      <w:pPr>
        <w:pStyle w:val="BodyText"/>
        <w:spacing w:line="249" w:lineRule="auto" w:before="8"/>
        <w:ind w:right="1272"/>
      </w:pPr>
      <w:r>
        <w:rPr/>
        <w:t>Por otra parte, en materia de modificaciones de los contratos sujetos a este real decreto- ley se introducen por primera vez limitaciones, exigiéndose la publicación de un anuncio de modificación y de las alegaciones e informes recabados; se introduce la posibilidad de resolver contratos durante su vigencia cuando no se den los requisitos legalmente establecidos que permitan su modificación; y se introduce la necesaria autorización, previo dictamen del Consejo de Estado, del Ministerio de tutela o adscripción para modificaciones no</w:t>
      </w:r>
      <w:r>
        <w:rPr>
          <w:spacing w:val="26"/>
        </w:rPr>
        <w:t> </w:t>
      </w:r>
      <w:r>
        <w:rPr/>
        <w:t>previstas</w:t>
      </w:r>
      <w:r>
        <w:rPr>
          <w:spacing w:val="26"/>
        </w:rPr>
        <w:t> </w:t>
      </w:r>
      <w:r>
        <w:rPr/>
        <w:t>superiores</w:t>
      </w:r>
      <w:r>
        <w:rPr>
          <w:spacing w:val="26"/>
        </w:rPr>
        <w:t> </w:t>
      </w:r>
      <w:r>
        <w:rPr/>
        <w:t>al</w:t>
      </w:r>
      <w:r>
        <w:rPr>
          <w:spacing w:val="26"/>
        </w:rPr>
        <w:t> </w:t>
      </w:r>
      <w:r>
        <w:rPr/>
        <w:t>20</w:t>
      </w:r>
      <w:r>
        <w:rPr>
          <w:spacing w:val="26"/>
        </w:rPr>
        <w:t> </w:t>
      </w:r>
      <w:r>
        <w:rPr/>
        <w:t>por</w:t>
      </w:r>
      <w:r>
        <w:rPr>
          <w:spacing w:val="26"/>
        </w:rPr>
        <w:t> </w:t>
      </w:r>
      <w:r>
        <w:rPr/>
        <w:t>ciento</w:t>
      </w:r>
      <w:r>
        <w:rPr>
          <w:spacing w:val="26"/>
        </w:rPr>
        <w:t> </w:t>
      </w:r>
      <w:r>
        <w:rPr/>
        <w:t>del</w:t>
      </w:r>
      <w:r>
        <w:rPr>
          <w:spacing w:val="26"/>
        </w:rPr>
        <w:t> </w:t>
      </w:r>
      <w:r>
        <w:rPr/>
        <w:t>precio</w:t>
      </w:r>
      <w:r>
        <w:rPr>
          <w:spacing w:val="26"/>
        </w:rPr>
        <w:t> </w:t>
      </w:r>
      <w:r>
        <w:rPr/>
        <w:t>inicial</w:t>
      </w:r>
      <w:r>
        <w:rPr>
          <w:spacing w:val="26"/>
        </w:rPr>
        <w:t> </w:t>
      </w:r>
      <w:r>
        <w:rPr/>
        <w:t>del</w:t>
      </w:r>
      <w:r>
        <w:rPr>
          <w:spacing w:val="26"/>
        </w:rPr>
        <w:t> </w:t>
      </w:r>
      <w:r>
        <w:rPr/>
        <w:t>contrato,</w:t>
      </w:r>
      <w:r>
        <w:rPr>
          <w:spacing w:val="26"/>
        </w:rPr>
        <w:t> </w:t>
      </w:r>
      <w:r>
        <w:rPr/>
        <w:t>IVA</w:t>
      </w:r>
      <w:r>
        <w:rPr>
          <w:spacing w:val="27"/>
        </w:rPr>
        <w:t> </w:t>
      </w:r>
      <w:r>
        <w:rPr/>
        <w:t>excluido,</w:t>
      </w:r>
      <w:r>
        <w:rPr>
          <w:spacing w:val="26"/>
        </w:rPr>
        <w:t> </w:t>
      </w:r>
      <w:r>
        <w:rPr/>
        <w:t>en</w:t>
      </w:r>
      <w:r>
        <w:rPr>
          <w:spacing w:val="26"/>
        </w:rPr>
        <w:t> </w:t>
      </w:r>
      <w:r>
        <w:rPr/>
        <w:t>el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caso de que las mismas afecten a contratos de entidades contratantes pertenecientes al sector público.</w:t>
      </w:r>
    </w:p>
    <w:p>
      <w:pPr>
        <w:pStyle w:val="BodyText"/>
        <w:spacing w:line="249" w:lineRule="auto" w:before="1"/>
        <w:ind w:right="1272"/>
      </w:pPr>
      <w:r>
        <w:rPr/>
        <w:t>El título VII del Libro primero regula la invalidez y la reclamación en materia de contratación. Al hacerlo el mismo introduce una regulación muy pareja a la que se recoge en esta materia en la Ley 9/2017, de 8 de noviembre, si bien en el presente real decreto-ley se permite la solución extrajudicial de conflictos. Se incluye entre las causas de nulidad, comprendiendo ahora también el incumplimiento grave de Derecho de la Unión Europea previo pronunciamiento en este sentido del Tribunal de Justicia de la Unión Europea. Adicionalmente, se incluyen entre las causas de anulabilidad el incumplimiento de las circunstancias y requisitos exigidos para la modificación de los contratos sujetos a este real decreto-ley, o la realización de encargos para la ejecución directa de prestaciones a través de medios propios o la celebración de contratos con empresas asociadas o conjuntas cuando no se cumplan los requisitos para</w:t>
      </w:r>
      <w:r>
        <w:rPr>
          <w:spacing w:val="-4"/>
        </w:rPr>
        <w:t> </w:t>
      </w:r>
      <w:r>
        <w:rPr/>
        <w:t>ello.</w:t>
      </w:r>
    </w:p>
    <w:p>
      <w:pPr>
        <w:pStyle w:val="BodyText"/>
        <w:spacing w:line="249" w:lineRule="auto" w:before="9"/>
        <w:ind w:right="1271"/>
      </w:pPr>
      <w:r>
        <w:rPr/>
        <w:t>Por último, el título VIII del Libro primero establece las obligaciones de información y organización administrativa en este ámbito, lo que supone un incremento de las funciones de control en la contratación pública por parte de la Administración, en línea con lo dispuesto dentro de la Ley 9/2017, de 8 de noviembre, correspondiendo este control a la Comisión Europea, que lo ejercerá gracias a la información que sobre contratos le facilite la Junta Consultiva de Contratación Pública del Estado. Por último, en lo que respecta al esquema de tres órganos colegiados con competencias en materia de contratación pública que establece la Ley 9/2017, de 8 de noviembre, y que está integrado por la Junta Consultiva de Contratación Pública del Estado, por el Comité de Cooperación en materia de contratación pública y por la Oficina Independiente de Regulación y de Supervisión de la Contratación, el real decreto-ley aclara que todos ellos extienden sus respectivas competencias para abarcar la contratación sujeta a este real decreto-ley.</w:t>
      </w:r>
    </w:p>
    <w:p>
      <w:pPr>
        <w:pStyle w:val="BodyText"/>
        <w:spacing w:before="6"/>
        <w:ind w:left="0" w:firstLine="0"/>
        <w:jc w:val="left"/>
        <w:rPr>
          <w:sz w:val="14"/>
        </w:rPr>
      </w:pPr>
    </w:p>
    <w:p>
      <w:pPr>
        <w:pStyle w:val="BodyText"/>
        <w:spacing w:before="127"/>
        <w:ind w:left="2930" w:right="3127" w:firstLine="0"/>
        <w:jc w:val="center"/>
      </w:pPr>
      <w:r>
        <w:rPr/>
        <w:t>IV</w:t>
      </w:r>
    </w:p>
    <w:p>
      <w:pPr>
        <w:pStyle w:val="BodyText"/>
        <w:spacing w:line="249" w:lineRule="auto" w:before="130"/>
        <w:ind w:right="1272"/>
      </w:pPr>
      <w:r>
        <w:rPr/>
        <w:t>En lo relativo a materia de seguros, el título I del Libro segundo del real decreto-ley que transpone la Directiva (UE) 2016/97 del Parlamento Europeo y del Consejo, de 20 de enero de 2016, sobre la distribución de seguros, consta de cuatro capítulos.</w:t>
      </w:r>
    </w:p>
    <w:p>
      <w:pPr>
        <w:pStyle w:val="BodyText"/>
        <w:spacing w:line="249" w:lineRule="auto"/>
        <w:ind w:right="1274"/>
      </w:pPr>
      <w:r>
        <w:rPr/>
        <w:t>La disparidad de disposiciones nacionales relativas a la distribución de seguros y reaseguros, junto con la necesidad de facilitar el ejercicio de esta actividad, hizo necesario que, mediante la Directiva (UE) 2016/97, del Parlamento Europeo y del Consejo, de 20 de enero de 2016, sobre la distribución de seguros, se introdujeran una serie de modificaciones en la Directiva 2002/92/CE del Parlamento Europeo y del Consejo, de 9 de diciembre de 2002, sobre la mediación en seguros.</w:t>
      </w:r>
    </w:p>
    <w:p>
      <w:pPr>
        <w:pStyle w:val="BodyText"/>
        <w:spacing w:line="249" w:lineRule="auto" w:before="5"/>
        <w:ind w:right="1272"/>
      </w:pPr>
      <w:r>
        <w:rPr/>
        <w:t>La incorporación de la mencionada Directiva al ordenamiento jurídico español hacía imprescindible introducir importantes modificaciones en la Ley 26/2006, de 17 de julio, de mediación de seguros y reaseguros privados. Esta circunstancia, así como la necesidad de fortalecer las obligaciones de información en la distribución de productos de inversión basados en seguros, entre otros, aconsejaron la elaboración de una nueva norma con rango de ley que sustituyese a la Ley 26/2006, de 17 de julio, con el objetivo de establecer unas condiciones de competencia equitativas entre los distintos canales de distribución, de tal manera que los clientes puedan beneficiarse de normas comparables, con el consiguiente aumento de su protección.</w:t>
      </w:r>
    </w:p>
    <w:p>
      <w:pPr>
        <w:pStyle w:val="BodyText"/>
        <w:spacing w:line="249" w:lineRule="auto" w:before="7"/>
        <w:ind w:right="1272"/>
      </w:pPr>
      <w:r>
        <w:rPr/>
        <w:t>El capítulo I establece el objeto, que tiene como finalidad principal garantizar la protección de los derechos de los tomadores, asegurados y beneficiarios por contrato de seguro, así como promover la libertad en la contratación de productos de naturaleza aseguradora. Dicho capítulo también incluye las definiciones que son aplicables en el título I del Libro segundo del real decreto-ley, el ámbito objetivo y subjetivo de su aplicación, y la obligación de registro de los distribuidores de seguros y de</w:t>
      </w:r>
      <w:r>
        <w:rPr>
          <w:spacing w:val="-14"/>
        </w:rPr>
        <w:t> </w:t>
      </w:r>
      <w:r>
        <w:rPr/>
        <w:t>reaseguros.</w:t>
      </w:r>
    </w:p>
    <w:p>
      <w:pPr>
        <w:pStyle w:val="BodyText"/>
        <w:spacing w:line="249" w:lineRule="auto" w:before="5"/>
        <w:ind w:right="1271"/>
      </w:pPr>
      <w:r>
        <w:rPr/>
        <w:t>Con la finalidad de garantizar el mismo nivel de protección a los usuarios de seguros, se define la figura del mediador de seguros complementarios, entendiendo por tal todo mediador de seguros, persona física o jurídica distinta de una entidad de crédito o de una empresa de inversión que, a cambio de una remuneración, realice una actividad de distribución de seguros con carácter complementario, siempre y cuando la actividad profesional</w:t>
      </w:r>
      <w:r>
        <w:rPr>
          <w:spacing w:val="23"/>
        </w:rPr>
        <w:t> </w:t>
      </w:r>
      <w:r>
        <w:rPr/>
        <w:t>principal</w:t>
      </w:r>
      <w:r>
        <w:rPr>
          <w:spacing w:val="24"/>
        </w:rPr>
        <w:t> </w:t>
      </w:r>
      <w:r>
        <w:rPr/>
        <w:t>de</w:t>
      </w:r>
      <w:r>
        <w:rPr>
          <w:spacing w:val="23"/>
        </w:rPr>
        <w:t> </w:t>
      </w:r>
      <w:r>
        <w:rPr/>
        <w:t>dicha</w:t>
      </w:r>
      <w:r>
        <w:rPr>
          <w:spacing w:val="24"/>
        </w:rPr>
        <w:t> </w:t>
      </w:r>
      <w:r>
        <w:rPr/>
        <w:t>persona</w:t>
      </w:r>
      <w:r>
        <w:rPr>
          <w:spacing w:val="23"/>
        </w:rPr>
        <w:t> </w:t>
      </w:r>
      <w:r>
        <w:rPr/>
        <w:t>sea</w:t>
      </w:r>
      <w:r>
        <w:rPr>
          <w:spacing w:val="24"/>
        </w:rPr>
        <w:t> </w:t>
      </w:r>
      <w:r>
        <w:rPr/>
        <w:t>distinta</w:t>
      </w:r>
      <w:r>
        <w:rPr>
          <w:spacing w:val="23"/>
        </w:rPr>
        <w:t> </w:t>
      </w:r>
      <w:r>
        <w:rPr/>
        <w:t>de</w:t>
      </w:r>
      <w:r>
        <w:rPr>
          <w:spacing w:val="24"/>
        </w:rPr>
        <w:t> </w:t>
      </w:r>
      <w:r>
        <w:rPr/>
        <w:t>la</w:t>
      </w:r>
      <w:r>
        <w:rPr>
          <w:spacing w:val="23"/>
        </w:rPr>
        <w:t> </w:t>
      </w:r>
      <w:r>
        <w:rPr/>
        <w:t>de</w:t>
      </w:r>
      <w:r>
        <w:rPr>
          <w:spacing w:val="24"/>
        </w:rPr>
        <w:t> </w:t>
      </w:r>
      <w:r>
        <w:rPr/>
        <w:t>distribución</w:t>
      </w:r>
      <w:r>
        <w:rPr>
          <w:spacing w:val="24"/>
        </w:rPr>
        <w:t> </w:t>
      </w:r>
      <w:r>
        <w:rPr/>
        <w:t>de</w:t>
      </w:r>
      <w:r>
        <w:rPr>
          <w:spacing w:val="23"/>
        </w:rPr>
        <w:t> </w:t>
      </w:r>
      <w:r>
        <w:rPr/>
        <w:t>seguros</w:t>
      </w:r>
      <w:r>
        <w:rPr>
          <w:spacing w:val="24"/>
        </w:rPr>
        <w:t> </w:t>
      </w:r>
      <w:r>
        <w:rPr/>
        <w:t>y</w:t>
      </w:r>
      <w:r>
        <w:rPr>
          <w:spacing w:val="23"/>
        </w:rPr>
        <w:t> </w:t>
      </w:r>
      <w:r>
        <w:rPr/>
        <w:t>solo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distribuya determinados productos de seguro que sean complementarios de un bien o servicio. No podrán ofrecer la cobertura de seguro de vida o de responsabilidad civil, excepto cuando tenga carácter complementario al bien o servicio suministrado.</w:t>
      </w:r>
    </w:p>
    <w:p>
      <w:pPr>
        <w:pStyle w:val="BodyText"/>
        <w:spacing w:line="249" w:lineRule="auto"/>
        <w:ind w:right="1271"/>
      </w:pPr>
      <w:r>
        <w:rPr/>
        <w:t>El capítulo II se refiere a la distribución de competencias entre el Estado y las Comunidades Autónomas. Con el fin de lograr los objetivos de mejor protección de los tomadores, asegurados y beneficiarios, de conformidad con lo dispuesto en el artículo 149.1.6.ª, 11.ª y 13.ª de la Constitución Española, corresponde al Estado el alto control económico-financiero de las actividades de distribución de seguros y reaseguros privados. Para ello deberá mantenerse la necesaria cooperación entre el Estado y las Comunidades Autónomas que hayan asumido competencias en la ordenación de seguros, a los efectos de homogeneizar la información documental y coordinar sus actividades de supervisión. Asimismo, se regula el registro administrativo de distribuidores de seguros y reaseguros en el que deben inscribirse, con carácter previo al inicio de su actividad, los mediadores de seguros, los mediadores de seguros complementarios, los corredores de seguros y</w:t>
      </w:r>
      <w:r>
        <w:rPr>
          <w:spacing w:val="13"/>
        </w:rPr>
        <w:t> </w:t>
      </w:r>
      <w:r>
        <w:rPr/>
        <w:t>los corredores de</w:t>
      </w:r>
      <w:r>
        <w:rPr>
          <w:spacing w:val="-2"/>
        </w:rPr>
        <w:t> </w:t>
      </w:r>
      <w:r>
        <w:rPr/>
        <w:t>reaseguros.</w:t>
      </w:r>
    </w:p>
    <w:p>
      <w:pPr>
        <w:pStyle w:val="BodyText"/>
        <w:spacing w:line="249" w:lineRule="auto" w:before="10"/>
        <w:ind w:right="1273"/>
      </w:pPr>
      <w:r>
        <w:rPr/>
        <w:t>El capítulo III regula las actividades de los distribuidores de seguros y de reaseguros residentes o domiciliados en España, clasifica a los distribuidores de seguros, y regula por primera vez las condiciones para el ejercicio de la actividad de distribución de seguros y reaseguros realizada por las entidades aseguradoras y reaseguradoras, estableciendo que los empleados que formen parte de sus plantillas podrán promover la contratación de seguros y de reaseguros a favor de la entidad de la que dependan, considerándose que dichos productos son distribuidos directamente por la entidad. Asimismo, las entidades aseguradoras y reaseguradoras deberán disponer de un registro interno, que estará sometido al control de la Dirección General de Seguros y Fondos de Pensiones, en el que constarán inscritos los empleados que participen directamente en actividades de distribución, así como la persona responsable de la actividad de distribución, o, en su caso, las personas que forman parte del órgano de dirección responsable de la actividad de distribución. De igual forma, las entidades aseguradoras y reaseguradoras estarán obligadas a crear una función que garantice una correcta ejecución de las políticas y procedimientos internos establecidos para monitorizar el cumplimiento de los</w:t>
      </w:r>
      <w:r>
        <w:rPr>
          <w:spacing w:val="-8"/>
        </w:rPr>
        <w:t> </w:t>
      </w:r>
      <w:r>
        <w:rPr/>
        <w:t>requisitos.</w:t>
      </w:r>
    </w:p>
    <w:p>
      <w:pPr>
        <w:pStyle w:val="BodyText"/>
        <w:spacing w:line="249" w:lineRule="auto" w:before="12"/>
        <w:ind w:right="1273"/>
      </w:pPr>
      <w:r>
        <w:rPr/>
        <w:t>Adicionalmente, se establece el régimen general para el ejercicio de la actividad aplicable a los agentes de seguros, detallando posteriormente los requisitos particulares que les son exigibles según adopten la forma de agente de seguros exclusivo o agente de seguros vinculado. En el caso de los agentes de seguros exclusivos, la entidad aseguradora podrá autorizar al mismo la celebración de otro contrato de agencia distinto con otra entidad aseguradora, en los términos acordados por las partes, y sin perjuicio de los acuerdos de cesión de redes de agentes exclusivos. También se define y desarrolla las figuras de los operadores de banca-seguros, los corredores de seguros y los distribuidores de reaseguros, ya se trate de empleados de entidades reaseguradoras o de corredores de</w:t>
      </w:r>
      <w:r>
        <w:rPr>
          <w:spacing w:val="-18"/>
        </w:rPr>
        <w:t> </w:t>
      </w:r>
      <w:r>
        <w:rPr/>
        <w:t>reaseguros.</w:t>
      </w:r>
    </w:p>
    <w:p>
      <w:pPr>
        <w:pStyle w:val="BodyText"/>
        <w:spacing w:line="249" w:lineRule="auto" w:before="8"/>
        <w:ind w:right="1273"/>
      </w:pPr>
      <w:r>
        <w:rPr/>
        <w:t>Se recogen igualmente en este capítulo aspectos tan relevantes para el ejercicio de la actividad como son los cursos de formación de los distribuidores de seguros y de reaseguros, los mecanismos de resolución de conflictos y la protección administrativa de los usuarios de</w:t>
      </w:r>
      <w:r>
        <w:rPr>
          <w:spacing w:val="-3"/>
        </w:rPr>
        <w:t> </w:t>
      </w:r>
      <w:r>
        <w:rPr/>
        <w:t>seguros.</w:t>
      </w:r>
    </w:p>
    <w:p>
      <w:pPr>
        <w:pStyle w:val="BodyText"/>
        <w:spacing w:line="249" w:lineRule="auto" w:before="3"/>
        <w:ind w:right="1273"/>
      </w:pPr>
      <w:r>
        <w:rPr/>
        <w:t>Entre las principales novedades introducidas por el capítulo III se encuentra la regulación exhaustiva del deber de información al cliente de productos de seguros, detallándose la información general previa a proporcionar por la entidad aseguradora, la información previa que debe facilitar el mediador de seguros, la información y asesoramiento previos a la suscripción del contrato de seguro, y el documento de información previa en el contrato de seguro distinto al seguro de vida. Al respecto, es importante destacar las diferencias entre venta informada, entendida como aquella que se realiza conforme a las exigencias y necesidades del cliente, basándose en informaciones obtenidas del mismo, y que busca facilitarle información objetiva y comprensible del producto de seguro para que el cliente pueda tomar una decisión fundada; y venta asesorada, entendida como aquella que se basa en la existencia de una recomendación personalizada hecha al cliente, a petición de este o a iniciativa del distribuidor de seguros, respecto de uno o más contratos de seguro.</w:t>
      </w:r>
    </w:p>
    <w:p>
      <w:pPr>
        <w:pStyle w:val="BodyText"/>
        <w:spacing w:line="249" w:lineRule="auto" w:before="10"/>
        <w:ind w:right="1272"/>
      </w:pPr>
      <w:r>
        <w:rPr/>
        <w:t>Un aspecto importante lo constituye la obligación del distribuidor de seguros de informar al cliente, antes de la celebración del contrato de seguro, acerca de la naturaleza de la remuneración recibida en relación con el mismo. Esta obligación se completa, para el caso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1" w:firstLine="0"/>
      </w:pPr>
      <w:r>
        <w:rPr/>
        <w:t>de los mediadores de seguros, con la obligación de informar si, en relación con el contrato, trabajan a cambio de un honorario, de una comisión, de cualquier otro tipo de remuneración, incluida cualquier posible ventaja económica ofrecida u otorgada en relación con el contrato de seguro, o sobre la base de una combinación de cualquiera de los tipos de remuneración. Cuando el cliente acuerde por escrito con el mediador de seguros el abono de honorarios, este informará al cliente del importe de los mismos o, cuando ello no sea posible, el método para calcularlos.</w:t>
      </w:r>
    </w:p>
    <w:p>
      <w:pPr>
        <w:pStyle w:val="BodyText"/>
        <w:spacing w:line="249" w:lineRule="auto" w:before="5"/>
        <w:ind w:right="1272"/>
      </w:pPr>
      <w:r>
        <w:rPr/>
        <w:t>A mayor abundamiento, y con la finalidad primordial de proteger a los clientes, las entidades aseguradoras y los mediadores de seguros ofrecerán a los clientes de productos de inversión basados en seguros, orientaciones y advertencias sobre los riesgos conexos a dichos productos o a determinadas estrategias de inversión propuestas, información sobre todos los costes y gastos asociados y, en su caso, un análisis de idoneidad, garantizando de esta forma la adecuación del producto de seguro al cliente, de tal manera que se ajuste, entre otros aspectos, a su nivel de tolerancia al riesgo y a su capacidad para soportar pérdidas. Para ello, las entidades aseguradoras y los mediadores, cuando lleven a cabo actividades de distribución de seguros realizando labores de asesoramiento, deberán recabar información sobre los conocimientos financieros y experiencia del cliente, su situación financiera y los objetivos de inversión perseguidos. En el caso de no ofrecer asesoramiento, deberán, como mínimo, obtener información sobre los conocimientos y experiencia del cliente, excepto cuando se cumplan todas las condiciones exigidas en el real decreto-ley que permitan realizar la distribución de seguros mediante venta en ejecución. En cualquier caso, si el mediador de seguros o la entidad aseguradora consideran que el producto no es adecuado para el cliente, le advertirán de</w:t>
      </w:r>
      <w:r>
        <w:rPr>
          <w:spacing w:val="-15"/>
        </w:rPr>
        <w:t> </w:t>
      </w:r>
      <w:r>
        <w:rPr/>
        <w:t>ello.</w:t>
      </w:r>
    </w:p>
    <w:p>
      <w:pPr>
        <w:pStyle w:val="BodyText"/>
        <w:spacing w:line="249" w:lineRule="auto" w:before="13"/>
        <w:ind w:right="1273"/>
      </w:pPr>
      <w:r>
        <w:rPr/>
        <w:t>Al margen de las obligaciones genéricas de información, se establecen una serie de requisitos adicionales en relación con la distribución de productos de inversión basados en seguros, buscando evitar o, en su caso, prevenir, potenciales conflictos de interés. Para ello, las entidades aseguradoras y los mediadores de seguros deberán adoptar medidas organizativas eficaces destinadas a detectar e impedir que estas perjudiquen los intereses de sus clientes. Igualmente, deberán informar a los mismos, con suficiente antelación a la celebración del contrato de seguro, de aquellas situaciones en las que las medidas no sean suficientes para evitar los riesgos de</w:t>
      </w:r>
      <w:r>
        <w:rPr>
          <w:spacing w:val="-5"/>
        </w:rPr>
        <w:t> </w:t>
      </w:r>
      <w:r>
        <w:rPr/>
        <w:t>conflicto.</w:t>
      </w:r>
    </w:p>
    <w:p>
      <w:pPr>
        <w:pStyle w:val="BodyText"/>
        <w:spacing w:line="249" w:lineRule="auto" w:before="7"/>
        <w:ind w:right="1272"/>
      </w:pPr>
      <w:r>
        <w:rPr/>
        <w:t>El título I del Libro segundo del real decreto-ley regula en el ámbito asegurador las prácticas de ventas combinadas y vinculadas, estableciendo la obligación para el distribuidor de seguros de informar al cliente, cuando el contrato de seguro se ofrezca conjuntamente con servicios o productos auxiliares, si los distintos componentes pueden adquirirse separadamente, y los correspondientes justificantes de los costes y gastos de cada componente. Se ahonda en la protección al usuario de seguros al señalar que, cuando un contrato de seguro sea auxiliar a un bien o servicio que no sea de seguros, como parte de un paquete o del mismo acuerdo, el distribuidor de seguros deberá ofrecer al cliente la posibilidad de adquirir el bien o servicio por separado, salvo que sea complementario de un servicio o producto de inversión de los previstos expresamente, pudiendo prohibir la comercialización de determinados productos la Dirección General de Seguros y Fondos de Pensiones, cuando considere que se vulneran los derechos de los usuarios de seguros. En cualquier caso, la entidad aseguradora o el mediador de seguros deberán determinar las exigencias y las necesidades del cliente respecto de los contratos de seguro que forman parte del conjunto del mismo paquete o</w:t>
      </w:r>
      <w:r>
        <w:rPr>
          <w:spacing w:val="-7"/>
        </w:rPr>
        <w:t> </w:t>
      </w:r>
      <w:r>
        <w:rPr/>
        <w:t>acuerdo.</w:t>
      </w:r>
    </w:p>
    <w:p>
      <w:pPr>
        <w:pStyle w:val="BodyText"/>
        <w:spacing w:line="249" w:lineRule="auto" w:before="12"/>
        <w:ind w:right="1273"/>
      </w:pPr>
      <w:r>
        <w:rPr/>
        <w:t>Se refuerzan los requisitos en el diseño, aprobación y control de productos y en materia de gobernanza. Así, con carácter previo a su comercialización, y de manera proporcional a la naturaleza del producto de seguro, los distribuidores de seguros que diseñen productos para su venta deberán elaborar, mantener y revisar un proceso de aprobación para cada uno de los productos, así como para las modificaciones significativas que estos pudieran sufrir con el paso del tiempo. En el proceso se especificará el mercado al que se destina el producto, se evaluarán todos los riesgos para dicho mercado y se adoptarán medidas para garantizar que el producto se distribuye en el mercado destinatario definido. Los productos de seguro comercializados deberán ser objeto de revisiones periódicas, teniendo en cuenta cualquier hecho que pudiera afectar sustancialmente al riesgo potencial para el mercado destinatario definido, evaluando, al menos, si el producto sigue respondiendo a las necesidades de dicho mercado y si la estrategia de distribución prevista continúa siendo la</w:t>
      </w:r>
      <w:r>
        <w:rPr>
          <w:spacing w:val="-19"/>
        </w:rPr>
        <w:t> </w:t>
      </w:r>
      <w:r>
        <w:rPr/>
        <w:t>adecuada.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En consonancia con el aumento de la información a los usuarios de seguros, los distribuidores que diseñen sus propios productos de seguros pondrán a disposición de los comercializadores la información adecuada sobre estos y sobre su proceso de aprobación, incluyendo el mercado destinatario previsto.</w:t>
      </w:r>
    </w:p>
    <w:p>
      <w:pPr>
        <w:pStyle w:val="BodyText"/>
        <w:spacing w:line="249" w:lineRule="auto" w:before="3"/>
        <w:ind w:right="1271"/>
      </w:pPr>
      <w:r>
        <w:rPr/>
        <w:t>Se incluyen en el capítulo III las competencias de ordenación y supervisión, el deber de secreto profesional y el de colaboración con otros supervisores, la responsabilidad frente a la Administración y el régimen de infracciones y sanciones. Este último se refuerza, en particular fijando unas sanciones de carácter pecuniario adaptadas y en línea con el marco general establecido por la Directiva (UE) 2016/97 del Parlamento Europeo y del Consejo, de 20 de enero de 2016. Finaliza el capítulo con las normas sobre la protección de datos de carácter personal y una referencia a los Colegios de mediadores de seguros y su Consejo General.</w:t>
      </w:r>
    </w:p>
    <w:p>
      <w:pPr>
        <w:pStyle w:val="BodyText"/>
        <w:spacing w:line="249" w:lineRule="auto" w:before="6"/>
        <w:ind w:right="1272"/>
      </w:pPr>
      <w:r>
        <w:rPr/>
        <w:t>El capítulo IV se refiere a la actividad en España de los distribuidores de seguros y de reaseguros residentes o domiciliados en otros Estados miembros de la Unión Europea. En aras igualmente de incrementar la protección al usuario de seguros, se establece que las disposiciones sobre obligaciones de información y normas de conducta previstas en este real decreto-ley, tendrán en todo caso la consideración de normas de interés general, debiendo ser observadas por aquellos distribuidores residentes o domiciliados en otros Estados miembros de la Unión Europea cuando distribuyan productos de seguros en territorio español.</w:t>
      </w:r>
    </w:p>
    <w:p>
      <w:pPr>
        <w:pStyle w:val="BodyText"/>
        <w:spacing w:before="3"/>
        <w:ind w:left="0" w:firstLine="0"/>
        <w:jc w:val="left"/>
        <w:rPr>
          <w:sz w:val="14"/>
        </w:rPr>
      </w:pPr>
    </w:p>
    <w:p>
      <w:pPr>
        <w:pStyle w:val="BodyText"/>
        <w:spacing w:before="126"/>
        <w:ind w:left="0" w:right="198" w:firstLine="0"/>
        <w:jc w:val="center"/>
      </w:pPr>
      <w:r>
        <w:rPr/>
        <w:t>V</w:t>
      </w:r>
    </w:p>
    <w:p>
      <w:pPr>
        <w:pStyle w:val="BodyText"/>
        <w:spacing w:line="249" w:lineRule="auto" w:before="131"/>
        <w:ind w:right="1272"/>
      </w:pPr>
      <w:r>
        <w:rPr/>
        <w:t>El título II del Libro segundo transpone parcialmente la Directiva (UE) 2016/2341 del Parlamento Europeo y del Consejo, de 14 de diciembre de 2016, relativa a las actividades y la supervisión de los fondos de pensiones de empleo.</w:t>
      </w:r>
    </w:p>
    <w:p>
      <w:pPr>
        <w:pStyle w:val="BodyText"/>
        <w:spacing w:line="249" w:lineRule="auto"/>
        <w:ind w:right="1272"/>
      </w:pPr>
      <w:r>
        <w:rPr/>
        <w:t>La Directiva 2003/41/CE del Parlamento Europeo y del Consejo, de 3 de junio de 2003, relativa a las actividades y supervisión de los fondos de pensiones de empleo, estableció  una armonización mínima en orden a las actividades transfronterizas de dichos fondos y representó el primer paso normativo en el camino hacia un mercado interior de la previsión ocupacional para la jubilación, que sigue siendo crucial para el crecimiento económico y la creación de empleo en la Unión Europea y para hacer frente al envejecimiento de la sociedad.</w:t>
      </w:r>
    </w:p>
    <w:p>
      <w:pPr>
        <w:pStyle w:val="BodyText"/>
        <w:spacing w:line="249" w:lineRule="auto" w:before="6"/>
        <w:ind w:right="1271"/>
      </w:pPr>
      <w:r>
        <w:rPr/>
        <w:t>La Directiva (UE) 2016/2341 del Parlamento Europeo y del Consejo, de 14 de diciembre de 2016, constituye una versión refundida de la originaria Directiva 2003/41/CE del Parlamento Europeo y del Consejo, de 3 de junio de 2003, a la cual deroga, y a la vez introduce novedades y modificaciones, especialmente en las siguientes materias: procedimiento para iniciar una actividad transfronteriza de los fondos de pensiones de empleo y transferencias transfronterizas de planes de pensiones de empleo entre fondos, normas de inversión aplicables, sistema de gobierno, externalización de funciones, información a los potenciales partícipes, a los partícipes y a los beneficiarios y supervisión prudencial.</w:t>
      </w:r>
    </w:p>
    <w:p>
      <w:pPr>
        <w:pStyle w:val="BodyText"/>
        <w:spacing w:line="249" w:lineRule="auto" w:before="7"/>
        <w:ind w:right="1273"/>
      </w:pPr>
      <w:r>
        <w:rPr/>
        <w:t>Este título consta de un artículo, con 38 apartados, que modifica el texto refundido de la Ley de Regulación de los Planes y Fondos de Pensiones, aprobado por el Real Decreto Legislativo 1/2002, de 29 de noviembre, con el objetivo de transponer las novedades de la Directiva (UE) 2016/2341 del Parlamento Europeo y del Consejo, de 14 de diciembre de 2016, que afectan a la regulación contenida en dicha ley, realizándose asimismo algunas modificaciones puntuales de mejora de la sistemática normativa y de actualización de referencias a normas de la Unión Europea.</w:t>
      </w:r>
    </w:p>
    <w:p>
      <w:pPr>
        <w:pStyle w:val="BodyText"/>
        <w:spacing w:line="249" w:lineRule="auto" w:before="6"/>
        <w:ind w:right="1273"/>
      </w:pPr>
      <w:r>
        <w:rPr/>
        <w:t>Una de las principales finalidades de la norma es garantizar un elevado nivel de protección y seguridad a los partícipes y beneficiarios de los planes de pensiones.</w:t>
      </w:r>
    </w:p>
    <w:p>
      <w:pPr>
        <w:pStyle w:val="BodyText"/>
        <w:spacing w:line="249" w:lineRule="auto" w:before="1"/>
        <w:ind w:right="1273"/>
      </w:pPr>
      <w:r>
        <w:rPr/>
        <w:t>En materia de información a los potenciales partícipes, a los partícipes y a los beneficiarios, la Directiva (UE) 2016/2341 del Parlamento Europeo y del Consejo, de 14 de diciembre de 2016, establece en su título IV una regulación más detallada respecto de la previa Directiva 2003/41/CE del Parlamento Europeo y del Consejo, de 3 de junio de 2003, al objeto de garantizar un elevado nivel de transparencia respecto de la información que debe proporcionarse a aquellos durante todas las fases de un plan de pensiones, en especial, sobre los derechos de pensión devengados, el nivel previsto de las prestaciones de</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jubilación, los riesgos y garantías y los costes. Para ello se introduce un nuevo artículo 10 bis en el texto refundido de la Ley de Regulación de los Planes y Fondos de Pensiones, relativo a los principios generales que rigen la información (entre otros, actualización, claridad y gratuidad para los partícipes), e incluye, a fin de completar la transposición, una habilitación para su desarrollo</w:t>
      </w:r>
      <w:r>
        <w:rPr>
          <w:spacing w:val="-3"/>
        </w:rPr>
        <w:t> </w:t>
      </w:r>
      <w:r>
        <w:rPr/>
        <w:t>reglamentario.</w:t>
      </w:r>
    </w:p>
    <w:p>
      <w:pPr>
        <w:pStyle w:val="BodyText"/>
        <w:spacing w:line="249" w:lineRule="auto" w:before="4"/>
        <w:ind w:right="1272"/>
      </w:pPr>
      <w:r>
        <w:rPr/>
        <w:t>La Directiva (UE) 2016/2341 del Parlamento Europeo y del Consejo, de 14 de diciembre de 2016, dedica su título V a la supervisión prudencial por las autoridades competentes, señalando en su artículo 45, como objetivos principales, la protección de los derechos de los partícipes y beneficiarios y la garantía de estabilidad y la solvencia de los fondos de pensiones de empleo. Para lo cual los Estados miembros velarán para que las autoridades competentes dispongan de los medios necesarios y de los conocimientos, capacidades y mandato pertinentes. Su transposición se realiza mediante ciertos ajustes y nuevos artículos en el capítulo VII del texto refundido de la Ley de Regulación de los Planes y Fondos de Pensiones.</w:t>
      </w:r>
    </w:p>
    <w:p>
      <w:pPr>
        <w:pStyle w:val="BodyText"/>
        <w:spacing w:line="249" w:lineRule="auto" w:before="7"/>
        <w:ind w:right="1272"/>
      </w:pPr>
      <w:r>
        <w:rPr/>
        <w:t>Con el fin de reducir la inseguridad jurídica generada por el hecho de que un fondo de pensiones deba cumplir la normativa prudencial de su Estado miembro de origen y, al mismo tiempo, la legislación social y laboral del Estado miembro de acogida, mediante esta transposición se aclaran los ámbitos que se consideran parte de la supervisión prudencial en aras a la mejor protección de partícipes y beneficiarios y se enumeran las materias objeto de esta, que engloban, entre otras, las provisiones técnicas y su financiación, la exigencia de margen de solvencia, las normas de inversión, la gestión de inversiones, el sistema de gobierno y la información que debe proporcionarse a los partícipes y beneficiarios.</w:t>
      </w:r>
    </w:p>
    <w:p>
      <w:pPr>
        <w:pStyle w:val="BodyText"/>
        <w:spacing w:line="249" w:lineRule="auto" w:before="7"/>
        <w:ind w:right="1273"/>
      </w:pPr>
      <w:r>
        <w:rPr/>
        <w:t>El título II del Libro segundo introduce asimismo la regulación general del sistema de gobierno, fortaleciendo la gobernanza y adaptándola al nuevo esquema de la Directiva (UE) 2016/2341 del Parlamento Europeo y del Consejo, de 14 de diciembre de 2016. Para ello modifica el título y contenido del capítulo VIII del texto refundido de la Ley de Regulación de los Planes y Fondos de Pensiones, aprobado por el Real Decreto Legislativo 1/2002, de 29 de noviembre, que contenía disposiciones de carácter fiscal de los planes y fondos de pensiones. Dicho capítulo VIII pasa a denominarse Sistema de gobierno y consta de nueve artículos, del 27 al 30 sexies.</w:t>
      </w:r>
    </w:p>
    <w:p>
      <w:pPr>
        <w:pStyle w:val="BodyText"/>
        <w:spacing w:line="249" w:lineRule="auto" w:before="6"/>
        <w:ind w:right="1274"/>
      </w:pPr>
      <w:r>
        <w:rPr/>
        <w:t>El artículo 2.1 de la Directiva (UE) 2016/2341 del Parlamento Europeo y del Consejo, de 14 de diciembre de 2016, dispone que la misma se aplicará a los fondos de pensiones de empleo, si bien, cuando, de acuerdo con la legislación nacional, los fondos carezcan de personalidad jurídica, los Estados miembros la aplicarán a los fondos de pensiones o a las entidades autorizadas responsables de gestionarlos y de actuar en su nombre. En este real decreto-ley se opta debido a su positivo impacto en la protección de partícipes y beneficiarios por que el sistema de gobierno en su conjunto abarque también la gestión de los fondos de pensiones personales, que desarrollan planes de pensiones del sistema individual y asociado, salvo algunos aspectos concretos limitados a los fondos de</w:t>
      </w:r>
      <w:r>
        <w:rPr>
          <w:spacing w:val="-40"/>
        </w:rPr>
        <w:t> </w:t>
      </w:r>
      <w:r>
        <w:rPr/>
        <w:t>empleo.</w:t>
      </w:r>
    </w:p>
    <w:p>
      <w:pPr>
        <w:pStyle w:val="BodyText"/>
        <w:spacing w:line="249" w:lineRule="auto" w:before="8"/>
        <w:ind w:right="1271"/>
      </w:pPr>
      <w:r>
        <w:rPr/>
        <w:t>Fortaleciendo el sistema de gobierno regula también las funciones clave de las que deberán disponer las entidades gestoras de fondos de pensiones de forma proporcionada a su tamaño y su organización interna y a sus actividades. Estas comprenderán la función de gestión de riesgos, la de auditoría interna y, en su caso, una función actuarial cuando la entidad gestora preste servicios actuariales respecto de los planes de pensiones. Esta última función se regula dentro del ámbito de los servicios actuariales requeridos para el funcionamiento del plan de pensiones, correspondiendo a la comisión de control la selección de los prestadores de dichos servicios.</w:t>
      </w:r>
    </w:p>
    <w:p>
      <w:pPr>
        <w:pStyle w:val="BodyText"/>
        <w:spacing w:line="249" w:lineRule="auto" w:before="6"/>
        <w:ind w:right="1271"/>
      </w:pPr>
      <w:r>
        <w:rPr/>
        <w:t>Este mismo título transpone el artículo 31 de la Directiva (UE) 2016/2341 del Parlamento Europeo y del Consejo, de 14 de diciembre de 2016, que autoriza a los Estados miembros a permitir que los fondos de pensiones registrados o autorizados en su territorio encomienden cualesquiera actividades, incluidas las funciones clave, en su totalidad o en parte, a prestadores de servicios que actúen en su nombre. No obstante, establece los requisitos a los que debe ajustarse tal externalización, entre ellos, la necesidad de un acuerdo escrito con el prestador de servicios que determine claramente las obligaciones y derechos de las partes y, si se trata de externalizar funciones clave, la comunicación a la autoridad competente antes de la firma del acuerdo. La externalización en ningún caso trasladará la responsabilidad de la entidad gestora respecto del cumplimiento de sus obligaciones</w:t>
      </w:r>
      <w:r>
        <w:rPr>
          <w:spacing w:val="-40"/>
        </w:rPr>
        <w:t> </w:t>
      </w:r>
      <w:r>
        <w:rPr/>
        <w:t>legales.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Por otra parte, se modifican algunos preceptos del capítulo IX del texto refundido de la Ley de Regulación de los Planes y Fondos de Pensiones, relativos a las medidas de control especial y el régimen de infracciones y sanciones administrativas, para incorporar las deficiencias en el sistema de gobierno como causa de adopción de las citadas medidas y como nuevos tipos de infracciones administrativas.</w:t>
      </w:r>
    </w:p>
    <w:p>
      <w:pPr>
        <w:pStyle w:val="BodyText"/>
        <w:spacing w:line="249" w:lineRule="auto" w:before="4"/>
        <w:ind w:right="1272"/>
      </w:pPr>
      <w:r>
        <w:rPr/>
        <w:t>Por último, se han introducido modificaciones en el capítulo X del texto refundido de la Ley de Regulación de los Planes y Fondos de Pensiones, que regula la actividad trasfronteriza de los fondos de pensiones de empleo, por la cual, los planes de pensiones de empleo pueden ser gestionados en fondos de pensiones de empleo de cualesquiera Estados miembros. Se ha añadido una sección 4.ª nueva relativa a las transferencias  transfronterizas, integrada por tres artículos que regulan los aspectos generales y los procedimientos de transferencias en las que intervenga un fondo de pensiones de empleo autorizado y registrado en España como transferente o como</w:t>
      </w:r>
      <w:r>
        <w:rPr>
          <w:spacing w:val="-5"/>
        </w:rPr>
        <w:t> </w:t>
      </w:r>
      <w:r>
        <w:rPr/>
        <w:t>receptor.</w:t>
      </w:r>
    </w:p>
    <w:p>
      <w:pPr>
        <w:pStyle w:val="BodyText"/>
        <w:ind w:left="0" w:firstLine="0"/>
        <w:jc w:val="left"/>
        <w:rPr>
          <w:sz w:val="25"/>
        </w:rPr>
      </w:pPr>
    </w:p>
    <w:p>
      <w:pPr>
        <w:pStyle w:val="BodyText"/>
        <w:spacing w:before="0"/>
        <w:ind w:left="2930" w:right="3127" w:firstLine="0"/>
        <w:jc w:val="center"/>
      </w:pPr>
      <w:r>
        <w:rPr/>
        <w:t>VI</w:t>
      </w:r>
    </w:p>
    <w:p>
      <w:pPr>
        <w:pStyle w:val="BodyText"/>
        <w:spacing w:line="249" w:lineRule="auto" w:before="130"/>
        <w:ind w:right="1272"/>
      </w:pPr>
      <w:r>
        <w:rPr/>
        <w:t>El título III del Libro segundo del real decreto-ley transpone parcialmente la Directiva (UE) 2017/828 del Parlamento Europeo y del Consejo, de 17 de mayo de 2017, por la que se modifica la Directiva 2007/36/CE en lo que respecta al fomento de la implicación a largo plazo de los accionistas, en las materias que afectan directamente al sector</w:t>
      </w:r>
      <w:r>
        <w:rPr>
          <w:spacing w:val="-40"/>
        </w:rPr>
        <w:t> </w:t>
      </w:r>
      <w:r>
        <w:rPr/>
        <w:t>asegurador.</w:t>
      </w:r>
    </w:p>
    <w:p>
      <w:pPr>
        <w:pStyle w:val="BodyText"/>
        <w:spacing w:line="249" w:lineRule="auto" w:before="4"/>
        <w:ind w:right="1270"/>
      </w:pPr>
      <w:r>
        <w:rPr/>
        <w:t>Su transposición aportará mejoras en el ámbito del gobierno corporativo de las sociedades cotizadas en España, con la finalidad última de favorecer la financiación a largo plazo que reciben las sociedades a través de los mercados de capitales.</w:t>
      </w:r>
    </w:p>
    <w:p>
      <w:pPr>
        <w:pStyle w:val="BodyText"/>
        <w:spacing w:line="249" w:lineRule="auto"/>
        <w:ind w:right="1273"/>
      </w:pPr>
      <w:r>
        <w:rPr/>
        <w:t>Se trata de evitar presiones cortoplacistas en la gestión de las sociedades, de forma que se puedan tener en consideración objetivos de crecimiento y sostenibilidad a medio y largo plazo, lo cual resulta positivo para la propia empresa, el bienestar de grupos de interés distintos a los accionistas, como los trabajadores; y para la economía en general, mejorando su resistencia a las crisis y su potencial de crecimiento agregado.</w:t>
      </w:r>
    </w:p>
    <w:p>
      <w:pPr>
        <w:pStyle w:val="BodyText"/>
        <w:spacing w:line="249" w:lineRule="auto" w:before="4"/>
        <w:ind w:right="1273"/>
      </w:pPr>
      <w:r>
        <w:rPr/>
        <w:t>Considera esta directiva que, a menudo, los inversores institucionales y los gestores de activos no son transparentes ni sobre sus estrategias de inversión y políticas de implicación, ni sobre la aplicación de las mismas. La publicación de esta información podría tener un efecto positivo en la concienciación de los inversores, permitir a los beneficiarios finales, por ejemplo, futuros pensionistas, optimizar sus decisiones de inversión, facilitar el diálogo entre las sociedades y sus accionistas, fomentar la implicación de estos y mejorar su rendición de cuentas a los interesados y a la sociedad civil.</w:t>
      </w:r>
    </w:p>
    <w:p>
      <w:pPr>
        <w:pStyle w:val="BodyText"/>
        <w:spacing w:line="249" w:lineRule="auto" w:before="6"/>
        <w:ind w:right="1272"/>
      </w:pPr>
      <w:r>
        <w:rPr/>
        <w:t>En lo concerniente al sector asegurador, se procede para su transposición parcial a la modificación de la Ley 20/2015, de 14 de julio, de ordenación, supervisión y solvencia de entidades aseguradoras y reaseguradoras mediante la incorporación de dos nuevos artículos, 79 bis y 79 ter, relativos a la política de implicación y estrategia de inversión, que han de seguir las entidades aseguradoras autorizadas para operar en el ramo de vida así como las entidades reaseguradoras que cubran obligaciones de seguros de</w:t>
      </w:r>
      <w:r>
        <w:rPr>
          <w:spacing w:val="-15"/>
        </w:rPr>
        <w:t> </w:t>
      </w:r>
      <w:r>
        <w:rPr/>
        <w:t>vida.</w:t>
      </w:r>
    </w:p>
    <w:p>
      <w:pPr>
        <w:pStyle w:val="BodyText"/>
        <w:spacing w:line="249" w:lineRule="auto" w:before="5"/>
        <w:ind w:right="1274"/>
      </w:pPr>
      <w:r>
        <w:rPr/>
        <w:t>En otro orden de cosas, la Ley 20/2015, de 14 de julio, es objeto de modificación también para incluir el Acuerdo Bilateral entre la Unión Europea y los Estados Unidos de América sobre medidas prudenciales en materia de seguros y reaseguros.</w:t>
      </w:r>
    </w:p>
    <w:p>
      <w:pPr>
        <w:pStyle w:val="BodyText"/>
        <w:spacing w:line="249" w:lineRule="auto"/>
        <w:ind w:right="1273"/>
      </w:pPr>
      <w:r>
        <w:rPr/>
        <w:t>El artículo 9 del Acuerdo, relativo a su implementación, señala que «las Partes alentarán a las autoridades pertinentes a abstenerse de adoptar medidas que sean incompatibles con alguna de las condiciones u obligaciones del presente Acuerdo, en particular en relación con la eliminación de los requisitos relativos a las garantías reales y a la presencia local, de conformidad con el artículo 3».</w:t>
      </w:r>
    </w:p>
    <w:p>
      <w:pPr>
        <w:pStyle w:val="BodyText"/>
        <w:spacing w:line="249" w:lineRule="auto" w:before="4"/>
        <w:ind w:right="1273"/>
      </w:pPr>
      <w:r>
        <w:rPr/>
        <w:t>Si bien dicho Acuerdo, tras haber sido aprobado por la Decisión (UE) 2018/539 del Consejo de 20 de marzo de 2018 y una vez que ha entrado en vigor, ha pasado a formar parte del Derecho de la Unión Europea constituyendo, por tanto, norma inmediata y directamente aplicable en España, se ha estimado oportuno, en razón a la deseable claridad y al principio de buena regulación, modificar el artículo 64 de la Ley 20/2015, de 14 de julio, eliminando los requisitos relativos a la presencia local.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before="127"/>
        <w:ind w:left="2930" w:right="3127" w:firstLine="0"/>
        <w:jc w:val="center"/>
      </w:pPr>
      <w:r>
        <w:rPr/>
        <w:t>VII</w:t>
      </w:r>
    </w:p>
    <w:p>
      <w:pPr>
        <w:pStyle w:val="BodyText"/>
        <w:spacing w:line="249" w:lineRule="auto" w:before="130"/>
        <w:ind w:right="1271"/>
      </w:pPr>
      <w:r>
        <w:rPr/>
        <w:t>El Libro tercero en su título I prevé la transposición de la Directiva (UE) 2018/1910, del Consejo, de 4 de diciembre de 2018, por la que se modifica la Directiva 2006/112/CE en lo que se refiere a la armonización y la simplificación de determinadas normas del régimen del impuesto sobre el valor añadido en la imposición de los intercambios entre los Estados miembros, y la Directiva (UE) 2019/475 del Consejo, de 18 de febrero de 2019, por la que se modifican las Directivas 2006/112/CE y 2008/118/CE en lo que respecta a la inclusión del municipio italiano de Campione d’Italia y las aguas italianas del Lago de Lugano en el territorio aduanero de la Unión y en el ámbito de aplicación territorial de la Directiva 2008/118/CE.</w:t>
      </w:r>
    </w:p>
    <w:p>
      <w:pPr>
        <w:pStyle w:val="BodyText"/>
        <w:spacing w:line="249" w:lineRule="auto" w:before="7"/>
        <w:ind w:right="1272"/>
      </w:pPr>
      <w:r>
        <w:rPr/>
        <w:t>Con tal fin, se modifica la Ley 37/1992, de 28 de diciembre, del Impuesto sobre el Valor Añadido, la Ley 38/1992, de 28 de diciembre, de Impuestos Especiales, así como el Reglamento del Impuesto sobre el Valor Añadido, aprobado por el Real Decreto 1624/1992, de 29 de diciembre.</w:t>
      </w:r>
    </w:p>
    <w:p>
      <w:pPr>
        <w:pStyle w:val="BodyText"/>
        <w:spacing w:before="11"/>
        <w:ind w:left="0" w:firstLine="0"/>
        <w:jc w:val="left"/>
        <w:rPr>
          <w:sz w:val="13"/>
        </w:rPr>
      </w:pPr>
    </w:p>
    <w:p>
      <w:pPr>
        <w:pStyle w:val="BodyText"/>
        <w:spacing w:before="126"/>
        <w:ind w:left="2930" w:right="3127" w:firstLine="0"/>
        <w:jc w:val="center"/>
      </w:pPr>
      <w:r>
        <w:rPr/>
        <w:t>VIII</w:t>
      </w:r>
    </w:p>
    <w:p>
      <w:pPr>
        <w:pStyle w:val="BodyText"/>
        <w:spacing w:line="249" w:lineRule="auto" w:before="130"/>
        <w:ind w:right="1272"/>
      </w:pPr>
      <w:r>
        <w:rPr/>
        <w:t>El título II del Libro tercero transpone la Directiva (UE) 2017/1852 del Consejo de 10 de octubre de 2017, relativa a los mecanismos de resolución de litigios fiscales en la Unión Europea, armonizando así el marco de resolución de procedimientos amistosos y reforzando la seguridad jurídica. Con tal fin se lleva a cabo la modificación del texto refundido de la Ley del Impuesto sobre la Renta de no Residentes, aprobado por el Real Decreto Legislativo 5/2004, de 5 de marzo, así como de la Ley 29/1998, de 13 de julio, reguladora de la Jurisdicción Contencioso-administrativa.</w:t>
      </w:r>
    </w:p>
    <w:p>
      <w:pPr>
        <w:pStyle w:val="BodyText"/>
        <w:ind w:left="0" w:firstLine="0"/>
        <w:jc w:val="left"/>
        <w:rPr>
          <w:sz w:val="14"/>
        </w:rPr>
      </w:pPr>
    </w:p>
    <w:p>
      <w:pPr>
        <w:pStyle w:val="BodyText"/>
        <w:spacing w:before="127"/>
        <w:ind w:left="2930" w:right="3127" w:firstLine="0"/>
        <w:jc w:val="center"/>
      </w:pPr>
      <w:r>
        <w:rPr/>
        <w:t>IX</w:t>
      </w:r>
    </w:p>
    <w:p>
      <w:pPr>
        <w:pStyle w:val="BodyText"/>
        <w:spacing w:line="249" w:lineRule="auto" w:before="130"/>
        <w:ind w:right="1270"/>
      </w:pPr>
      <w:r>
        <w:rPr/>
        <w:t>El real decreto-ley consta asimismo de diecisiete disposiciones adicionales. En ellas se establece la cláusula de trato no menos favorable; el Impuesto sobre el Valor Añadido; Responsabilidad del personal al servicio de las entidades contratantes pertenecientes al Sector Público; Accesibilidad; Régimen jurídico aplicable a los contratos excluidos del ámbito de este real decreto-ley que se celebren por entidades del Sector Público; Actualización de cifras fijadas por la Unión Europea; Pagos directos a los subcontratistas; Remisión de contratos y de información al Comité Técnico de Cuentas Nacionales; Principios aplicables a los contratos de concesión de servicios del anexo I y a los contratos de servicios de carácter social, sanitario o educativo del anexo I; Autorizaciones del artículo 324 de la Ley 9/2017, de 8 de noviembre, de Contratos del Sector Público por la que se transponen al ordenamiento jurídico español las Directivas del Parlamento Europeo y del Consejo 2014/23/UE y 2014/24/UE, de 26 de febrero de 2014, la tasa por inscripción de los mediadores de seguros, mediadores de seguros complementarios, corredores de reaseguros, y de altos cargos de  los distribuidores de seguros y reaseguros en el registro administrativo de distribuidores de seguros y reaseguros; los requisitos y principios básicos de los programas de formación para los distribuidores de seguros y corredores de reaseguros y demás personas que participan en la distribución de los seguros y reaseguros privados; la conservación de  la documentación precontractual; la reasignación de recursos, establece que las obligaciones derivadas del cumplimiento de este real decreto-ley se atenderán mediante reasignación de los recursos ordinarios del Ministerio de Asuntos Económicos y Transformación Digital, sin requerir dotaciones adicionales, la adaptación a las normas del sistema de gobierno por parte de las entidades gestoras de fondos de pensiones, el régimen de puertos del Estado y de las autoridades portuarias en contratación y las normas específicas de contratación de servicios de carácter intelectual,</w:t>
      </w:r>
      <w:r>
        <w:rPr>
          <w:spacing w:val="-3"/>
        </w:rPr>
        <w:t> </w:t>
      </w:r>
      <w:r>
        <w:rPr/>
        <w:t>respectivamente.</w:t>
      </w:r>
    </w:p>
    <w:p>
      <w:pPr>
        <w:pStyle w:val="BodyText"/>
        <w:spacing w:line="249" w:lineRule="auto" w:before="19"/>
        <w:ind w:right="1274"/>
      </w:pPr>
      <w:r>
        <w:rPr/>
        <w:t>El real decreto-ley, además, contiene ocho disposiciones transitorias que regulan el tránsito al nuevo régimen jurídico, una disposición derogatoria única, dieciséis disposiciones finales y doce anexos.</w:t>
      </w:r>
    </w:p>
    <w:p>
      <w:pPr>
        <w:pStyle w:val="BodyText"/>
        <w:spacing w:line="249" w:lineRule="auto" w:before="3"/>
        <w:ind w:right="1272"/>
      </w:pPr>
      <w:r>
        <w:rPr/>
        <w:t>Las disposiciones finales prevén, de la primera a la quinta, modificaciones normativas. Asimismo, establecen una cláusula de salvaguardia, los títulos competenciales, disposiciones</w:t>
      </w:r>
      <w:r>
        <w:rPr>
          <w:spacing w:val="13"/>
        </w:rPr>
        <w:t> </w:t>
      </w:r>
      <w:r>
        <w:rPr/>
        <w:t>para</w:t>
      </w:r>
      <w:r>
        <w:rPr>
          <w:spacing w:val="14"/>
        </w:rPr>
        <w:t> </w:t>
      </w:r>
      <w:r>
        <w:rPr/>
        <w:t>la</w:t>
      </w:r>
      <w:r>
        <w:rPr>
          <w:spacing w:val="13"/>
        </w:rPr>
        <w:t> </w:t>
      </w:r>
      <w:r>
        <w:rPr/>
        <w:t>Comunidad</w:t>
      </w:r>
      <w:r>
        <w:rPr>
          <w:spacing w:val="14"/>
        </w:rPr>
        <w:t> </w:t>
      </w:r>
      <w:r>
        <w:rPr/>
        <w:t>Foral</w:t>
      </w:r>
      <w:r>
        <w:rPr>
          <w:spacing w:val="14"/>
        </w:rPr>
        <w:t> </w:t>
      </w:r>
      <w:r>
        <w:rPr/>
        <w:t>de</w:t>
      </w:r>
      <w:r>
        <w:rPr>
          <w:spacing w:val="13"/>
        </w:rPr>
        <w:t> </w:t>
      </w:r>
      <w:r>
        <w:rPr/>
        <w:t>Navarra</w:t>
      </w:r>
      <w:r>
        <w:rPr>
          <w:spacing w:val="14"/>
        </w:rPr>
        <w:t> </w:t>
      </w:r>
      <w:r>
        <w:rPr/>
        <w:t>y</w:t>
      </w:r>
      <w:r>
        <w:rPr>
          <w:spacing w:val="13"/>
        </w:rPr>
        <w:t> </w:t>
      </w:r>
      <w:r>
        <w:rPr/>
        <w:t>del</w:t>
      </w:r>
      <w:r>
        <w:rPr>
          <w:spacing w:val="14"/>
        </w:rPr>
        <w:t> </w:t>
      </w:r>
      <w:r>
        <w:rPr/>
        <w:t>País</w:t>
      </w:r>
      <w:r>
        <w:rPr>
          <w:spacing w:val="14"/>
        </w:rPr>
        <w:t> </w:t>
      </w:r>
      <w:r>
        <w:rPr/>
        <w:t>Vasco,</w:t>
      </w:r>
      <w:r>
        <w:rPr>
          <w:spacing w:val="13"/>
        </w:rPr>
        <w:t> </w:t>
      </w:r>
      <w:r>
        <w:rPr/>
        <w:t>legislación</w:t>
      </w:r>
      <w:r>
        <w:rPr>
          <w:spacing w:val="14"/>
        </w:rPr>
        <w:t> </w:t>
      </w:r>
      <w:r>
        <w:rPr/>
        <w:t>supletoria,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8" w:hanging="1"/>
        <w:jc w:val="left"/>
      </w:pPr>
      <w:r>
        <w:rPr/>
        <w:t>la incorporación del Derecho de la Unión Europea, así como habilitaciones normativas y entrada en vigor.</w:t>
      </w:r>
    </w:p>
    <w:p>
      <w:pPr>
        <w:pStyle w:val="BodyText"/>
        <w:spacing w:line="249" w:lineRule="auto" w:before="1"/>
        <w:ind w:right="1274"/>
      </w:pPr>
      <w:r>
        <w:rPr/>
        <w:t>Por último, se prevén doce anexos, once relativos a contratación y el anexo XII que detalla los requisitos mínimos en materia de competencia y conocimientos profesionales.</w:t>
      </w:r>
    </w:p>
    <w:p>
      <w:pPr>
        <w:pStyle w:val="BodyText"/>
        <w:spacing w:before="9"/>
        <w:ind w:left="0" w:firstLine="0"/>
        <w:jc w:val="left"/>
        <w:rPr>
          <w:sz w:val="24"/>
        </w:rPr>
      </w:pPr>
    </w:p>
    <w:p>
      <w:pPr>
        <w:pStyle w:val="BodyText"/>
        <w:spacing w:before="0"/>
        <w:ind w:left="0" w:right="197" w:firstLine="0"/>
        <w:jc w:val="center"/>
      </w:pPr>
      <w:r>
        <w:rPr/>
        <w:t>X</w:t>
      </w:r>
    </w:p>
    <w:p>
      <w:pPr>
        <w:pStyle w:val="BodyText"/>
        <w:spacing w:line="249" w:lineRule="auto" w:before="130"/>
        <w:ind w:right="1274"/>
      </w:pPr>
      <w:r>
        <w:rPr/>
        <w:t>Este real decreto-ley es coherente con los principios de buena regulación establecidos en el artículo 129 de la Ley 39/2015, de 1 de octubre, del Procedimiento Administrativo Común de las Administraciones</w:t>
      </w:r>
      <w:r>
        <w:rPr>
          <w:spacing w:val="-4"/>
        </w:rPr>
        <w:t> </w:t>
      </w:r>
      <w:r>
        <w:rPr/>
        <w:t>Públicas.</w:t>
      </w:r>
    </w:p>
    <w:p>
      <w:pPr>
        <w:pStyle w:val="BodyText"/>
        <w:spacing w:line="249" w:lineRule="auto" w:before="3"/>
        <w:ind w:right="1275"/>
      </w:pPr>
      <w:r>
        <w:rPr/>
        <w:t>De lo expuesto en los párrafos anteriores se pone de manifiesto el cumplimiento de los principios de necesidad y eficacia. El real decreto-ley es acorde al principio de proporcionalidad, al contener la regulación imprescindible para la consecución de los objetivos previamente mencionados, e igualmente se ajusta al principio de seguridad jurídica.</w:t>
      </w:r>
    </w:p>
    <w:p>
      <w:pPr>
        <w:pStyle w:val="BodyText"/>
        <w:spacing w:line="249" w:lineRule="auto" w:before="4"/>
        <w:ind w:right="1270"/>
      </w:pPr>
      <w:r>
        <w:rPr/>
        <w:t>En cuanto al principio de transparencia, no se ha realizado el trámite de consulta pública, ni el trámite de audiencia e información públicas tal y como excepciona el artículo 26.11 de la Ley 50/1997, de 27 de noviembre, del Gobierno. No obstante, procede destacar como singularidad de este Libro I del presente real decreto-ley, que el mismo ha seguido toda la tramitación administrativa propia de un Anteproyecto de Ley en materia de contratación, llegando incluso a ser objeto de aprobación por parte de la Ponencia designada por la Comisión de Hacienda con competencia legislativa plena en el Congreso de los Diputados. El texto legal articulado aprobado por esta Ponencia es el que ahora se incorpora a este real decreto-ley, a salvo de contados ajustes técnicos que se han realizado para garantizar la coordinación con la Ley 9/2017, de 8 de noviembre, siguiendo la doctrina del Consejo de Estado, Dictamen 1209/2006, y una correcta transposición de las Directivas 2014/23/UE y 2014/25/UE. También se ha incluido la modificación del artículo 118 de la Ley 9/2017, de 8 de noviembre, que recogió el decaído proyecto ley de Presupuestos Generales del Estado para el año 2019 (BOC de 16 de enero de 2019), al resultar urgente y necesario por razones de seguridad jurídica solucionar los graves problemas técnicos que el actual artículo 118.3 de la Ley 9/2017, de 8 de noviembre, plantea al exigir, para celebrar un contrato menor, que el contratista no haya suscrito más contratos menores que individual o conjuntamente superen las cifras que establece el artículo 118.1 de la Ley 9/2017, de 8 de noviembre. Asimismo, se ha procedido a revisar los umbrales que recogía el texto legal aprobado por la Ponencia en coherencia con la modificación de las Directivas 2014/23/UE y 2014/25/UE realizada, respectivamente, mediante dos Reglamentos de la Comisión n.º 2019/1827 y n.º 2019/1829, ambos de 30 de octubre de</w:t>
      </w:r>
      <w:r>
        <w:rPr>
          <w:spacing w:val="-10"/>
        </w:rPr>
        <w:t> </w:t>
      </w:r>
      <w:r>
        <w:rPr/>
        <w:t>2019.</w:t>
      </w:r>
    </w:p>
    <w:p>
      <w:pPr>
        <w:pStyle w:val="BodyText"/>
        <w:spacing w:line="249" w:lineRule="auto" w:before="18"/>
        <w:ind w:right="1271"/>
      </w:pPr>
      <w:r>
        <w:rPr/>
        <w:t>En el mismo sentido, tanto el anteproyecto de Ley de distribución de seguros y reaseguros, como el Anteproyecto de Ley de modificación del texto refundido de la Ley de planes y Fondos de Pensiones, aprobado por el Real Decreto Legislativo 1/2002, de 29 de noviembre, para la transposición de la Directiva (UE) 2016/2341 del Parlamento Europeo y del Consejo, de 14 de diciembre de 2016, relativa a las actividades y la supervisión de los fondos de pensiones de empleo y el Anteproyecto de Ley por la que se modifica el texto refundido de la Ley de Sociedades de Capital, aprobado por el Real Decreto Legislativo 1/2010, de 2 de julio, y otras normas financieras, en lo que respecta al fomento de la implicación a largo plazo de los accionistas en las sociedades cotizadas fueron previamente sometidas al trámite de consulta pública establecido en el artículo 26.2 de la ley citada, y al trámite de audiencia e información públicas contenido en el artículo 26.6 de la misma, al afectar a los derechos e intereses legítimos de las personas. Por último, con respecto al principio de eficiencia, si bien supone un ligero aumento de las cargas administrativas, estas resultan imprescindibles y en ningún caso innecesarias.</w:t>
      </w:r>
    </w:p>
    <w:p>
      <w:pPr>
        <w:pStyle w:val="BodyText"/>
        <w:spacing w:line="249" w:lineRule="auto" w:before="11"/>
        <w:ind w:right="1272"/>
      </w:pPr>
      <w:r>
        <w:rPr/>
        <w:t>Con respecto al principio de seguridad jurídica, el texto articulado en materia de contratación que aprobó la Ponencia en el Congreso, tal y como se indica en su Informe (BOCG de 28/1/2019), ya incorpora los ajustes necesarios como consecuencia de la adaptación técnica de esta norma a la Ley 9/2017, de 8 de noviembre. Asimismo, se ha garantizado la coherencia del texto con el resto del ordenamiento jurídico nacional, así como con el de la Unión Europea. De hecho, aquel responde a la necesidad de trasposición de las aludidas Directivas al Derecho español.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Por último, de acuerdo con el principio de eficiencia, las medidas reguladas en el presente real decreto-ley se ha procurado que la norma genere las menores cargas administrativas para los ciudadanos, así como los menores costes indirectos, fomentando el uso racional de los recursos públicos, es más, incluso alguna de las medidas que se incorporan conllevan una reducción de tales cargas. En este sentido, las exigencias de información y documentación que se requieren de los contribuyentes son las estrictamente imprescindibles para garantizar el control de su actividad por parte de la Administración tributaria.</w:t>
      </w:r>
    </w:p>
    <w:p>
      <w:pPr>
        <w:pStyle w:val="BodyText"/>
        <w:spacing w:line="249" w:lineRule="auto" w:before="6"/>
        <w:ind w:right="1273"/>
      </w:pPr>
      <w:r>
        <w:rPr/>
        <w:t>Este real decreto-ley se dicta al amparo del artículo 149.1.6.ª, 8.ª, 11.ª,13.ª, 14.ª y 18.ª  de la Constitución Española, que atribuye al Estado la competencia exclusiva sobre legislación mercantil; civil; las bases y coordinación de los seguros; las bases y coordinación de la planificación general de la actividad económica; la Hacienda general y en materia de legislación básica sobre contratos y concesiones administrativas,</w:t>
      </w:r>
      <w:r>
        <w:rPr>
          <w:spacing w:val="-12"/>
        </w:rPr>
        <w:t> </w:t>
      </w:r>
      <w:r>
        <w:rPr/>
        <w:t>respectivamente.</w:t>
      </w:r>
    </w:p>
    <w:p>
      <w:pPr>
        <w:pStyle w:val="BodyText"/>
        <w:spacing w:line="249" w:lineRule="auto" w:before="4"/>
        <w:ind w:right="1272"/>
      </w:pPr>
      <w:r>
        <w:rPr/>
        <w:t>Por todo ello, por su finalidad y por el contexto de exigencia temporal en el que se dicta, concurren en este real decreto-ley las circunstancias de extraordinaria y urgente necesidad requeridas por el artículo 86 de la Constitución.</w:t>
      </w:r>
    </w:p>
    <w:p>
      <w:pPr>
        <w:pStyle w:val="BodyText"/>
        <w:spacing w:line="249" w:lineRule="auto" w:before="3"/>
        <w:ind w:right="1273"/>
      </w:pPr>
      <w:r>
        <w:rPr/>
        <w:t>En su virtud, haciendo uso de la autorización contenida en el artículo 86 de la Constitución Española, a propuesta de la Ministra de Hacienda y de la Ministra de Asuntos Económicos y Transformación Digital, y previa deliberación del Consejo de Ministros en su reunión del día 4 de febrero de 2020,</w:t>
      </w:r>
    </w:p>
    <w:p>
      <w:pPr>
        <w:pStyle w:val="BodyText"/>
        <w:spacing w:before="11"/>
        <w:ind w:left="0" w:firstLine="0"/>
        <w:jc w:val="left"/>
        <w:rPr>
          <w:sz w:val="13"/>
        </w:rPr>
      </w:pPr>
    </w:p>
    <w:p>
      <w:pPr>
        <w:pStyle w:val="BodyText"/>
        <w:spacing w:before="126"/>
        <w:ind w:left="2929" w:right="3127" w:firstLine="0"/>
        <w:jc w:val="center"/>
      </w:pPr>
      <w:r>
        <w:rPr/>
        <w:t>DISPONGO:</w:t>
      </w:r>
    </w:p>
    <w:p>
      <w:pPr>
        <w:pStyle w:val="BodyText"/>
        <w:spacing w:before="0"/>
        <w:ind w:left="0" w:firstLine="0"/>
        <w:jc w:val="left"/>
        <w:rPr>
          <w:sz w:val="26"/>
        </w:rPr>
      </w:pPr>
    </w:p>
    <w:p>
      <w:pPr>
        <w:pStyle w:val="BodyText"/>
        <w:spacing w:before="8"/>
        <w:ind w:left="0" w:firstLine="0"/>
        <w:jc w:val="left"/>
        <w:rPr>
          <w:sz w:val="24"/>
        </w:rPr>
      </w:pPr>
    </w:p>
    <w:p>
      <w:pPr>
        <w:pStyle w:val="BodyText"/>
        <w:spacing w:before="0"/>
        <w:ind w:left="2929" w:right="3127" w:firstLine="0"/>
        <w:jc w:val="center"/>
      </w:pPr>
      <w:bookmarkStart w:name="LIBRO PRIMERO. Transposición de la Direc" w:id="4"/>
      <w:bookmarkEnd w:id="4"/>
      <w:r>
        <w:rPr/>
      </w:r>
      <w:bookmarkStart w:name="_bookmark1" w:id="5"/>
      <w:bookmarkEnd w:id="5"/>
      <w:r>
        <w:rPr/>
      </w:r>
      <w:r>
        <w:rPr/>
        <w:t>LIBRO PRIMERO</w:t>
      </w:r>
    </w:p>
    <w:p>
      <w:pPr>
        <w:pStyle w:val="Heading1"/>
        <w:spacing w:line="249" w:lineRule="auto"/>
        <w:ind w:right="1612" w:hanging="1"/>
      </w:pPr>
      <w:r>
        <w:rPr/>
        <w:t>Transposición de la Directiva 2014/25/UE del Parlamento Europeo y del Consejo, de 26 de febrero de 2014, relativa a la contratación por entidades que operan en los sectores del agua, la energía, los transportes y los servicios postales, y la Directiva 2014/23/UE, del Parlamento Europeo y del Consejo, de 26 de febrero de 2014, relativa a la adjudicación de contratos de</w:t>
      </w:r>
      <w:r>
        <w:rPr>
          <w:spacing w:val="-35"/>
        </w:rPr>
        <w:t> </w:t>
      </w:r>
      <w:r>
        <w:rPr/>
        <w:t>concesión</w:t>
      </w:r>
    </w:p>
    <w:p>
      <w:pPr>
        <w:pStyle w:val="BodyText"/>
        <w:spacing w:before="0"/>
        <w:ind w:left="0" w:firstLine="0"/>
        <w:jc w:val="left"/>
        <w:rPr>
          <w:b/>
          <w:sz w:val="22"/>
        </w:rPr>
      </w:pPr>
    </w:p>
    <w:p>
      <w:pPr>
        <w:pStyle w:val="BodyText"/>
        <w:spacing w:before="8"/>
        <w:ind w:left="0" w:firstLine="0"/>
        <w:jc w:val="left"/>
        <w:rPr>
          <w:b/>
          <w:sz w:val="27"/>
        </w:rPr>
      </w:pPr>
    </w:p>
    <w:p>
      <w:pPr>
        <w:pStyle w:val="BodyText"/>
        <w:spacing w:before="0"/>
        <w:ind w:left="2930" w:right="3127" w:firstLine="0"/>
        <w:jc w:val="center"/>
      </w:pPr>
      <w:bookmarkStart w:name="TÍTULO I. Disposiciones generales" w:id="6"/>
      <w:bookmarkEnd w:id="6"/>
      <w:r>
        <w:rPr/>
      </w:r>
      <w:bookmarkStart w:name="_bookmark2" w:id="7"/>
      <w:bookmarkEnd w:id="7"/>
      <w:r>
        <w:rPr/>
      </w:r>
      <w:r>
        <w:rPr/>
        <w:t>TÍTULO I</w:t>
      </w:r>
    </w:p>
    <w:p>
      <w:pPr>
        <w:pStyle w:val="Heading1"/>
        <w:ind w:left="2929"/>
      </w:pPr>
      <w:r>
        <w:rPr/>
        <w:t>Disposiciones generales</w:t>
      </w:r>
    </w:p>
    <w:p>
      <w:pPr>
        <w:pStyle w:val="BodyText"/>
        <w:spacing w:before="0"/>
        <w:ind w:left="0" w:firstLine="0"/>
        <w:jc w:val="left"/>
        <w:rPr>
          <w:b/>
          <w:sz w:val="22"/>
        </w:rPr>
      </w:pPr>
    </w:p>
    <w:p>
      <w:pPr>
        <w:pStyle w:val="BodyText"/>
        <w:spacing w:before="4"/>
        <w:ind w:left="0" w:firstLine="0"/>
        <w:jc w:val="left"/>
        <w:rPr>
          <w:b/>
          <w:sz w:val="18"/>
        </w:rPr>
      </w:pPr>
    </w:p>
    <w:p>
      <w:pPr>
        <w:pStyle w:val="BodyText"/>
        <w:spacing w:before="0"/>
        <w:ind w:left="2929" w:right="3127" w:firstLine="0"/>
        <w:jc w:val="center"/>
      </w:pPr>
      <w:bookmarkStart w:name="CAPÍTULO I. Objeto y definiciones" w:id="8"/>
      <w:bookmarkEnd w:id="8"/>
      <w:r>
        <w:rPr/>
      </w:r>
      <w:bookmarkStart w:name="_bookmark3" w:id="9"/>
      <w:bookmarkEnd w:id="9"/>
      <w:r>
        <w:rPr/>
      </w:r>
      <w:r>
        <w:rPr/>
        <w:t>CAPÍTULO I</w:t>
      </w:r>
    </w:p>
    <w:p>
      <w:pPr>
        <w:pStyle w:val="Heading1"/>
        <w:ind w:left="2930"/>
      </w:pPr>
      <w:r>
        <w:rPr/>
        <w:t>Objeto y definiciones</w:t>
      </w:r>
    </w:p>
    <w:p>
      <w:pPr>
        <w:pStyle w:val="BodyText"/>
        <w:spacing w:before="7"/>
        <w:ind w:left="0" w:firstLine="0"/>
        <w:jc w:val="left"/>
        <w:rPr>
          <w:b/>
        </w:rPr>
      </w:pPr>
    </w:p>
    <w:p>
      <w:pPr>
        <w:spacing w:before="0"/>
        <w:ind w:left="1074" w:right="0" w:firstLine="0"/>
        <w:jc w:val="both"/>
        <w:rPr>
          <w:i/>
          <w:sz w:val="20"/>
        </w:rPr>
      </w:pPr>
      <w:bookmarkStart w:name="Artículo 1. Objeto del Libro primero del" w:id="10"/>
      <w:bookmarkEnd w:id="10"/>
      <w:r>
        <w:rPr/>
      </w:r>
      <w:r>
        <w:rPr>
          <w:b/>
          <w:sz w:val="20"/>
        </w:rPr>
        <w:t>Artículo 1. </w:t>
      </w:r>
      <w:r>
        <w:rPr>
          <w:i/>
          <w:sz w:val="20"/>
        </w:rPr>
        <w:t>Objeto del Libro primero del real decreto-ley.</w:t>
      </w:r>
    </w:p>
    <w:p>
      <w:pPr>
        <w:pStyle w:val="ListParagraph"/>
        <w:numPr>
          <w:ilvl w:val="0"/>
          <w:numId w:val="1"/>
        </w:numPr>
        <w:tabs>
          <w:tab w:pos="1654" w:val="left" w:leader="none"/>
        </w:tabs>
        <w:spacing w:line="249" w:lineRule="auto" w:before="118" w:after="0"/>
        <w:ind w:left="1074" w:right="1273" w:firstLine="340"/>
        <w:jc w:val="both"/>
        <w:rPr>
          <w:sz w:val="20"/>
        </w:rPr>
      </w:pPr>
      <w:r>
        <w:rPr>
          <w:sz w:val="20"/>
        </w:rPr>
        <w:t>El presente real decreto-ley, en su Libro primero, tiene como objeto la regulación del procedimiento de adjudicación de los contratos de obras, de suministro y de servicios, cuando contraten las entidades públicas y privadas a las que se refiere el artículo 5, en el ámbito de una o más actividades contenidas en los artículos 8 a 14 de este real decreto-ley, siempre que su valor estimado sea igual o superior a los siguientes</w:t>
      </w:r>
      <w:r>
        <w:rPr>
          <w:spacing w:val="-14"/>
          <w:sz w:val="20"/>
        </w:rPr>
        <w:t> </w:t>
      </w:r>
      <w:r>
        <w:rPr>
          <w:sz w:val="20"/>
        </w:rPr>
        <w:t>umbrales:</w:t>
      </w:r>
    </w:p>
    <w:p>
      <w:pPr>
        <w:pStyle w:val="ListParagraph"/>
        <w:numPr>
          <w:ilvl w:val="0"/>
          <w:numId w:val="2"/>
        </w:numPr>
        <w:tabs>
          <w:tab w:pos="1654" w:val="left" w:leader="none"/>
        </w:tabs>
        <w:spacing w:line="249" w:lineRule="auto" w:before="124" w:after="0"/>
        <w:ind w:left="1074" w:right="1273" w:firstLine="340"/>
        <w:jc w:val="left"/>
        <w:rPr>
          <w:sz w:val="20"/>
        </w:rPr>
      </w:pPr>
      <w:r>
        <w:rPr>
          <w:sz w:val="20"/>
        </w:rPr>
        <w:t>1.000.000 de euros en los contratos de servicios sociales y otros servicios específicos enumerados en el anexo</w:t>
      </w:r>
      <w:r>
        <w:rPr>
          <w:spacing w:val="-5"/>
          <w:sz w:val="20"/>
        </w:rPr>
        <w:t> </w:t>
      </w:r>
      <w:r>
        <w:rPr>
          <w:sz w:val="20"/>
        </w:rPr>
        <w:t>I.</w:t>
      </w:r>
    </w:p>
    <w:p>
      <w:pPr>
        <w:pStyle w:val="ListParagraph"/>
        <w:numPr>
          <w:ilvl w:val="0"/>
          <w:numId w:val="2"/>
        </w:numPr>
        <w:tabs>
          <w:tab w:pos="1704" w:val="left" w:leader="none"/>
        </w:tabs>
        <w:spacing w:line="249" w:lineRule="auto" w:before="1" w:after="0"/>
        <w:ind w:left="1074" w:right="1273" w:firstLine="340"/>
        <w:jc w:val="left"/>
        <w:rPr>
          <w:sz w:val="20"/>
        </w:rPr>
      </w:pPr>
      <w:r>
        <w:rPr>
          <w:sz w:val="20"/>
        </w:rPr>
        <w:t>428.000 de euros en los contratos de suministro y de servicios distintos de los referidos en la letra anterior, así como en los concursos de</w:t>
      </w:r>
      <w:r>
        <w:rPr>
          <w:spacing w:val="-15"/>
          <w:sz w:val="20"/>
        </w:rPr>
        <w:t> </w:t>
      </w:r>
      <w:r>
        <w:rPr>
          <w:sz w:val="20"/>
        </w:rPr>
        <w:t>proyectos.</w:t>
      </w:r>
    </w:p>
    <w:p>
      <w:pPr>
        <w:pStyle w:val="ListParagraph"/>
        <w:numPr>
          <w:ilvl w:val="0"/>
          <w:numId w:val="2"/>
        </w:numPr>
        <w:tabs>
          <w:tab w:pos="1637" w:val="left" w:leader="none"/>
        </w:tabs>
        <w:spacing w:line="240" w:lineRule="auto" w:before="2" w:after="0"/>
        <w:ind w:left="1636" w:right="0" w:hanging="223"/>
        <w:jc w:val="left"/>
        <w:rPr>
          <w:sz w:val="20"/>
        </w:rPr>
      </w:pPr>
      <w:r>
        <w:rPr>
          <w:sz w:val="20"/>
        </w:rPr>
        <w:t>5.350.000 de euros en los contratos de</w:t>
      </w:r>
      <w:r>
        <w:rPr>
          <w:spacing w:val="-8"/>
          <w:sz w:val="20"/>
        </w:rPr>
        <w:t> </w:t>
      </w:r>
      <w:r>
        <w:rPr>
          <w:sz w:val="20"/>
        </w:rPr>
        <w:t>obras.</w:t>
      </w:r>
    </w:p>
    <w:p>
      <w:pPr>
        <w:pStyle w:val="ListParagraph"/>
        <w:numPr>
          <w:ilvl w:val="0"/>
          <w:numId w:val="1"/>
        </w:numPr>
        <w:tabs>
          <w:tab w:pos="1741" w:val="left" w:leader="none"/>
        </w:tabs>
        <w:spacing w:line="249" w:lineRule="auto" w:before="130" w:after="0"/>
        <w:ind w:left="1074" w:right="1272" w:firstLine="340"/>
        <w:jc w:val="both"/>
        <w:rPr>
          <w:sz w:val="20"/>
        </w:rPr>
      </w:pPr>
      <w:r>
        <w:rPr>
          <w:sz w:val="20"/>
        </w:rPr>
        <w:t>Asimismo este real decreto-ley será de aplicación a los procedimientos de adjudicación de los contratos de concesión de obras y de los contratos de concesión de servicios que liciten las entidades a que se refiere el artículo 5.1, cuando refiriéndose estos contratos</w:t>
      </w:r>
      <w:r>
        <w:rPr>
          <w:spacing w:val="33"/>
          <w:sz w:val="20"/>
        </w:rPr>
        <w:t> </w:t>
      </w:r>
      <w:r>
        <w:rPr>
          <w:sz w:val="20"/>
        </w:rPr>
        <w:t>a</w:t>
      </w:r>
      <w:r>
        <w:rPr>
          <w:spacing w:val="34"/>
          <w:sz w:val="20"/>
        </w:rPr>
        <w:t> </w:t>
      </w:r>
      <w:r>
        <w:rPr>
          <w:sz w:val="20"/>
        </w:rPr>
        <w:t>una</w:t>
      </w:r>
      <w:r>
        <w:rPr>
          <w:spacing w:val="34"/>
          <w:sz w:val="20"/>
        </w:rPr>
        <w:t> </w:t>
      </w:r>
      <w:r>
        <w:rPr>
          <w:sz w:val="20"/>
        </w:rPr>
        <w:t>o</w:t>
      </w:r>
      <w:r>
        <w:rPr>
          <w:spacing w:val="34"/>
          <w:sz w:val="20"/>
        </w:rPr>
        <w:t> </w:t>
      </w:r>
      <w:r>
        <w:rPr>
          <w:sz w:val="20"/>
        </w:rPr>
        <w:t>más</w:t>
      </w:r>
      <w:r>
        <w:rPr>
          <w:spacing w:val="34"/>
          <w:sz w:val="20"/>
        </w:rPr>
        <w:t> </w:t>
      </w:r>
      <w:r>
        <w:rPr>
          <w:sz w:val="20"/>
        </w:rPr>
        <w:t>de</w:t>
      </w:r>
      <w:r>
        <w:rPr>
          <w:spacing w:val="33"/>
          <w:sz w:val="20"/>
        </w:rPr>
        <w:t> </w:t>
      </w:r>
      <w:r>
        <w:rPr>
          <w:sz w:val="20"/>
        </w:rPr>
        <w:t>las</w:t>
      </w:r>
      <w:r>
        <w:rPr>
          <w:spacing w:val="34"/>
          <w:sz w:val="20"/>
        </w:rPr>
        <w:t> </w:t>
      </w:r>
      <w:r>
        <w:rPr>
          <w:sz w:val="20"/>
        </w:rPr>
        <w:t>actividades</w:t>
      </w:r>
      <w:r>
        <w:rPr>
          <w:spacing w:val="34"/>
          <w:sz w:val="20"/>
        </w:rPr>
        <w:t> </w:t>
      </w:r>
      <w:r>
        <w:rPr>
          <w:sz w:val="20"/>
        </w:rPr>
        <w:t>recogidas</w:t>
      </w:r>
      <w:r>
        <w:rPr>
          <w:spacing w:val="34"/>
          <w:sz w:val="20"/>
        </w:rPr>
        <w:t> </w:t>
      </w:r>
      <w:r>
        <w:rPr>
          <w:sz w:val="20"/>
        </w:rPr>
        <w:t>en</w:t>
      </w:r>
      <w:r>
        <w:rPr>
          <w:spacing w:val="34"/>
          <w:sz w:val="20"/>
        </w:rPr>
        <w:t> </w:t>
      </w:r>
      <w:r>
        <w:rPr>
          <w:sz w:val="20"/>
        </w:rPr>
        <w:t>los</w:t>
      </w:r>
      <w:r>
        <w:rPr>
          <w:spacing w:val="33"/>
          <w:sz w:val="20"/>
        </w:rPr>
        <w:t> </w:t>
      </w:r>
      <w:r>
        <w:rPr>
          <w:sz w:val="20"/>
        </w:rPr>
        <w:t>artículos</w:t>
      </w:r>
      <w:r>
        <w:rPr>
          <w:spacing w:val="34"/>
          <w:sz w:val="20"/>
        </w:rPr>
        <w:t> </w:t>
      </w:r>
      <w:r>
        <w:rPr>
          <w:sz w:val="20"/>
        </w:rPr>
        <w:t>9</w:t>
      </w:r>
      <w:r>
        <w:rPr>
          <w:spacing w:val="34"/>
          <w:sz w:val="20"/>
        </w:rPr>
        <w:t> </w:t>
      </w:r>
      <w:r>
        <w:rPr>
          <w:sz w:val="20"/>
        </w:rPr>
        <w:t>a</w:t>
      </w:r>
      <w:r>
        <w:rPr>
          <w:spacing w:val="34"/>
          <w:sz w:val="20"/>
        </w:rPr>
        <w:t> </w:t>
      </w:r>
      <w:r>
        <w:rPr>
          <w:sz w:val="20"/>
        </w:rPr>
        <w:t>14</w:t>
      </w:r>
      <w:r>
        <w:rPr>
          <w:spacing w:val="34"/>
          <w:sz w:val="20"/>
        </w:rPr>
        <w:t> </w:t>
      </w:r>
      <w:r>
        <w:rPr>
          <w:sz w:val="20"/>
        </w:rPr>
        <w:t>de</w:t>
      </w:r>
      <w:r>
        <w:rPr>
          <w:spacing w:val="33"/>
          <w:sz w:val="20"/>
        </w:rPr>
        <w:t> </w:t>
      </w:r>
      <w:r>
        <w:rPr>
          <w:sz w:val="20"/>
        </w:rPr>
        <w:t>este</w:t>
      </w:r>
      <w:r>
        <w:rPr>
          <w:spacing w:val="34"/>
          <w:sz w:val="20"/>
        </w:rPr>
        <w:t> </w:t>
      </w:r>
      <w:r>
        <w:rPr>
          <w:sz w:val="20"/>
        </w:rPr>
        <w:t>real</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before="126"/>
        <w:ind w:firstLine="0"/>
        <w:jc w:val="left"/>
      </w:pPr>
      <w:r>
        <w:rPr/>
        <w:t>decreto-ley, los mismos tengan un valor estimado que sea igual o superior al umbral de</w:t>
      </w:r>
    </w:p>
    <w:p>
      <w:pPr>
        <w:pStyle w:val="ListParagraph"/>
        <w:numPr>
          <w:ilvl w:val="2"/>
          <w:numId w:val="3"/>
        </w:numPr>
        <w:tabs>
          <w:tab w:pos="2019" w:val="left" w:leader="none"/>
        </w:tabs>
        <w:spacing w:line="240" w:lineRule="auto" w:before="10" w:after="0"/>
        <w:ind w:left="2018" w:right="0" w:hanging="945"/>
        <w:jc w:val="left"/>
        <w:rPr>
          <w:sz w:val="20"/>
        </w:rPr>
      </w:pPr>
      <w:r>
        <w:rPr>
          <w:sz w:val="20"/>
        </w:rPr>
        <w:t>de</w:t>
      </w:r>
      <w:r>
        <w:rPr>
          <w:spacing w:val="-2"/>
          <w:sz w:val="20"/>
        </w:rPr>
        <w:t> </w:t>
      </w:r>
      <w:r>
        <w:rPr>
          <w:sz w:val="20"/>
        </w:rPr>
        <w:t>euros.</w:t>
      </w:r>
    </w:p>
    <w:p>
      <w:pPr>
        <w:pStyle w:val="BodyText"/>
        <w:spacing w:line="249" w:lineRule="auto" w:before="10"/>
        <w:ind w:right="1278"/>
        <w:jc w:val="left"/>
      </w:pPr>
      <w:r>
        <w:rPr/>
        <w:t>En todo caso quedan fuera del ámbito de aplicación de la presente real decreto-ley los siguientes contratos de concesión:</w:t>
      </w:r>
    </w:p>
    <w:p>
      <w:pPr>
        <w:pStyle w:val="ListParagraph"/>
        <w:numPr>
          <w:ilvl w:val="3"/>
          <w:numId w:val="3"/>
        </w:numPr>
        <w:tabs>
          <w:tab w:pos="1652" w:val="left" w:leader="none"/>
        </w:tabs>
        <w:spacing w:line="249" w:lineRule="auto" w:before="122" w:after="0"/>
        <w:ind w:left="1074" w:right="1273" w:firstLine="340"/>
        <w:jc w:val="both"/>
        <w:rPr>
          <w:sz w:val="20"/>
        </w:rPr>
      </w:pPr>
      <w:r>
        <w:rPr>
          <w:sz w:val="20"/>
        </w:rPr>
        <w:t>Los contratos de concesión de obras o de concesión de servicios que se refieran a las actividades en el sector del agua que relaciona el artículo 8 en sus apartados 1 y</w:t>
      </w:r>
      <w:r>
        <w:rPr>
          <w:spacing w:val="-31"/>
          <w:sz w:val="20"/>
        </w:rPr>
        <w:t> </w:t>
      </w:r>
      <w:r>
        <w:rPr>
          <w:sz w:val="20"/>
        </w:rPr>
        <w:t>2.</w:t>
      </w:r>
    </w:p>
    <w:p>
      <w:pPr>
        <w:pStyle w:val="ListParagraph"/>
        <w:numPr>
          <w:ilvl w:val="3"/>
          <w:numId w:val="3"/>
        </w:numPr>
        <w:tabs>
          <w:tab w:pos="1689" w:val="left" w:leader="none"/>
        </w:tabs>
        <w:spacing w:line="249" w:lineRule="auto" w:before="1" w:after="0"/>
        <w:ind w:left="1074" w:right="1274" w:firstLine="340"/>
        <w:jc w:val="both"/>
        <w:rPr>
          <w:sz w:val="20"/>
        </w:rPr>
      </w:pPr>
      <w:r>
        <w:rPr>
          <w:sz w:val="20"/>
        </w:rPr>
        <w:t>Los contratos de concesión de servicios que se refieran a los servicios de lotería comprendidos en el código CPV 92351100-7, adjudicados por una entidad contratante a un operador económico sobre la base de un derecho</w:t>
      </w:r>
      <w:r>
        <w:rPr>
          <w:spacing w:val="-12"/>
          <w:sz w:val="20"/>
        </w:rPr>
        <w:t> </w:t>
      </w:r>
      <w:r>
        <w:rPr>
          <w:sz w:val="20"/>
        </w:rPr>
        <w:t>exclusivo.</w:t>
      </w:r>
    </w:p>
    <w:p>
      <w:pPr>
        <w:pStyle w:val="BodyText"/>
        <w:spacing w:before="3"/>
        <w:ind w:left="1414" w:firstLine="0"/>
      </w:pPr>
      <w:r>
        <w:rPr/>
        <w:t>La atribución de un derecho exclusivo de este tipo deberá ser objeto de publicación en el</w:t>
      </w:r>
    </w:p>
    <w:p>
      <w:pPr>
        <w:pStyle w:val="BodyText"/>
        <w:spacing w:line="249" w:lineRule="auto" w:before="10"/>
        <w:ind w:right="1275" w:firstLine="0"/>
      </w:pPr>
      <w:r>
        <w:rPr/>
        <w:t>«Diario Oficial de la Unión Europea». A estos efectos el concepto de derecho exclusivo no incluye los derechos exclusivos a que se refiere el artículo 6.2.</w:t>
      </w:r>
    </w:p>
    <w:p>
      <w:pPr>
        <w:pStyle w:val="ListParagraph"/>
        <w:numPr>
          <w:ilvl w:val="3"/>
          <w:numId w:val="3"/>
        </w:numPr>
        <w:tabs>
          <w:tab w:pos="1697" w:val="left" w:leader="none"/>
        </w:tabs>
        <w:spacing w:line="249" w:lineRule="auto" w:before="2" w:after="0"/>
        <w:ind w:left="1074" w:right="1271" w:firstLine="340"/>
        <w:jc w:val="both"/>
        <w:rPr>
          <w:sz w:val="20"/>
        </w:rPr>
      </w:pPr>
      <w:r>
        <w:rPr>
          <w:sz w:val="20"/>
        </w:rPr>
        <w:t>Los contratos de concesión de servicios que sean adjudicados por una entidad contratante a un operador económico sobre la base de un derecho exclusivo del que dicho operador goce con arreglo a una norma, reglamento o disposición administrativa que resulte de aplicación y cuya concesión se ajuste al Tratado de Funcionamiento de la Unión Europea y a los actos jurídicos de la Unión Europea que establecen normas comunes de acceso al mercado aplicables a las actividades contempladas en los artículos 9 a 14 de este real decreto-ley.</w:t>
      </w:r>
    </w:p>
    <w:p>
      <w:pPr>
        <w:pStyle w:val="BodyText"/>
        <w:spacing w:line="249" w:lineRule="auto" w:before="5"/>
        <w:ind w:right="1275"/>
      </w:pPr>
      <w:r>
        <w:rPr/>
        <w:t>No obstante lo anterior, cuando la legislación sectorial de la Unión Europea a que se refiere el párrafo precedente no prevea obligaciones de transparencia, se aplicará el artículo 79 relativo al anuncio de formalización.</w:t>
      </w:r>
    </w:p>
    <w:p>
      <w:pPr>
        <w:pStyle w:val="BodyText"/>
        <w:spacing w:line="249" w:lineRule="auto" w:before="3"/>
        <w:ind w:right="1273"/>
      </w:pPr>
      <w:r>
        <w:rPr/>
        <w:t>Cuando una entidad contratante conceda a un operador económico un derecho exclusivo para el ejercicio de una de las actividades contempladas en los artículos 9 a 14 de este real decreto-ley, deberá informar de ello a la Comisión Europea en el plazo de un mes contado a partir del día en que se concedió dicho derecho.</w:t>
      </w:r>
    </w:p>
    <w:p>
      <w:pPr>
        <w:pStyle w:val="ListParagraph"/>
        <w:numPr>
          <w:ilvl w:val="3"/>
          <w:numId w:val="3"/>
        </w:numPr>
        <w:tabs>
          <w:tab w:pos="1656" w:val="left" w:leader="none"/>
        </w:tabs>
        <w:spacing w:line="249" w:lineRule="auto" w:before="3" w:after="0"/>
        <w:ind w:left="1074" w:right="1272" w:firstLine="340"/>
        <w:jc w:val="both"/>
        <w:rPr>
          <w:sz w:val="20"/>
        </w:rPr>
      </w:pPr>
      <w:r>
        <w:rPr>
          <w:sz w:val="20"/>
        </w:rPr>
        <w:t>Los contratos de concesión de servicios de transporte aéreo basados en la concesión de una licencia de explotación en el sentido del Reglamento (CE) n.º 1008/2008 del Parlamento Europeo y del Consejo, de 24 de septiembre de 2008, sobre normas comunes para la explotación de servicios aéreos en la Comunidad, o relativos a servicios públicos de transporte de viajeros, en el sentido del Reglamento n.º 1370/2007, del Parlamento Europeo y del Consejo, de 23 de octubre de 2007, sobre los servicios públicos de transporte de viajeros por ferrocarril y carretera y por el que se derogan los Reglamentos (CEE) n.º 1191/69 y (CEE) n.º 1107/70 del</w:t>
      </w:r>
      <w:r>
        <w:rPr>
          <w:spacing w:val="-6"/>
          <w:sz w:val="20"/>
        </w:rPr>
        <w:t> </w:t>
      </w:r>
      <w:r>
        <w:rPr>
          <w:sz w:val="20"/>
        </w:rPr>
        <w:t>Consejo.</w:t>
      </w:r>
    </w:p>
    <w:p>
      <w:pPr>
        <w:pStyle w:val="BodyText"/>
        <w:spacing w:before="9"/>
        <w:ind w:left="0" w:firstLine="0"/>
        <w:jc w:val="left"/>
      </w:pPr>
    </w:p>
    <w:p>
      <w:pPr>
        <w:spacing w:before="0"/>
        <w:ind w:left="1074" w:right="0" w:firstLine="0"/>
        <w:jc w:val="left"/>
        <w:rPr>
          <w:i/>
          <w:sz w:val="20"/>
        </w:rPr>
      </w:pPr>
      <w:bookmarkStart w:name="Artículo 2. Definiciones." w:id="11"/>
      <w:bookmarkEnd w:id="11"/>
      <w:r>
        <w:rPr/>
      </w:r>
      <w:r>
        <w:rPr>
          <w:b/>
          <w:sz w:val="20"/>
        </w:rPr>
        <w:t>Artículo 2.</w:t>
      </w:r>
      <w:r>
        <w:rPr>
          <w:b/>
          <w:spacing w:val="54"/>
          <w:sz w:val="20"/>
        </w:rPr>
        <w:t> </w:t>
      </w:r>
      <w:r>
        <w:rPr>
          <w:i/>
          <w:sz w:val="20"/>
        </w:rPr>
        <w:t>Definiciones.</w:t>
      </w:r>
    </w:p>
    <w:p>
      <w:pPr>
        <w:pStyle w:val="BodyText"/>
        <w:spacing w:before="118"/>
        <w:ind w:left="1414" w:firstLine="0"/>
      </w:pPr>
      <w:r>
        <w:rPr/>
        <w:t>A efectos del Libro primero del presente real decreto-ley se entenderá por:</w:t>
      </w:r>
    </w:p>
    <w:p>
      <w:pPr>
        <w:pStyle w:val="ListParagraph"/>
        <w:numPr>
          <w:ilvl w:val="0"/>
          <w:numId w:val="4"/>
        </w:numPr>
        <w:tabs>
          <w:tab w:pos="1653" w:val="left" w:leader="none"/>
        </w:tabs>
        <w:spacing w:line="249" w:lineRule="auto" w:before="130" w:after="0"/>
        <w:ind w:left="1074" w:right="1273" w:firstLine="340"/>
        <w:jc w:val="both"/>
        <w:rPr>
          <w:sz w:val="20"/>
        </w:rPr>
      </w:pPr>
      <w:r>
        <w:rPr>
          <w:sz w:val="20"/>
        </w:rPr>
        <w:t>«Contratos de suministro, obras y servicios»: los contratos a título oneroso celebrados por escrito entre una o varias de las entidades contratantes sujetas al ámbito de aplicación de este real decreto-ley y una o varias empresas, cuyo objeto sea la ejecución de obras, el suministro de productos o la prestación de</w:t>
      </w:r>
      <w:r>
        <w:rPr>
          <w:spacing w:val="-8"/>
          <w:sz w:val="20"/>
        </w:rPr>
        <w:t> </w:t>
      </w:r>
      <w:r>
        <w:rPr>
          <w:sz w:val="20"/>
        </w:rPr>
        <w:t>servicios.</w:t>
      </w:r>
    </w:p>
    <w:p>
      <w:pPr>
        <w:pStyle w:val="ListParagraph"/>
        <w:numPr>
          <w:ilvl w:val="0"/>
          <w:numId w:val="4"/>
        </w:numPr>
        <w:tabs>
          <w:tab w:pos="1648" w:val="left" w:leader="none"/>
        </w:tabs>
        <w:spacing w:line="240" w:lineRule="auto" w:before="3" w:after="0"/>
        <w:ind w:left="1647" w:right="0" w:hanging="234"/>
        <w:jc w:val="both"/>
        <w:rPr>
          <w:sz w:val="20"/>
        </w:rPr>
      </w:pPr>
      <w:r>
        <w:rPr>
          <w:sz w:val="20"/>
        </w:rPr>
        <w:t>«Contrato de obras»: los contratos cuyo objeto sea uno de los</w:t>
      </w:r>
      <w:r>
        <w:rPr>
          <w:spacing w:val="-14"/>
          <w:sz w:val="20"/>
        </w:rPr>
        <w:t> </w:t>
      </w:r>
      <w:r>
        <w:rPr>
          <w:sz w:val="20"/>
        </w:rPr>
        <w:t>siguientes:</w:t>
      </w:r>
    </w:p>
    <w:p>
      <w:pPr>
        <w:pStyle w:val="ListParagraph"/>
        <w:numPr>
          <w:ilvl w:val="0"/>
          <w:numId w:val="5"/>
        </w:numPr>
        <w:tabs>
          <w:tab w:pos="1582" w:val="left" w:leader="none"/>
        </w:tabs>
        <w:spacing w:line="249" w:lineRule="auto" w:before="130" w:after="0"/>
        <w:ind w:left="1074" w:right="1276" w:firstLine="340"/>
        <w:jc w:val="both"/>
        <w:rPr>
          <w:sz w:val="20"/>
        </w:rPr>
      </w:pPr>
      <w:r>
        <w:rPr>
          <w:sz w:val="20"/>
        </w:rPr>
        <w:t>º La ejecución de una obra, aislada o conjuntamente con la redacción del proyecto, o la realización de alguno de los trabajos enumerados en el anexo</w:t>
      </w:r>
      <w:r>
        <w:rPr>
          <w:spacing w:val="-13"/>
          <w:sz w:val="20"/>
        </w:rPr>
        <w:t> </w:t>
      </w:r>
      <w:r>
        <w:rPr>
          <w:sz w:val="20"/>
        </w:rPr>
        <w:t>II.</w:t>
      </w:r>
    </w:p>
    <w:p>
      <w:pPr>
        <w:pStyle w:val="ListParagraph"/>
        <w:numPr>
          <w:ilvl w:val="0"/>
          <w:numId w:val="5"/>
        </w:numPr>
        <w:tabs>
          <w:tab w:pos="1583" w:val="left" w:leader="none"/>
        </w:tabs>
        <w:spacing w:line="249" w:lineRule="auto" w:before="2" w:after="0"/>
        <w:ind w:left="1074" w:right="1273" w:firstLine="340"/>
        <w:jc w:val="both"/>
        <w:rPr>
          <w:sz w:val="20"/>
        </w:rPr>
      </w:pPr>
      <w:r>
        <w:rPr>
          <w:sz w:val="20"/>
        </w:rPr>
        <w:t>º La realización, por cualquier medio, de una obra que cumpla los requisitos fijados por la</w:t>
      </w:r>
      <w:r>
        <w:rPr>
          <w:spacing w:val="-4"/>
          <w:sz w:val="20"/>
        </w:rPr>
        <w:t> </w:t>
      </w:r>
      <w:r>
        <w:rPr>
          <w:sz w:val="20"/>
        </w:rPr>
        <w:t>entidad</w:t>
      </w:r>
      <w:r>
        <w:rPr>
          <w:spacing w:val="-3"/>
          <w:sz w:val="20"/>
        </w:rPr>
        <w:t> </w:t>
      </w:r>
      <w:r>
        <w:rPr>
          <w:sz w:val="20"/>
        </w:rPr>
        <w:t>contratante</w:t>
      </w:r>
      <w:r>
        <w:rPr>
          <w:spacing w:val="-2"/>
          <w:sz w:val="20"/>
        </w:rPr>
        <w:t> </w:t>
      </w:r>
      <w:r>
        <w:rPr>
          <w:sz w:val="20"/>
        </w:rPr>
        <w:t>que</w:t>
      </w:r>
      <w:r>
        <w:rPr>
          <w:spacing w:val="-4"/>
          <w:sz w:val="20"/>
        </w:rPr>
        <w:t> </w:t>
      </w:r>
      <w:r>
        <w:rPr>
          <w:sz w:val="20"/>
        </w:rPr>
        <w:t>ejerza</w:t>
      </w:r>
      <w:r>
        <w:rPr>
          <w:spacing w:val="-3"/>
          <w:sz w:val="20"/>
        </w:rPr>
        <w:t> </w:t>
      </w:r>
      <w:r>
        <w:rPr>
          <w:sz w:val="20"/>
        </w:rPr>
        <w:t>una</w:t>
      </w:r>
      <w:r>
        <w:rPr>
          <w:spacing w:val="-3"/>
          <w:sz w:val="20"/>
        </w:rPr>
        <w:t> </w:t>
      </w:r>
      <w:r>
        <w:rPr>
          <w:sz w:val="20"/>
        </w:rPr>
        <w:t>influencia</w:t>
      </w:r>
      <w:r>
        <w:rPr>
          <w:spacing w:val="-4"/>
          <w:sz w:val="20"/>
        </w:rPr>
        <w:t> </w:t>
      </w:r>
      <w:r>
        <w:rPr>
          <w:sz w:val="20"/>
        </w:rPr>
        <w:t>decisiva</w:t>
      </w:r>
      <w:r>
        <w:rPr>
          <w:spacing w:val="-3"/>
          <w:sz w:val="20"/>
        </w:rPr>
        <w:t> </w:t>
      </w:r>
      <w:r>
        <w:rPr>
          <w:sz w:val="20"/>
        </w:rPr>
        <w:t>en</w:t>
      </w:r>
      <w:r>
        <w:rPr>
          <w:spacing w:val="-3"/>
          <w:sz w:val="20"/>
        </w:rPr>
        <w:t> </w:t>
      </w:r>
      <w:r>
        <w:rPr>
          <w:sz w:val="20"/>
        </w:rPr>
        <w:t>el</w:t>
      </w:r>
      <w:r>
        <w:rPr>
          <w:spacing w:val="-3"/>
          <w:sz w:val="20"/>
        </w:rPr>
        <w:t> </w:t>
      </w:r>
      <w:r>
        <w:rPr>
          <w:sz w:val="20"/>
        </w:rPr>
        <w:t>tipo</w:t>
      </w:r>
      <w:r>
        <w:rPr>
          <w:spacing w:val="-3"/>
          <w:sz w:val="20"/>
        </w:rPr>
        <w:t> </w:t>
      </w:r>
      <w:r>
        <w:rPr>
          <w:sz w:val="20"/>
        </w:rPr>
        <w:t>o</w:t>
      </w:r>
      <w:r>
        <w:rPr>
          <w:spacing w:val="-3"/>
          <w:sz w:val="20"/>
        </w:rPr>
        <w:t> </w:t>
      </w:r>
      <w:r>
        <w:rPr>
          <w:sz w:val="20"/>
        </w:rPr>
        <w:t>el</w:t>
      </w:r>
      <w:r>
        <w:rPr>
          <w:spacing w:val="-3"/>
          <w:sz w:val="20"/>
        </w:rPr>
        <w:t> </w:t>
      </w:r>
      <w:r>
        <w:rPr>
          <w:sz w:val="20"/>
        </w:rPr>
        <w:t>proyecto</w:t>
      </w:r>
      <w:r>
        <w:rPr>
          <w:spacing w:val="-4"/>
          <w:sz w:val="20"/>
        </w:rPr>
        <w:t> </w:t>
      </w:r>
      <w:r>
        <w:rPr>
          <w:sz w:val="20"/>
        </w:rPr>
        <w:t>de</w:t>
      </w:r>
      <w:r>
        <w:rPr>
          <w:spacing w:val="-3"/>
          <w:sz w:val="20"/>
        </w:rPr>
        <w:t> </w:t>
      </w:r>
      <w:r>
        <w:rPr>
          <w:sz w:val="20"/>
        </w:rPr>
        <w:t>la</w:t>
      </w:r>
      <w:r>
        <w:rPr>
          <w:spacing w:val="-3"/>
          <w:sz w:val="20"/>
        </w:rPr>
        <w:t> </w:t>
      </w:r>
      <w:r>
        <w:rPr>
          <w:sz w:val="20"/>
        </w:rPr>
        <w:t>obra.</w:t>
      </w:r>
    </w:p>
    <w:p>
      <w:pPr>
        <w:pStyle w:val="ListParagraph"/>
        <w:numPr>
          <w:ilvl w:val="0"/>
          <w:numId w:val="4"/>
        </w:numPr>
        <w:tabs>
          <w:tab w:pos="1652" w:val="left" w:leader="none"/>
        </w:tabs>
        <w:spacing w:line="249" w:lineRule="auto" w:before="121" w:after="0"/>
        <w:ind w:left="1074" w:right="1272" w:firstLine="340"/>
        <w:jc w:val="both"/>
        <w:rPr>
          <w:sz w:val="20"/>
        </w:rPr>
      </w:pPr>
      <w:r>
        <w:rPr>
          <w:sz w:val="20"/>
        </w:rPr>
        <w:t>«Obra»: el resultado de un conjunto de trabajos de construcción o de ingeniería civil, destinado a cumplir por sí mismo una función económica o técnica, que tenga por objeto un bien</w:t>
      </w:r>
      <w:r>
        <w:rPr>
          <w:spacing w:val="-2"/>
          <w:sz w:val="20"/>
        </w:rPr>
        <w:t> </w:t>
      </w:r>
      <w:r>
        <w:rPr>
          <w:sz w:val="20"/>
        </w:rPr>
        <w:t>inmueble.</w:t>
      </w:r>
    </w:p>
    <w:p>
      <w:pPr>
        <w:pStyle w:val="BodyText"/>
        <w:spacing w:line="249" w:lineRule="auto" w:before="3"/>
        <w:ind w:right="1270"/>
      </w:pPr>
      <w:r>
        <w:rPr/>
        <w:t>También se considerará «obra» la realización de trabajos que modifiquen la forma o sustancia del terreno o de su vuelo o de mejora del medio físico o natural.</w:t>
      </w:r>
    </w:p>
    <w:p>
      <w:pPr>
        <w:pStyle w:val="ListParagraph"/>
        <w:numPr>
          <w:ilvl w:val="0"/>
          <w:numId w:val="4"/>
        </w:numPr>
        <w:tabs>
          <w:tab w:pos="1684" w:val="left" w:leader="none"/>
        </w:tabs>
        <w:spacing w:line="249" w:lineRule="auto" w:before="2" w:after="0"/>
        <w:ind w:left="1074" w:right="1273" w:firstLine="340"/>
        <w:jc w:val="both"/>
        <w:rPr>
          <w:sz w:val="20"/>
        </w:rPr>
      </w:pPr>
      <w:r>
        <w:rPr>
          <w:sz w:val="20"/>
        </w:rPr>
        <w:t>«Contrato de suministro»: el contrato que tiene por objeto la compra, la compra a plazos, el arrendamiento financiero o el arrendamiento con o sin opción de compra, de productos. Un contrato de suministro podrá incluir, de forma accesoria, operaciones de colocación e</w:t>
      </w:r>
      <w:r>
        <w:rPr>
          <w:spacing w:val="-2"/>
          <w:sz w:val="20"/>
        </w:rPr>
        <w:t> </w:t>
      </w:r>
      <w:r>
        <w:rPr>
          <w:sz w:val="20"/>
        </w:rPr>
        <w:t>instalación.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
        </w:numPr>
        <w:tabs>
          <w:tab w:pos="1746" w:val="left" w:leader="none"/>
        </w:tabs>
        <w:spacing w:line="249" w:lineRule="auto" w:before="127" w:after="0"/>
        <w:ind w:left="1074" w:right="1273" w:firstLine="340"/>
        <w:jc w:val="both"/>
        <w:rPr>
          <w:sz w:val="20"/>
        </w:rPr>
      </w:pPr>
      <w:r>
        <w:rPr>
          <w:sz w:val="20"/>
        </w:rPr>
        <w:t>«Contrato de servicios»: el contrato cuyo objeto son prestaciones de hacer consistentes en el desarrollo de una actividad o dirigidas a la obtención de un resultado distinto de una obra o un</w:t>
      </w:r>
      <w:r>
        <w:rPr>
          <w:spacing w:val="-7"/>
          <w:sz w:val="20"/>
        </w:rPr>
        <w:t> </w:t>
      </w:r>
      <w:r>
        <w:rPr>
          <w:sz w:val="20"/>
        </w:rPr>
        <w:t>suministro.</w:t>
      </w:r>
    </w:p>
    <w:p>
      <w:pPr>
        <w:pStyle w:val="ListParagraph"/>
        <w:numPr>
          <w:ilvl w:val="0"/>
          <w:numId w:val="4"/>
        </w:numPr>
        <w:tabs>
          <w:tab w:pos="1634" w:val="left" w:leader="none"/>
        </w:tabs>
        <w:spacing w:line="249" w:lineRule="auto" w:before="2" w:after="0"/>
        <w:ind w:left="1074" w:right="1273" w:firstLine="340"/>
        <w:jc w:val="both"/>
        <w:rPr>
          <w:sz w:val="20"/>
        </w:rPr>
      </w:pPr>
      <w:r>
        <w:rPr>
          <w:sz w:val="20"/>
        </w:rPr>
        <w:t>«Concesión de obras»: el contrato que presenta las mismas características que el contrato de obras, con la salvedad de que la contrapartida de las obras consista, o bien únicamente en el derecho a explotar la obra, o bien en dicho derecho acompañado de un precio. En todo caso el derecho a explotar la obra deberá implicar la transferencia al concesionario del riesgo operacional en el sentido definido en la letra h) de este</w:t>
      </w:r>
      <w:r>
        <w:rPr>
          <w:spacing w:val="-36"/>
          <w:sz w:val="20"/>
        </w:rPr>
        <w:t> </w:t>
      </w:r>
      <w:r>
        <w:rPr>
          <w:sz w:val="20"/>
        </w:rPr>
        <w:t>artículo.</w:t>
      </w:r>
    </w:p>
    <w:p>
      <w:pPr>
        <w:pStyle w:val="ListParagraph"/>
        <w:numPr>
          <w:ilvl w:val="0"/>
          <w:numId w:val="4"/>
        </w:numPr>
        <w:tabs>
          <w:tab w:pos="1661" w:val="left" w:leader="none"/>
        </w:tabs>
        <w:spacing w:line="249" w:lineRule="auto" w:before="4" w:after="0"/>
        <w:ind w:left="1074" w:right="1273" w:firstLine="340"/>
        <w:jc w:val="both"/>
        <w:rPr>
          <w:sz w:val="20"/>
        </w:rPr>
      </w:pPr>
      <w:r>
        <w:rPr>
          <w:sz w:val="20"/>
        </w:rPr>
        <w:t>«Concesión de servicios»: el contrato que presenta las mismas características que el contrato de servicios con la salvedad de que la contrapartida de la prestación de servicios consista bien únicamente en el derecho a explotar el servicio, o bien en dicho derecho acompañado de un precio. En todo caso el derecho a explotar el servicio deberá implicar la transferencia al concesionario del riesgo operacional en el sentido definido en la letra h) siguiente.</w:t>
      </w:r>
    </w:p>
    <w:p>
      <w:pPr>
        <w:pStyle w:val="ListParagraph"/>
        <w:numPr>
          <w:ilvl w:val="0"/>
          <w:numId w:val="4"/>
        </w:numPr>
        <w:tabs>
          <w:tab w:pos="1667" w:val="left" w:leader="none"/>
        </w:tabs>
        <w:spacing w:line="249" w:lineRule="auto" w:before="5" w:after="0"/>
        <w:ind w:left="1074" w:right="1272" w:firstLine="340"/>
        <w:jc w:val="both"/>
        <w:rPr>
          <w:sz w:val="20"/>
        </w:rPr>
      </w:pPr>
      <w:r>
        <w:rPr>
          <w:sz w:val="20"/>
        </w:rPr>
        <w:t>«Riesgo operacional»: el riesgo cuya asunción por el concesionario implica que este último no tiene garantizados, en condiciones normales de mercado, ni la recuperación de las inversiones realizadas ni la cobertura de los costes en que hubiera incurrido el mismo como consecuencia de la explotación de las obras o de los servicios que sean objeto de la concesión. La parte de los riesgos transferidos al concesionario supondrá una exposición real a las incertidumbres del mercado que implique que cualquier pérdida potencial estimada en que incurra el concesionario no es meramente nominal o</w:t>
      </w:r>
      <w:r>
        <w:rPr>
          <w:spacing w:val="-15"/>
          <w:sz w:val="20"/>
        </w:rPr>
        <w:t> </w:t>
      </w:r>
      <w:r>
        <w:rPr>
          <w:sz w:val="20"/>
        </w:rPr>
        <w:t>desdeñable.</w:t>
      </w:r>
    </w:p>
    <w:p>
      <w:pPr>
        <w:pStyle w:val="BodyText"/>
        <w:spacing w:line="249" w:lineRule="auto" w:before="6"/>
        <w:ind w:right="1273"/>
      </w:pPr>
      <w:r>
        <w:rPr/>
        <w:t>Este riesgo abarcará el riesgo de demanda o el de suministro o ambos. A estos efectos se entenderá por «riesgo de demanda» el que se debe a la demanda real de las obras o servicios objeto del contrato; y por «riesgo de suministro» el relativo al suministro de las obras o servicios objeto del contrato, en particular el riesgo de que la prestación no se ajuste a la</w:t>
      </w:r>
      <w:r>
        <w:rPr>
          <w:spacing w:val="-3"/>
        </w:rPr>
        <w:t> </w:t>
      </w:r>
      <w:r>
        <w:rPr/>
        <w:t>demanda.</w:t>
      </w:r>
    </w:p>
    <w:p>
      <w:pPr>
        <w:pStyle w:val="ListParagraph"/>
        <w:numPr>
          <w:ilvl w:val="0"/>
          <w:numId w:val="4"/>
        </w:numPr>
        <w:tabs>
          <w:tab w:pos="1632" w:val="left" w:leader="none"/>
        </w:tabs>
        <w:spacing w:line="249" w:lineRule="auto" w:before="4" w:after="0"/>
        <w:ind w:left="1074" w:right="1274" w:firstLine="340"/>
        <w:jc w:val="both"/>
        <w:rPr>
          <w:sz w:val="20"/>
        </w:rPr>
      </w:pPr>
      <w:r>
        <w:rPr>
          <w:sz w:val="20"/>
        </w:rPr>
        <w:t>«Operador económico»: una persona física o jurídica, una entidad pública, o una agrupación de tales personas o entidades, incluidas las uniones temporales de empresas, que ofrezca en el mercado la ejecución de obras, el suministro de productos o la prestación de</w:t>
      </w:r>
      <w:r>
        <w:rPr>
          <w:spacing w:val="-1"/>
          <w:sz w:val="20"/>
        </w:rPr>
        <w:t> </w:t>
      </w:r>
      <w:r>
        <w:rPr>
          <w:sz w:val="20"/>
        </w:rPr>
        <w:t>servicios.</w:t>
      </w:r>
    </w:p>
    <w:p>
      <w:pPr>
        <w:pStyle w:val="ListParagraph"/>
        <w:numPr>
          <w:ilvl w:val="0"/>
          <w:numId w:val="4"/>
        </w:numPr>
        <w:tabs>
          <w:tab w:pos="1581" w:val="left" w:leader="none"/>
        </w:tabs>
        <w:spacing w:line="240" w:lineRule="auto" w:before="3" w:after="0"/>
        <w:ind w:left="1580" w:right="0" w:hanging="167"/>
        <w:jc w:val="both"/>
        <w:rPr>
          <w:sz w:val="20"/>
        </w:rPr>
      </w:pPr>
      <w:r>
        <w:rPr>
          <w:sz w:val="20"/>
        </w:rPr>
        <w:t>«Licitador»: un operador económico que haya presentado una</w:t>
      </w:r>
      <w:r>
        <w:rPr>
          <w:spacing w:val="-15"/>
          <w:sz w:val="20"/>
        </w:rPr>
        <w:t> </w:t>
      </w:r>
      <w:r>
        <w:rPr>
          <w:sz w:val="20"/>
        </w:rPr>
        <w:t>oferta.</w:t>
      </w:r>
    </w:p>
    <w:p>
      <w:pPr>
        <w:pStyle w:val="ListParagraph"/>
        <w:numPr>
          <w:ilvl w:val="0"/>
          <w:numId w:val="4"/>
        </w:numPr>
        <w:tabs>
          <w:tab w:pos="1657" w:val="left" w:leader="none"/>
        </w:tabs>
        <w:spacing w:line="249" w:lineRule="auto" w:before="10" w:after="0"/>
        <w:ind w:left="1074" w:right="1275" w:firstLine="340"/>
        <w:jc w:val="both"/>
        <w:rPr>
          <w:sz w:val="20"/>
        </w:rPr>
      </w:pPr>
      <w:r>
        <w:rPr>
          <w:sz w:val="20"/>
        </w:rPr>
        <w:t>«Candidato»: un operador económico que haya solicitado una invitación o haya sido invitado a participar en un procedimiento restringido o negociado, en un diálogo competitivo o en una asociación para la</w:t>
      </w:r>
      <w:r>
        <w:rPr>
          <w:spacing w:val="-8"/>
          <w:sz w:val="20"/>
        </w:rPr>
        <w:t> </w:t>
      </w:r>
      <w:r>
        <w:rPr>
          <w:sz w:val="20"/>
        </w:rPr>
        <w:t>innovación.</w:t>
      </w:r>
    </w:p>
    <w:p>
      <w:pPr>
        <w:pStyle w:val="ListParagraph"/>
        <w:numPr>
          <w:ilvl w:val="0"/>
          <w:numId w:val="4"/>
        </w:numPr>
        <w:tabs>
          <w:tab w:pos="1621" w:val="left" w:leader="none"/>
        </w:tabs>
        <w:spacing w:line="249" w:lineRule="auto" w:before="3" w:after="0"/>
        <w:ind w:left="1074" w:right="1272" w:firstLine="340"/>
        <w:jc w:val="both"/>
        <w:rPr>
          <w:sz w:val="20"/>
        </w:rPr>
      </w:pPr>
      <w:r>
        <w:rPr>
          <w:sz w:val="20"/>
        </w:rPr>
        <w:t>«Pliegos de condiciones»: todos los documentos elaborados o mencionados por la entidad contratante para describir o determinar elementos de la contratación o el procedimiento, en particular el anuncio de licitación, el anuncio periódico indicativo o los anuncios sobre la existencia de un sistema de clasificación que sirvan de convocatoria de licitación, las prescripciones técnicas, el documento descriptivo, las condiciones del contrato propuestas, los formatos para la presentación de documentos por los candidatos y licitadores, la información sobre obligaciones generalmente aplicables y cualquier documento adicional.</w:t>
      </w:r>
      <w:r>
        <w:rPr>
          <w:spacing w:val="-5"/>
          <w:sz w:val="20"/>
        </w:rPr>
        <w:t> </w:t>
      </w:r>
      <w:r>
        <w:rPr>
          <w:sz w:val="20"/>
        </w:rPr>
        <w:t>La</w:t>
      </w:r>
      <w:r>
        <w:rPr>
          <w:spacing w:val="-4"/>
          <w:sz w:val="20"/>
        </w:rPr>
        <w:t> </w:t>
      </w:r>
      <w:r>
        <w:rPr>
          <w:sz w:val="20"/>
        </w:rPr>
        <w:t>presente</w:t>
      </w:r>
      <w:r>
        <w:rPr>
          <w:spacing w:val="-4"/>
          <w:sz w:val="20"/>
        </w:rPr>
        <w:t> </w:t>
      </w:r>
      <w:r>
        <w:rPr>
          <w:sz w:val="20"/>
        </w:rPr>
        <w:t>definición</w:t>
      </w:r>
      <w:r>
        <w:rPr>
          <w:spacing w:val="-4"/>
          <w:sz w:val="20"/>
        </w:rPr>
        <w:t> </w:t>
      </w:r>
      <w:r>
        <w:rPr>
          <w:sz w:val="20"/>
        </w:rPr>
        <w:t>se</w:t>
      </w:r>
      <w:r>
        <w:rPr>
          <w:spacing w:val="-3"/>
          <w:sz w:val="20"/>
        </w:rPr>
        <w:t> </w:t>
      </w:r>
      <w:r>
        <w:rPr>
          <w:sz w:val="20"/>
        </w:rPr>
        <w:t>utilizará</w:t>
      </w:r>
      <w:r>
        <w:rPr>
          <w:spacing w:val="-5"/>
          <w:sz w:val="20"/>
        </w:rPr>
        <w:t> </w:t>
      </w:r>
      <w:r>
        <w:rPr>
          <w:sz w:val="20"/>
        </w:rPr>
        <w:t>únicamente</w:t>
      </w:r>
      <w:r>
        <w:rPr>
          <w:spacing w:val="-4"/>
          <w:sz w:val="20"/>
        </w:rPr>
        <w:t> </w:t>
      </w:r>
      <w:r>
        <w:rPr>
          <w:sz w:val="20"/>
        </w:rPr>
        <w:t>con</w:t>
      </w:r>
      <w:r>
        <w:rPr>
          <w:spacing w:val="-3"/>
          <w:sz w:val="20"/>
        </w:rPr>
        <w:t> </w:t>
      </w:r>
      <w:r>
        <w:rPr>
          <w:sz w:val="20"/>
        </w:rPr>
        <w:t>fines</w:t>
      </w:r>
      <w:r>
        <w:rPr>
          <w:spacing w:val="-3"/>
          <w:sz w:val="20"/>
        </w:rPr>
        <w:t> </w:t>
      </w:r>
      <w:r>
        <w:rPr>
          <w:sz w:val="20"/>
        </w:rPr>
        <w:t>de</w:t>
      </w:r>
      <w:r>
        <w:rPr>
          <w:spacing w:val="-4"/>
          <w:sz w:val="20"/>
        </w:rPr>
        <w:t> </w:t>
      </w:r>
      <w:r>
        <w:rPr>
          <w:sz w:val="20"/>
        </w:rPr>
        <w:t>simplificación</w:t>
      </w:r>
      <w:r>
        <w:rPr>
          <w:spacing w:val="-4"/>
          <w:sz w:val="20"/>
        </w:rPr>
        <w:t> </w:t>
      </w:r>
      <w:r>
        <w:rPr>
          <w:sz w:val="20"/>
        </w:rPr>
        <w:t>del</w:t>
      </w:r>
      <w:r>
        <w:rPr>
          <w:spacing w:val="-4"/>
          <w:sz w:val="20"/>
        </w:rPr>
        <w:t> </w:t>
      </w:r>
      <w:r>
        <w:rPr>
          <w:sz w:val="20"/>
        </w:rPr>
        <w:t>texto.</w:t>
      </w:r>
    </w:p>
    <w:p>
      <w:pPr>
        <w:pStyle w:val="ListParagraph"/>
        <w:numPr>
          <w:ilvl w:val="0"/>
          <w:numId w:val="4"/>
        </w:numPr>
        <w:tabs>
          <w:tab w:pos="1708" w:val="left" w:leader="none"/>
        </w:tabs>
        <w:spacing w:line="249" w:lineRule="auto" w:before="6" w:after="0"/>
        <w:ind w:left="1074" w:right="1273" w:firstLine="340"/>
        <w:jc w:val="both"/>
        <w:rPr>
          <w:sz w:val="20"/>
        </w:rPr>
      </w:pPr>
      <w:r>
        <w:rPr>
          <w:sz w:val="20"/>
        </w:rPr>
        <w:t>«Actividades de compra centralizadas»: alguno de los tipos de actividades siguientes, realizado con carácter</w:t>
      </w:r>
      <w:r>
        <w:rPr>
          <w:spacing w:val="-1"/>
          <w:sz w:val="20"/>
        </w:rPr>
        <w:t> </w:t>
      </w:r>
      <w:r>
        <w:rPr>
          <w:sz w:val="20"/>
        </w:rPr>
        <w:t>permanente:</w:t>
      </w:r>
    </w:p>
    <w:p>
      <w:pPr>
        <w:pStyle w:val="ListParagraph"/>
        <w:numPr>
          <w:ilvl w:val="0"/>
          <w:numId w:val="6"/>
        </w:numPr>
        <w:tabs>
          <w:tab w:pos="1583" w:val="left" w:leader="none"/>
        </w:tabs>
        <w:spacing w:line="240" w:lineRule="auto" w:before="122" w:after="0"/>
        <w:ind w:left="1582" w:right="0" w:hanging="169"/>
        <w:jc w:val="left"/>
        <w:rPr>
          <w:sz w:val="20"/>
        </w:rPr>
      </w:pPr>
      <w:r>
        <w:rPr>
          <w:sz w:val="20"/>
        </w:rPr>
        <w:t>º La adquisición de suministros y/o servicios destinados a entidades</w:t>
      </w:r>
      <w:r>
        <w:rPr>
          <w:spacing w:val="-14"/>
          <w:sz w:val="20"/>
        </w:rPr>
        <w:t> </w:t>
      </w:r>
      <w:r>
        <w:rPr>
          <w:sz w:val="20"/>
        </w:rPr>
        <w:t>contratantes.</w:t>
      </w:r>
    </w:p>
    <w:p>
      <w:pPr>
        <w:pStyle w:val="ListParagraph"/>
        <w:numPr>
          <w:ilvl w:val="0"/>
          <w:numId w:val="6"/>
        </w:numPr>
        <w:tabs>
          <w:tab w:pos="1583" w:val="left" w:leader="none"/>
        </w:tabs>
        <w:spacing w:line="249" w:lineRule="auto" w:before="10" w:after="0"/>
        <w:ind w:left="1074" w:right="1274" w:firstLine="340"/>
        <w:jc w:val="both"/>
        <w:rPr>
          <w:sz w:val="20"/>
        </w:rPr>
      </w:pPr>
      <w:r>
        <w:rPr>
          <w:sz w:val="20"/>
        </w:rPr>
        <w:t>º La adjudicación de contratos o la celebración de acuerdos marco de obras, suministros o servicios destinados a entidades</w:t>
      </w:r>
      <w:r>
        <w:rPr>
          <w:spacing w:val="-6"/>
          <w:sz w:val="20"/>
        </w:rPr>
        <w:t> </w:t>
      </w:r>
      <w:r>
        <w:rPr>
          <w:sz w:val="20"/>
        </w:rPr>
        <w:t>contratantes.</w:t>
      </w:r>
    </w:p>
    <w:p>
      <w:pPr>
        <w:pStyle w:val="ListParagraph"/>
        <w:numPr>
          <w:ilvl w:val="0"/>
          <w:numId w:val="4"/>
        </w:numPr>
        <w:tabs>
          <w:tab w:pos="1701" w:val="left" w:leader="none"/>
        </w:tabs>
        <w:spacing w:line="249" w:lineRule="auto" w:before="122" w:after="0"/>
        <w:ind w:left="1074" w:right="1276" w:firstLine="340"/>
        <w:jc w:val="both"/>
        <w:rPr>
          <w:sz w:val="20"/>
        </w:rPr>
      </w:pPr>
      <w:r>
        <w:rPr>
          <w:sz w:val="20"/>
        </w:rPr>
        <w:t>«Actividades de compra auxiliares»: actividades consistentes en la prestación de apoyo a las actividades de compra, en particular en las formas</w:t>
      </w:r>
      <w:r>
        <w:rPr>
          <w:spacing w:val="-17"/>
          <w:sz w:val="20"/>
        </w:rPr>
        <w:t> </w:t>
      </w:r>
      <w:r>
        <w:rPr>
          <w:sz w:val="20"/>
        </w:rPr>
        <w:t>siguientes:</w:t>
      </w:r>
    </w:p>
    <w:p>
      <w:pPr>
        <w:pStyle w:val="ListParagraph"/>
        <w:numPr>
          <w:ilvl w:val="0"/>
          <w:numId w:val="7"/>
        </w:numPr>
        <w:tabs>
          <w:tab w:pos="1583" w:val="left" w:leader="none"/>
        </w:tabs>
        <w:spacing w:line="249" w:lineRule="auto" w:before="121" w:after="0"/>
        <w:ind w:left="1074" w:right="1272" w:firstLine="340"/>
        <w:jc w:val="left"/>
        <w:rPr>
          <w:sz w:val="20"/>
        </w:rPr>
      </w:pPr>
      <w:r>
        <w:rPr>
          <w:sz w:val="20"/>
        </w:rPr>
        <w:t>º Infraestructuras técnicas que permitan a las entidades contratantes adjudicar contratos públicos o celebrar acuerdos marco de obras, suministros o</w:t>
      </w:r>
      <w:r>
        <w:rPr>
          <w:spacing w:val="-13"/>
          <w:sz w:val="20"/>
        </w:rPr>
        <w:t> </w:t>
      </w:r>
      <w:r>
        <w:rPr>
          <w:sz w:val="20"/>
        </w:rPr>
        <w:t>servicios.</w:t>
      </w:r>
    </w:p>
    <w:p>
      <w:pPr>
        <w:pStyle w:val="ListParagraph"/>
        <w:numPr>
          <w:ilvl w:val="0"/>
          <w:numId w:val="7"/>
        </w:numPr>
        <w:tabs>
          <w:tab w:pos="1583" w:val="left" w:leader="none"/>
        </w:tabs>
        <w:spacing w:line="249" w:lineRule="auto" w:before="2" w:after="0"/>
        <w:ind w:left="1074" w:right="1272" w:firstLine="340"/>
        <w:jc w:val="left"/>
        <w:rPr>
          <w:sz w:val="20"/>
        </w:rPr>
      </w:pPr>
      <w:r>
        <w:rPr>
          <w:sz w:val="20"/>
        </w:rPr>
        <w:t>º Asesoramiento sobre la realización o la concepción de los procedimientos de contratación.</w:t>
      </w:r>
    </w:p>
    <w:p>
      <w:pPr>
        <w:pStyle w:val="ListParagraph"/>
        <w:numPr>
          <w:ilvl w:val="0"/>
          <w:numId w:val="7"/>
        </w:numPr>
        <w:tabs>
          <w:tab w:pos="1583" w:val="left" w:leader="none"/>
        </w:tabs>
        <w:spacing w:line="249" w:lineRule="auto" w:before="1" w:after="0"/>
        <w:ind w:left="1074" w:right="1274" w:firstLine="340"/>
        <w:jc w:val="left"/>
        <w:rPr>
          <w:sz w:val="20"/>
        </w:rPr>
      </w:pPr>
      <w:r>
        <w:rPr>
          <w:sz w:val="20"/>
        </w:rPr>
        <w:t>º Preparación y gestión de los procedimientos de contratación en nombre y por cuenta de la entidad contratante de que se</w:t>
      </w:r>
      <w:r>
        <w:rPr>
          <w:spacing w:val="-6"/>
          <w:sz w:val="20"/>
        </w:rPr>
        <w:t> </w:t>
      </w:r>
      <w:r>
        <w:rPr>
          <w:sz w:val="20"/>
        </w:rPr>
        <w:t>trate.</w:t>
      </w:r>
    </w:p>
    <w:p>
      <w:pPr>
        <w:spacing w:after="0" w:line="249"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3"/>
      </w:pPr>
      <w:r>
        <w:rPr/>
        <w:t>ñ) «Central de compras»: una entidad contratante que realiza actividades de compra centralizadas y, en su caso, actividades de compra auxiliares. A los efectos de este decreto- ley las centrales de compras tendrán la consideración de entidades contratantes.</w:t>
      </w:r>
    </w:p>
    <w:p>
      <w:pPr>
        <w:pStyle w:val="BodyText"/>
        <w:spacing w:line="249" w:lineRule="auto" w:before="3"/>
        <w:ind w:right="1273"/>
      </w:pPr>
      <w:r>
        <w:rPr/>
        <w:t>Las contrataciones realizadas por una central de compras para efectuar actividades de compra centralizadas se considerarán contrataciones para el ejercicio de las actividades reguladas en este real decreto-ley.</w:t>
      </w:r>
    </w:p>
    <w:p>
      <w:pPr>
        <w:pStyle w:val="ListParagraph"/>
        <w:numPr>
          <w:ilvl w:val="0"/>
          <w:numId w:val="4"/>
        </w:numPr>
        <w:tabs>
          <w:tab w:pos="1664" w:val="left" w:leader="none"/>
        </w:tabs>
        <w:spacing w:line="249" w:lineRule="auto" w:before="2" w:after="0"/>
        <w:ind w:left="1074" w:right="1275" w:firstLine="340"/>
        <w:jc w:val="both"/>
        <w:rPr>
          <w:sz w:val="20"/>
        </w:rPr>
      </w:pPr>
      <w:r>
        <w:rPr>
          <w:sz w:val="20"/>
        </w:rPr>
        <w:t>«Prestador de servicios de contratación»: un organismo público o privado que ofrece en el mercado actividades de compra</w:t>
      </w:r>
      <w:r>
        <w:rPr>
          <w:spacing w:val="-6"/>
          <w:sz w:val="20"/>
        </w:rPr>
        <w:t> </w:t>
      </w:r>
      <w:r>
        <w:rPr>
          <w:sz w:val="20"/>
        </w:rPr>
        <w:t>auxiliares.</w:t>
      </w:r>
    </w:p>
    <w:p>
      <w:pPr>
        <w:pStyle w:val="ListParagraph"/>
        <w:numPr>
          <w:ilvl w:val="0"/>
          <w:numId w:val="4"/>
        </w:numPr>
        <w:tabs>
          <w:tab w:pos="1681" w:val="left" w:leader="none"/>
        </w:tabs>
        <w:spacing w:line="249" w:lineRule="auto" w:before="2" w:after="0"/>
        <w:ind w:left="1074" w:right="1273" w:firstLine="340"/>
        <w:jc w:val="both"/>
        <w:rPr>
          <w:sz w:val="20"/>
        </w:rPr>
      </w:pPr>
      <w:r>
        <w:rPr>
          <w:sz w:val="20"/>
        </w:rPr>
        <w:t>«Escrito» o «por escrito»: cualquier expresión consistente en palabras o cifras que pueda leerse, reproducirse y después comunicarse, incluida la información transmitida y almacenada por medios</w:t>
      </w:r>
      <w:r>
        <w:rPr>
          <w:spacing w:val="-3"/>
          <w:sz w:val="20"/>
        </w:rPr>
        <w:t> </w:t>
      </w:r>
      <w:r>
        <w:rPr>
          <w:sz w:val="20"/>
        </w:rPr>
        <w:t>electrónicos.</w:t>
      </w:r>
    </w:p>
    <w:p>
      <w:pPr>
        <w:pStyle w:val="ListParagraph"/>
        <w:numPr>
          <w:ilvl w:val="0"/>
          <w:numId w:val="4"/>
        </w:numPr>
        <w:tabs>
          <w:tab w:pos="1649" w:val="left" w:leader="none"/>
        </w:tabs>
        <w:spacing w:line="249" w:lineRule="auto" w:before="2" w:after="0"/>
        <w:ind w:left="1074" w:right="1273" w:firstLine="340"/>
        <w:jc w:val="both"/>
        <w:rPr>
          <w:sz w:val="20"/>
        </w:rPr>
      </w:pPr>
      <w:r>
        <w:rPr>
          <w:sz w:val="20"/>
        </w:rPr>
        <w:t>«Medio electrónico»: un medio que utilice equipos electrónicos de tratamiento (incluida la compresión digital) y almacenamiento de datos que se transmiten, envían y reciben por medios alámbricos, radiofónicos, ópticos o por otros medios</w:t>
      </w:r>
      <w:r>
        <w:rPr>
          <w:spacing w:val="-16"/>
          <w:sz w:val="20"/>
        </w:rPr>
        <w:t> </w:t>
      </w:r>
      <w:r>
        <w:rPr>
          <w:sz w:val="20"/>
        </w:rPr>
        <w:t>electromagnéticos.</w:t>
      </w:r>
    </w:p>
    <w:p>
      <w:pPr>
        <w:pStyle w:val="ListParagraph"/>
        <w:numPr>
          <w:ilvl w:val="0"/>
          <w:numId w:val="4"/>
        </w:numPr>
        <w:tabs>
          <w:tab w:pos="1646" w:val="left" w:leader="none"/>
        </w:tabs>
        <w:spacing w:line="249" w:lineRule="auto" w:before="3" w:after="0"/>
        <w:ind w:left="1074" w:right="1272" w:firstLine="340"/>
        <w:jc w:val="both"/>
        <w:rPr>
          <w:sz w:val="20"/>
        </w:rPr>
      </w:pPr>
      <w:r>
        <w:rPr>
          <w:sz w:val="20"/>
        </w:rPr>
        <w:t>«Ciclo de vida»: todas las fases consecutivas o interrelacionadas que se sucedan durante la existencia del producto, obra o servicio, y en todo caso: la investigación y el desarrollo que hayan de llevarse a cabo, la fabricación o producción, la comercialización y las condiciones en que esta tenga lugar, el transporte, la utilización y el mantenimiento, la adquisición de las materias primas y la generación de recursos; todo ello hasta que se produzca la eliminación, el desmantelamiento o el final de la</w:t>
      </w:r>
      <w:r>
        <w:rPr>
          <w:spacing w:val="-20"/>
          <w:sz w:val="20"/>
        </w:rPr>
        <w:t> </w:t>
      </w:r>
      <w:r>
        <w:rPr>
          <w:sz w:val="20"/>
        </w:rPr>
        <w:t>utilización.</w:t>
      </w:r>
    </w:p>
    <w:p>
      <w:pPr>
        <w:pStyle w:val="ListParagraph"/>
        <w:numPr>
          <w:ilvl w:val="0"/>
          <w:numId w:val="4"/>
        </w:numPr>
        <w:tabs>
          <w:tab w:pos="1691" w:val="left" w:leader="none"/>
        </w:tabs>
        <w:spacing w:line="249" w:lineRule="auto" w:before="5" w:after="0"/>
        <w:ind w:left="1074" w:right="1273" w:firstLine="340"/>
        <w:jc w:val="both"/>
        <w:rPr>
          <w:sz w:val="20"/>
        </w:rPr>
      </w:pPr>
      <w:r>
        <w:rPr>
          <w:sz w:val="20"/>
        </w:rPr>
        <w:t>«Concurso de proyectos»: el procedimiento que permite a la entidad contratante adquirir, principalmente en los ámbitos de la ordenación territorial, el urbanismo, la arquitectura, la ingeniería o el tratamiento de datos, planes o proyectos seleccionados por un jurado después de haber sido objeto de una licitación, con o sin concesión de</w:t>
      </w:r>
      <w:r>
        <w:rPr>
          <w:spacing w:val="-34"/>
          <w:sz w:val="20"/>
        </w:rPr>
        <w:t> </w:t>
      </w:r>
      <w:r>
        <w:rPr>
          <w:sz w:val="20"/>
        </w:rPr>
        <w:t>premios.</w:t>
      </w:r>
    </w:p>
    <w:p>
      <w:pPr>
        <w:pStyle w:val="ListParagraph"/>
        <w:numPr>
          <w:ilvl w:val="0"/>
          <w:numId w:val="4"/>
        </w:numPr>
        <w:tabs>
          <w:tab w:pos="1733" w:val="left" w:leader="none"/>
        </w:tabs>
        <w:spacing w:line="249" w:lineRule="auto" w:before="3" w:after="0"/>
        <w:ind w:left="1074" w:right="1274" w:firstLine="340"/>
        <w:jc w:val="both"/>
        <w:rPr>
          <w:sz w:val="20"/>
        </w:rPr>
      </w:pPr>
      <w:r>
        <w:rPr>
          <w:sz w:val="20"/>
        </w:rPr>
        <w:t>«Innovación»: introducción de un producto, servicio o proceso nuevos o significativamente mejorados, que incluye, aunque no se limita a ellos, los procesos de producción, edificación o construcción, de un nuevo método de comercialización o un nuevo método de organización en las prácticas empresariales, la organización del lugar de trabajo o las relaciones exteriores, con el objetivo de ayudar, entre otros, a resolver los desafíos de la Estrategia Europa</w:t>
      </w:r>
      <w:r>
        <w:rPr>
          <w:spacing w:val="-2"/>
          <w:sz w:val="20"/>
        </w:rPr>
        <w:t> </w:t>
      </w:r>
      <w:r>
        <w:rPr>
          <w:sz w:val="20"/>
        </w:rPr>
        <w:t>2020.</w:t>
      </w:r>
    </w:p>
    <w:p>
      <w:pPr>
        <w:pStyle w:val="ListParagraph"/>
        <w:numPr>
          <w:ilvl w:val="0"/>
          <w:numId w:val="4"/>
        </w:numPr>
        <w:tabs>
          <w:tab w:pos="1695" w:val="left" w:leader="none"/>
        </w:tabs>
        <w:spacing w:line="249" w:lineRule="auto" w:before="5" w:after="0"/>
        <w:ind w:left="1074" w:right="1274" w:firstLine="340"/>
        <w:jc w:val="both"/>
        <w:rPr>
          <w:sz w:val="20"/>
        </w:rPr>
      </w:pPr>
      <w:r>
        <w:rPr>
          <w:sz w:val="20"/>
        </w:rPr>
        <w:t>«Etiqueta»: cualquier documento, certificado o acreditación que confirme que una obra, producto, servicio, proceso o procedimiento determinado cumple ciertos</w:t>
      </w:r>
      <w:r>
        <w:rPr>
          <w:spacing w:val="-27"/>
          <w:sz w:val="20"/>
        </w:rPr>
        <w:t> </w:t>
      </w:r>
      <w:r>
        <w:rPr>
          <w:sz w:val="20"/>
        </w:rPr>
        <w:t>requisitos.</w:t>
      </w:r>
    </w:p>
    <w:p>
      <w:pPr>
        <w:pStyle w:val="ListParagraph"/>
        <w:numPr>
          <w:ilvl w:val="0"/>
          <w:numId w:val="4"/>
        </w:numPr>
        <w:tabs>
          <w:tab w:pos="1655" w:val="left" w:leader="none"/>
        </w:tabs>
        <w:spacing w:line="249" w:lineRule="auto" w:before="1" w:after="0"/>
        <w:ind w:left="1074" w:right="1275" w:firstLine="340"/>
        <w:jc w:val="both"/>
        <w:rPr>
          <w:sz w:val="20"/>
        </w:rPr>
      </w:pPr>
      <w:r>
        <w:rPr>
          <w:sz w:val="20"/>
        </w:rPr>
        <w:t>«Requisitos aplicables a efectos de la etiqueta»: los requisitos que debe cumplir una obra, producto, servicio, proceso o procedimiento determinado para conseguir la etiqueta de que se</w:t>
      </w:r>
      <w:r>
        <w:rPr>
          <w:spacing w:val="-2"/>
          <w:sz w:val="20"/>
        </w:rPr>
        <w:t> </w:t>
      </w:r>
      <w:r>
        <w:rPr>
          <w:sz w:val="20"/>
        </w:rPr>
        <w:t>trata.</w:t>
      </w:r>
    </w:p>
    <w:p>
      <w:pPr>
        <w:pStyle w:val="ListParagraph"/>
        <w:numPr>
          <w:ilvl w:val="0"/>
          <w:numId w:val="4"/>
        </w:numPr>
        <w:tabs>
          <w:tab w:pos="1707" w:val="left" w:leader="none"/>
        </w:tabs>
        <w:spacing w:line="249" w:lineRule="auto" w:before="3" w:after="0"/>
        <w:ind w:left="1074" w:right="1272" w:firstLine="340"/>
        <w:jc w:val="both"/>
        <w:rPr>
          <w:sz w:val="20"/>
        </w:rPr>
      </w:pPr>
      <w:r>
        <w:rPr>
          <w:sz w:val="20"/>
        </w:rPr>
        <w:t>«Envío postal»: todo objeto destinado a ser expedido a la dirección indicada por el remitente sobre el objeto mismo o sobre su envoltorio, una vez presentado en la forma definitiva en la cual debe ser recogido, transportado y entregado. Además de los envíos de correspondencia incluirá la publicidad directa, los libros, catálogos, diarios, publicaciones periódicas y los paquetes postales que contengan mercancías con o sin valor comercial, cualquiera que sea su</w:t>
      </w:r>
      <w:r>
        <w:rPr>
          <w:spacing w:val="-2"/>
          <w:sz w:val="20"/>
        </w:rPr>
        <w:t> </w:t>
      </w:r>
      <w:r>
        <w:rPr>
          <w:sz w:val="20"/>
        </w:rPr>
        <w:t>peso.</w:t>
      </w:r>
    </w:p>
    <w:p>
      <w:pPr>
        <w:pStyle w:val="ListParagraph"/>
        <w:numPr>
          <w:ilvl w:val="0"/>
          <w:numId w:val="4"/>
        </w:numPr>
        <w:tabs>
          <w:tab w:pos="1651" w:val="left" w:leader="none"/>
        </w:tabs>
        <w:spacing w:line="249" w:lineRule="auto" w:before="5" w:after="0"/>
        <w:ind w:left="1074" w:right="1274" w:firstLine="340"/>
        <w:jc w:val="both"/>
        <w:rPr>
          <w:sz w:val="20"/>
        </w:rPr>
      </w:pPr>
      <w:r>
        <w:rPr>
          <w:sz w:val="20"/>
        </w:rPr>
        <w:t>«Servicios postales»: cualesquiera servicios consistentes en la recogida, la admisión, la clasificación, el transporte, la distribución y la entrega de envíos</w:t>
      </w:r>
      <w:r>
        <w:rPr>
          <w:spacing w:val="-18"/>
          <w:sz w:val="20"/>
        </w:rPr>
        <w:t> </w:t>
      </w:r>
      <w:r>
        <w:rPr>
          <w:sz w:val="20"/>
        </w:rPr>
        <w:t>postales.</w:t>
      </w:r>
    </w:p>
    <w:p>
      <w:pPr>
        <w:pStyle w:val="ListParagraph"/>
        <w:numPr>
          <w:ilvl w:val="0"/>
          <w:numId w:val="4"/>
        </w:numPr>
        <w:tabs>
          <w:tab w:pos="1681" w:val="left" w:leader="none"/>
        </w:tabs>
        <w:spacing w:line="249" w:lineRule="auto" w:before="1" w:after="0"/>
        <w:ind w:left="1074" w:right="1273" w:firstLine="340"/>
        <w:jc w:val="both"/>
        <w:rPr>
          <w:sz w:val="20"/>
        </w:rPr>
      </w:pPr>
      <w:r>
        <w:rPr>
          <w:sz w:val="20"/>
        </w:rPr>
        <w:t>«Derecho exclusivo»: un derecho concedido por los órganos competentes de una Administración pública en virtud de cualquier disposición legislativa, reglamentaria o administrativa publicada que sea compatible con el Tratado de Funcionamiento de la Unión Europea, que tenga como efecto limitar el ejercicio de una actividad a un único operador económico y que afecte sustancialmente a la capacidad de los demás operadores económicos de ejercer una</w:t>
      </w:r>
      <w:r>
        <w:rPr>
          <w:spacing w:val="-6"/>
          <w:sz w:val="20"/>
        </w:rPr>
        <w:t> </w:t>
      </w:r>
      <w:r>
        <w:rPr>
          <w:sz w:val="20"/>
        </w:rPr>
        <w:t>actividad.</w:t>
      </w:r>
    </w:p>
    <w:p>
      <w:pPr>
        <w:pStyle w:val="ListParagraph"/>
        <w:numPr>
          <w:ilvl w:val="0"/>
          <w:numId w:val="4"/>
        </w:numPr>
        <w:tabs>
          <w:tab w:pos="1688" w:val="left" w:leader="none"/>
        </w:tabs>
        <w:spacing w:line="249" w:lineRule="auto" w:before="5" w:after="0"/>
        <w:ind w:left="1074" w:right="1273" w:firstLine="340"/>
        <w:jc w:val="both"/>
        <w:rPr>
          <w:sz w:val="20"/>
        </w:rPr>
      </w:pPr>
      <w:r>
        <w:rPr>
          <w:sz w:val="20"/>
        </w:rPr>
        <w:t>«Derecho especial»: un derecho concedido por los órganos competentes de una Administración pública en virtud de cualquier disposición legislativa, reglamentaria o administrativa publicada que sea compatible con el Tratado de Funcionamiento de la Unión Europea, que tenga como efecto limitar el ejercicio de una actividad a una serie de operadores económicos y que afecte sustancialmente a la capacidad de los demás operadores económicos de ejercer una</w:t>
      </w:r>
      <w:r>
        <w:rPr>
          <w:spacing w:val="-8"/>
          <w:sz w:val="20"/>
        </w:rPr>
        <w:t> </w:t>
      </w:r>
      <w:r>
        <w:rPr>
          <w:sz w:val="20"/>
        </w:rPr>
        <w:t>actividad.</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3. Nomenclatura." w:id="12"/>
      <w:bookmarkEnd w:id="12"/>
      <w:r>
        <w:rPr/>
      </w:r>
      <w:r>
        <w:rPr>
          <w:b/>
          <w:sz w:val="20"/>
        </w:rPr>
        <w:t>Artículo 3.</w:t>
      </w:r>
      <w:r>
        <w:rPr>
          <w:b/>
          <w:spacing w:val="54"/>
          <w:sz w:val="20"/>
        </w:rPr>
        <w:t> </w:t>
      </w:r>
      <w:r>
        <w:rPr>
          <w:i/>
          <w:sz w:val="20"/>
        </w:rPr>
        <w:t>Nomenclatura.</w:t>
      </w:r>
    </w:p>
    <w:p>
      <w:pPr>
        <w:pStyle w:val="BodyText"/>
        <w:spacing w:line="249" w:lineRule="auto" w:before="118"/>
        <w:ind w:right="1274"/>
      </w:pPr>
      <w:r>
        <w:rPr/>
        <w:t>A los efectos de identificar las prestaciones que son objeto de los contratos regulados en este real decreto-ley, se utilizará el «Vocabulario común de contratos públicos (CPV)» aprobado por el Reglamento (CE) n.° 2195/2002 del Parlamento Europeo y del Consejo de 5 de noviembre de 2002, por el que se aprueba el Vocabulario común de contratos públicos (CPV).</w:t>
      </w:r>
    </w:p>
    <w:p>
      <w:pPr>
        <w:pStyle w:val="BodyText"/>
        <w:spacing w:before="6"/>
        <w:ind w:left="0" w:firstLine="0"/>
        <w:jc w:val="left"/>
      </w:pPr>
    </w:p>
    <w:p>
      <w:pPr>
        <w:spacing w:line="249" w:lineRule="auto" w:before="1"/>
        <w:ind w:left="1074" w:right="1273" w:firstLine="0"/>
        <w:jc w:val="both"/>
        <w:rPr>
          <w:i/>
          <w:sz w:val="20"/>
        </w:rPr>
      </w:pPr>
      <w:bookmarkStart w:name="Artículo 4. Métodos para calcular el val" w:id="13"/>
      <w:bookmarkEnd w:id="13"/>
      <w:r>
        <w:rPr/>
      </w:r>
      <w:r>
        <w:rPr>
          <w:b/>
          <w:sz w:val="20"/>
        </w:rPr>
        <w:t>Artículo 4. </w:t>
      </w:r>
      <w:r>
        <w:rPr>
          <w:i/>
          <w:sz w:val="20"/>
        </w:rPr>
        <w:t>Métodos para calcular el valor estimado de los contratos, de los acuerdos marco </w:t>
      </w:r>
      <w:r>
        <w:rPr>
          <w:i/>
          <w:sz w:val="20"/>
        </w:rPr>
        <w:t>y de los sistemas dinámicos de</w:t>
      </w:r>
      <w:r>
        <w:rPr>
          <w:i/>
          <w:spacing w:val="-6"/>
          <w:sz w:val="20"/>
        </w:rPr>
        <w:t> </w:t>
      </w:r>
      <w:r>
        <w:rPr>
          <w:i/>
          <w:sz w:val="20"/>
        </w:rPr>
        <w:t>adquisición.</w:t>
      </w:r>
    </w:p>
    <w:p>
      <w:pPr>
        <w:pStyle w:val="ListParagraph"/>
        <w:numPr>
          <w:ilvl w:val="0"/>
          <w:numId w:val="8"/>
        </w:numPr>
        <w:tabs>
          <w:tab w:pos="1695" w:val="left" w:leader="none"/>
        </w:tabs>
        <w:spacing w:line="249" w:lineRule="auto" w:before="109" w:after="0"/>
        <w:ind w:left="1074" w:right="1273" w:firstLine="340"/>
        <w:jc w:val="both"/>
        <w:rPr>
          <w:sz w:val="20"/>
        </w:rPr>
      </w:pPr>
      <w:r>
        <w:rPr>
          <w:sz w:val="20"/>
        </w:rPr>
        <w:t>A todos los efectos previstos en este real decreto-ley, el valor estimado de los contratos será determinado como</w:t>
      </w:r>
      <w:r>
        <w:rPr>
          <w:spacing w:val="-2"/>
          <w:sz w:val="20"/>
        </w:rPr>
        <w:t> </w:t>
      </w:r>
      <w:r>
        <w:rPr>
          <w:sz w:val="20"/>
        </w:rPr>
        <w:t>sigue:</w:t>
      </w:r>
    </w:p>
    <w:p>
      <w:pPr>
        <w:pStyle w:val="ListParagraph"/>
        <w:numPr>
          <w:ilvl w:val="0"/>
          <w:numId w:val="9"/>
        </w:numPr>
        <w:tabs>
          <w:tab w:pos="1671" w:val="left" w:leader="none"/>
        </w:tabs>
        <w:spacing w:line="249" w:lineRule="auto" w:before="121" w:after="0"/>
        <w:ind w:left="1074" w:right="1273" w:firstLine="340"/>
        <w:jc w:val="both"/>
        <w:rPr>
          <w:sz w:val="20"/>
        </w:rPr>
      </w:pPr>
      <w:r>
        <w:rPr>
          <w:sz w:val="20"/>
        </w:rPr>
        <w:t>En el caso de los contratos de obras, suministros y servicios, la entidad contratante tomará el importe total, sin incluir el Impuesto sobre el Valor Añadido, pagadero según sus estimaciones.</w:t>
      </w:r>
    </w:p>
    <w:p>
      <w:pPr>
        <w:pStyle w:val="ListParagraph"/>
        <w:numPr>
          <w:ilvl w:val="0"/>
          <w:numId w:val="9"/>
        </w:numPr>
        <w:tabs>
          <w:tab w:pos="1677" w:val="left" w:leader="none"/>
        </w:tabs>
        <w:spacing w:line="249" w:lineRule="auto" w:before="3" w:after="0"/>
        <w:ind w:left="1074" w:right="1271" w:firstLine="340"/>
        <w:jc w:val="both"/>
        <w:rPr>
          <w:sz w:val="20"/>
        </w:rPr>
      </w:pPr>
      <w:r>
        <w:rPr>
          <w:sz w:val="20"/>
        </w:rPr>
        <w:t>En el caso de los contratos de concesión de obras y de concesión de servicios, la entidad contratante tomará el importe neto de la cifra de negocios, sin incluir el Impuesto sobre el Valor Añadido, que según sus estimaciones generará la empresa concesionaria durante la ejecución del mismo, como contraprestación por las obras y los servicios objeto del contrato, así como de los suministros relacionados con estas obras y</w:t>
      </w:r>
      <w:r>
        <w:rPr>
          <w:spacing w:val="-13"/>
          <w:sz w:val="20"/>
        </w:rPr>
        <w:t> </w:t>
      </w:r>
      <w:r>
        <w:rPr>
          <w:sz w:val="20"/>
        </w:rPr>
        <w:t>servicios.</w:t>
      </w:r>
    </w:p>
    <w:p>
      <w:pPr>
        <w:pStyle w:val="ListParagraph"/>
        <w:numPr>
          <w:ilvl w:val="0"/>
          <w:numId w:val="8"/>
        </w:numPr>
        <w:tabs>
          <w:tab w:pos="1644" w:val="left" w:leader="none"/>
        </w:tabs>
        <w:spacing w:line="249" w:lineRule="auto" w:before="124" w:after="0"/>
        <w:ind w:left="1074" w:right="1274" w:firstLine="340"/>
        <w:jc w:val="both"/>
        <w:rPr>
          <w:sz w:val="20"/>
        </w:rPr>
      </w:pPr>
      <w:r>
        <w:rPr>
          <w:sz w:val="20"/>
        </w:rPr>
        <w:t>En el cálculo del valor estimado deberán tenerse en cuenta como mínimo, además de los costes derivados de la aplicación de las normativas laborales vigentes, otros costes que se deriven de la ejecución material de los servicios, los gastos generales de estructura y el beneficio industrial. Asimismo, deberán tenerse en</w:t>
      </w:r>
      <w:r>
        <w:rPr>
          <w:spacing w:val="-7"/>
          <w:sz w:val="20"/>
        </w:rPr>
        <w:t> </w:t>
      </w:r>
      <w:r>
        <w:rPr>
          <w:sz w:val="20"/>
        </w:rPr>
        <w:t>cuenta:</w:t>
      </w:r>
    </w:p>
    <w:p>
      <w:pPr>
        <w:pStyle w:val="ListParagraph"/>
        <w:numPr>
          <w:ilvl w:val="0"/>
          <w:numId w:val="10"/>
        </w:numPr>
        <w:tabs>
          <w:tab w:pos="1648" w:val="left" w:leader="none"/>
        </w:tabs>
        <w:spacing w:line="240" w:lineRule="auto" w:before="123" w:after="0"/>
        <w:ind w:left="1647" w:right="0" w:hanging="234"/>
        <w:jc w:val="both"/>
        <w:rPr>
          <w:sz w:val="20"/>
        </w:rPr>
      </w:pPr>
      <w:r>
        <w:rPr>
          <w:sz w:val="20"/>
        </w:rPr>
        <w:t>Cualquier forma de opción eventual y las eventuales prórrogas del</w:t>
      </w:r>
      <w:r>
        <w:rPr>
          <w:spacing w:val="-17"/>
          <w:sz w:val="20"/>
        </w:rPr>
        <w:t> </w:t>
      </w:r>
      <w:r>
        <w:rPr>
          <w:sz w:val="20"/>
        </w:rPr>
        <w:t>contrato.</w:t>
      </w:r>
    </w:p>
    <w:p>
      <w:pPr>
        <w:pStyle w:val="ListParagraph"/>
        <w:numPr>
          <w:ilvl w:val="0"/>
          <w:numId w:val="10"/>
        </w:numPr>
        <w:tabs>
          <w:tab w:pos="1721" w:val="left" w:leader="none"/>
        </w:tabs>
        <w:spacing w:line="249" w:lineRule="auto" w:before="10" w:after="0"/>
        <w:ind w:left="1074" w:right="1274" w:firstLine="340"/>
        <w:jc w:val="both"/>
        <w:rPr>
          <w:sz w:val="20"/>
        </w:rPr>
      </w:pPr>
      <w:r>
        <w:rPr>
          <w:sz w:val="20"/>
        </w:rPr>
        <w:t>Cuando se haya previsto abonar primas o efectuar pagos a los candidatos o licitadores, la cuantía de los</w:t>
      </w:r>
      <w:r>
        <w:rPr>
          <w:spacing w:val="-5"/>
          <w:sz w:val="20"/>
        </w:rPr>
        <w:t> </w:t>
      </w:r>
      <w:r>
        <w:rPr>
          <w:sz w:val="20"/>
        </w:rPr>
        <w:t>mismos.</w:t>
      </w:r>
    </w:p>
    <w:p>
      <w:pPr>
        <w:pStyle w:val="ListParagraph"/>
        <w:numPr>
          <w:ilvl w:val="0"/>
          <w:numId w:val="10"/>
        </w:numPr>
        <w:tabs>
          <w:tab w:pos="1682" w:val="left" w:leader="none"/>
        </w:tabs>
        <w:spacing w:line="249" w:lineRule="auto" w:before="2" w:after="0"/>
        <w:ind w:left="1074" w:right="1274" w:firstLine="340"/>
        <w:jc w:val="both"/>
        <w:rPr>
          <w:sz w:val="20"/>
        </w:rPr>
      </w:pPr>
      <w:r>
        <w:rPr>
          <w:sz w:val="20"/>
        </w:rPr>
        <w:t>En el caso de que, de conformidad con lo dispuesto en el artículo 110, se haya previsto en el pliego de condiciones o en el anuncio de licitación la posibilidad de que el contrato sea modificado, se considerará valor estimado del contrato el importe máximo que este pueda alcanzar, teniendo en cuenta la totalidad de las modificaciones al alza</w:t>
      </w:r>
      <w:r>
        <w:rPr>
          <w:spacing w:val="-37"/>
          <w:sz w:val="20"/>
        </w:rPr>
        <w:t> </w:t>
      </w:r>
      <w:r>
        <w:rPr>
          <w:sz w:val="20"/>
        </w:rPr>
        <w:t>previstas.</w:t>
      </w:r>
    </w:p>
    <w:p>
      <w:pPr>
        <w:pStyle w:val="BodyText"/>
        <w:spacing w:line="249" w:lineRule="auto" w:before="123"/>
        <w:ind w:right="1272"/>
      </w:pPr>
      <w:r>
        <w:rPr/>
        <w:t>En los contratos de servicios y de concesión de servicios en los que sea relevante la mano de obra, en la aplicación de la normativa laboral vigente a que se refiere el párrafo anterior se tendrán especialmente en cuenta los costes laborales derivados de los convenios colectivos sectoriales de aplicación.</w:t>
      </w:r>
    </w:p>
    <w:p>
      <w:pPr>
        <w:pStyle w:val="ListParagraph"/>
        <w:numPr>
          <w:ilvl w:val="0"/>
          <w:numId w:val="8"/>
        </w:numPr>
        <w:tabs>
          <w:tab w:pos="1654" w:val="left" w:leader="none"/>
        </w:tabs>
        <w:spacing w:line="249" w:lineRule="auto" w:before="3" w:after="0"/>
        <w:ind w:left="1074" w:right="1272" w:firstLine="340"/>
        <w:jc w:val="both"/>
        <w:rPr>
          <w:sz w:val="20"/>
        </w:rPr>
      </w:pPr>
      <w:r>
        <w:rPr>
          <w:sz w:val="20"/>
        </w:rPr>
        <w:t>Adicionalmente a lo previsto en el apartado anterior, en el cálculo del valor estimado de los contratos de concesión de obras y de concesión de servicios se tendrán en cuenta, cuando proceda, los siguientes</w:t>
      </w:r>
      <w:r>
        <w:rPr>
          <w:spacing w:val="-3"/>
          <w:sz w:val="20"/>
        </w:rPr>
        <w:t> </w:t>
      </w:r>
      <w:r>
        <w:rPr>
          <w:sz w:val="20"/>
        </w:rPr>
        <w:t>conceptos:</w:t>
      </w:r>
    </w:p>
    <w:p>
      <w:pPr>
        <w:pStyle w:val="ListParagraph"/>
        <w:numPr>
          <w:ilvl w:val="0"/>
          <w:numId w:val="11"/>
        </w:numPr>
        <w:tabs>
          <w:tab w:pos="1692" w:val="left" w:leader="none"/>
        </w:tabs>
        <w:spacing w:line="249" w:lineRule="auto" w:before="123" w:after="0"/>
        <w:ind w:left="1074" w:right="1272" w:firstLine="340"/>
        <w:jc w:val="both"/>
        <w:rPr>
          <w:sz w:val="20"/>
        </w:rPr>
      </w:pPr>
      <w:r>
        <w:rPr>
          <w:sz w:val="20"/>
        </w:rPr>
        <w:t>La renta procedente del pago de tasas y multas por los usuarios de las obras o servicios, distintas de las recaudadas en nombre de la entidad</w:t>
      </w:r>
      <w:r>
        <w:rPr>
          <w:spacing w:val="-15"/>
          <w:sz w:val="20"/>
        </w:rPr>
        <w:t> </w:t>
      </w:r>
      <w:r>
        <w:rPr>
          <w:sz w:val="20"/>
        </w:rPr>
        <w:t>contratante.</w:t>
      </w:r>
    </w:p>
    <w:p>
      <w:pPr>
        <w:pStyle w:val="ListParagraph"/>
        <w:numPr>
          <w:ilvl w:val="0"/>
          <w:numId w:val="11"/>
        </w:numPr>
        <w:tabs>
          <w:tab w:pos="1717" w:val="left" w:leader="none"/>
        </w:tabs>
        <w:spacing w:line="249" w:lineRule="auto" w:before="2" w:after="0"/>
        <w:ind w:left="1074" w:right="1272" w:firstLine="340"/>
        <w:jc w:val="both"/>
        <w:rPr>
          <w:sz w:val="20"/>
        </w:rPr>
      </w:pPr>
      <w:r>
        <w:rPr>
          <w:sz w:val="20"/>
        </w:rPr>
        <w:t>Los pagos o ventajas financieras, cualquiera que sea su forma, concedidos al concesionario por la entidad contratante o por cualquier otra autoridad pública, incluida la compensación por el cumplimiento de una obligación de servicio público y subvenciones a la inversión</w:t>
      </w:r>
      <w:r>
        <w:rPr>
          <w:spacing w:val="-2"/>
          <w:sz w:val="20"/>
        </w:rPr>
        <w:t> </w:t>
      </w:r>
      <w:r>
        <w:rPr>
          <w:sz w:val="20"/>
        </w:rPr>
        <w:t>pública.</w:t>
      </w:r>
    </w:p>
    <w:p>
      <w:pPr>
        <w:pStyle w:val="ListParagraph"/>
        <w:numPr>
          <w:ilvl w:val="0"/>
          <w:numId w:val="11"/>
        </w:numPr>
        <w:tabs>
          <w:tab w:pos="1705" w:val="left" w:leader="none"/>
        </w:tabs>
        <w:spacing w:line="249" w:lineRule="auto" w:before="3" w:after="0"/>
        <w:ind w:left="1074" w:right="1270" w:firstLine="340"/>
        <w:jc w:val="both"/>
        <w:rPr>
          <w:sz w:val="20"/>
        </w:rPr>
      </w:pPr>
      <w:r>
        <w:rPr>
          <w:sz w:val="20"/>
        </w:rPr>
        <w:t>El valor de los subsidios o ventajas financieras, cualquiera que sea su forma, procedentes de terceros a cambio de la ejecución de la</w:t>
      </w:r>
      <w:r>
        <w:rPr>
          <w:spacing w:val="-13"/>
          <w:sz w:val="20"/>
        </w:rPr>
        <w:t> </w:t>
      </w:r>
      <w:r>
        <w:rPr>
          <w:sz w:val="20"/>
        </w:rPr>
        <w:t>concesión.</w:t>
      </w:r>
    </w:p>
    <w:p>
      <w:pPr>
        <w:pStyle w:val="ListParagraph"/>
        <w:numPr>
          <w:ilvl w:val="0"/>
          <w:numId w:val="11"/>
        </w:numPr>
        <w:tabs>
          <w:tab w:pos="1648" w:val="left" w:leader="none"/>
        </w:tabs>
        <w:spacing w:line="240" w:lineRule="auto" w:before="1" w:after="0"/>
        <w:ind w:left="1647" w:right="0" w:hanging="234"/>
        <w:jc w:val="both"/>
        <w:rPr>
          <w:sz w:val="20"/>
        </w:rPr>
      </w:pPr>
      <w:r>
        <w:rPr>
          <w:sz w:val="20"/>
        </w:rPr>
        <w:t>El precio de la venta de cualquier activo que forme parte de la</w:t>
      </w:r>
      <w:r>
        <w:rPr>
          <w:spacing w:val="-14"/>
          <w:sz w:val="20"/>
        </w:rPr>
        <w:t> </w:t>
      </w:r>
      <w:r>
        <w:rPr>
          <w:sz w:val="20"/>
        </w:rPr>
        <w:t>concesión.</w:t>
      </w:r>
    </w:p>
    <w:p>
      <w:pPr>
        <w:pStyle w:val="ListParagraph"/>
        <w:numPr>
          <w:ilvl w:val="0"/>
          <w:numId w:val="11"/>
        </w:numPr>
        <w:tabs>
          <w:tab w:pos="1698" w:val="left" w:leader="none"/>
        </w:tabs>
        <w:spacing w:line="249" w:lineRule="auto" w:before="10" w:after="0"/>
        <w:ind w:left="1074" w:right="1272" w:firstLine="340"/>
        <w:jc w:val="both"/>
        <w:rPr>
          <w:sz w:val="20"/>
        </w:rPr>
      </w:pPr>
      <w:r>
        <w:rPr>
          <w:sz w:val="20"/>
        </w:rPr>
        <w:t>El valor de todos los suministros y servicios que la entidad contratante ponga a disposición del concesionario, siempre que sean necesarios para la ejecución de las obras o la prestación de</w:t>
      </w:r>
      <w:r>
        <w:rPr>
          <w:spacing w:val="-4"/>
          <w:sz w:val="20"/>
        </w:rPr>
        <w:t> </w:t>
      </w:r>
      <w:r>
        <w:rPr>
          <w:sz w:val="20"/>
        </w:rPr>
        <w:t>servicios.</w:t>
      </w:r>
    </w:p>
    <w:p>
      <w:pPr>
        <w:pStyle w:val="ListParagraph"/>
        <w:numPr>
          <w:ilvl w:val="0"/>
          <w:numId w:val="8"/>
        </w:numPr>
        <w:tabs>
          <w:tab w:pos="1670" w:val="left" w:leader="none"/>
        </w:tabs>
        <w:spacing w:line="249" w:lineRule="auto" w:before="123" w:after="0"/>
        <w:ind w:left="1074" w:right="1274" w:firstLine="340"/>
        <w:jc w:val="both"/>
        <w:rPr>
          <w:sz w:val="20"/>
        </w:rPr>
      </w:pPr>
      <w:r>
        <w:rPr>
          <w:sz w:val="20"/>
        </w:rPr>
        <w:t>La elección del método para calcular el valor estimado no podrá efectuarse con la intención de sustraer el contrato a la aplicación de las normas de adjudicación que correspondan.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8"/>
        </w:numPr>
        <w:tabs>
          <w:tab w:pos="1701" w:val="left" w:leader="none"/>
        </w:tabs>
        <w:spacing w:line="249" w:lineRule="auto" w:before="127" w:after="0"/>
        <w:ind w:left="1074" w:right="1274" w:firstLine="340"/>
        <w:jc w:val="both"/>
        <w:rPr>
          <w:sz w:val="20"/>
        </w:rPr>
      </w:pPr>
      <w:r>
        <w:rPr>
          <w:sz w:val="20"/>
        </w:rPr>
        <w:t>El método de cálculo aplicado por la entidad contratante para calcular el valor estimado en todo caso deberá figurar en los pliegos de</w:t>
      </w:r>
      <w:r>
        <w:rPr>
          <w:spacing w:val="-12"/>
          <w:sz w:val="20"/>
        </w:rPr>
        <w:t> </w:t>
      </w:r>
      <w:r>
        <w:rPr>
          <w:sz w:val="20"/>
        </w:rPr>
        <w:t>condiciones.</w:t>
      </w:r>
    </w:p>
    <w:p>
      <w:pPr>
        <w:pStyle w:val="ListParagraph"/>
        <w:numPr>
          <w:ilvl w:val="0"/>
          <w:numId w:val="8"/>
        </w:numPr>
        <w:tabs>
          <w:tab w:pos="1643" w:val="left" w:leader="none"/>
        </w:tabs>
        <w:spacing w:line="249" w:lineRule="auto" w:before="1" w:after="0"/>
        <w:ind w:left="1074" w:right="1274" w:firstLine="340"/>
        <w:jc w:val="both"/>
        <w:rPr>
          <w:sz w:val="20"/>
        </w:rPr>
      </w:pPr>
      <w:r>
        <w:rPr>
          <w:sz w:val="20"/>
        </w:rPr>
        <w:t>Cuando una entidad contratante esté compuesta por unidades funcionales separadas, se tendrá en cuenta el valor total estimado para todas las unidades funcionales</w:t>
      </w:r>
      <w:r>
        <w:rPr>
          <w:spacing w:val="-35"/>
          <w:sz w:val="20"/>
        </w:rPr>
        <w:t> </w:t>
      </w:r>
      <w:r>
        <w:rPr>
          <w:sz w:val="20"/>
        </w:rPr>
        <w:t>individuales.</w:t>
      </w:r>
    </w:p>
    <w:p>
      <w:pPr>
        <w:pStyle w:val="BodyText"/>
        <w:spacing w:line="249" w:lineRule="auto"/>
        <w:ind w:right="1272"/>
      </w:pPr>
      <w:r>
        <w:rPr/>
        <w:t>No obstante lo anterior, cuando una unidad funcional separada sea responsable de manera autónoma respecto de su contratación o de determinadas categorías de ella, los valores podrán estimarse al nivel de la unidad de que se trate.</w:t>
      </w:r>
    </w:p>
    <w:p>
      <w:pPr>
        <w:pStyle w:val="BodyText"/>
        <w:spacing w:line="249" w:lineRule="auto"/>
        <w:ind w:right="1271"/>
      </w:pPr>
      <w:r>
        <w:rPr/>
        <w:t>En todo caso, se entenderá que se da la circunstancia aludida en el párrafo anterior cuando dicha unidad funcional separada cuente con financiación específica y con competencias respecto a la adjudicación del contrato.</w:t>
      </w:r>
    </w:p>
    <w:p>
      <w:pPr>
        <w:pStyle w:val="ListParagraph"/>
        <w:numPr>
          <w:ilvl w:val="0"/>
          <w:numId w:val="8"/>
        </w:numPr>
        <w:tabs>
          <w:tab w:pos="1705" w:val="left" w:leader="none"/>
        </w:tabs>
        <w:spacing w:line="249" w:lineRule="auto" w:before="3" w:after="0"/>
        <w:ind w:left="1074" w:right="1273" w:firstLine="340"/>
        <w:jc w:val="both"/>
        <w:rPr>
          <w:sz w:val="20"/>
        </w:rPr>
      </w:pPr>
      <w:r>
        <w:rPr>
          <w:sz w:val="20"/>
        </w:rPr>
        <w:t>La estimación deberá hacerse teniendo en cuenta los precios habituales en el mercado, y estar referida al momento del envío de la convocatoria de licitación o, en caso de que esta no esté prevista, al momento en que la entidad contratante inicie el procedimiento de adjudicación del</w:t>
      </w:r>
      <w:r>
        <w:rPr>
          <w:spacing w:val="-4"/>
          <w:sz w:val="20"/>
        </w:rPr>
        <w:t> </w:t>
      </w:r>
      <w:r>
        <w:rPr>
          <w:sz w:val="20"/>
        </w:rPr>
        <w:t>contrato.</w:t>
      </w:r>
    </w:p>
    <w:p>
      <w:pPr>
        <w:pStyle w:val="ListParagraph"/>
        <w:numPr>
          <w:ilvl w:val="0"/>
          <w:numId w:val="8"/>
        </w:numPr>
        <w:tabs>
          <w:tab w:pos="1685" w:val="left" w:leader="none"/>
        </w:tabs>
        <w:spacing w:line="249" w:lineRule="auto" w:before="3" w:after="0"/>
        <w:ind w:left="1074" w:right="1272" w:firstLine="340"/>
        <w:jc w:val="both"/>
        <w:rPr>
          <w:sz w:val="20"/>
        </w:rPr>
      </w:pPr>
      <w:r>
        <w:rPr>
          <w:sz w:val="20"/>
        </w:rPr>
        <w:t>En los contratos de obras el cálculo del valor estimado debe tener en cuenta el importe de las mismas, así como el valor total estimado de los suministros o servicios necesarios para su ejecución que hayan sido puestos a disposición del contratista por la entidad</w:t>
      </w:r>
      <w:r>
        <w:rPr>
          <w:spacing w:val="-2"/>
          <w:sz w:val="20"/>
        </w:rPr>
        <w:t> </w:t>
      </w:r>
      <w:r>
        <w:rPr>
          <w:sz w:val="20"/>
        </w:rPr>
        <w:t>contratante.</w:t>
      </w:r>
    </w:p>
    <w:p>
      <w:pPr>
        <w:pStyle w:val="ListParagraph"/>
        <w:numPr>
          <w:ilvl w:val="0"/>
          <w:numId w:val="8"/>
        </w:numPr>
        <w:tabs>
          <w:tab w:pos="1659" w:val="left" w:leader="none"/>
        </w:tabs>
        <w:spacing w:line="249" w:lineRule="auto" w:before="3" w:after="0"/>
        <w:ind w:left="1074" w:right="1272" w:firstLine="340"/>
        <w:jc w:val="both"/>
        <w:rPr>
          <w:sz w:val="20"/>
        </w:rPr>
      </w:pPr>
      <w:r>
        <w:rPr>
          <w:sz w:val="20"/>
        </w:rPr>
        <w:t>En los contratos de suministro que tengan por objeto el arrendamiento financiero, el arrendamiento o la venta a plazos de productos, el valor que se tomará como base para calcular el valor estimado del contrato será el</w:t>
      </w:r>
      <w:r>
        <w:rPr>
          <w:spacing w:val="-6"/>
          <w:sz w:val="20"/>
        </w:rPr>
        <w:t> </w:t>
      </w:r>
      <w:r>
        <w:rPr>
          <w:sz w:val="20"/>
        </w:rPr>
        <w:t>siguiente:</w:t>
      </w:r>
    </w:p>
    <w:p>
      <w:pPr>
        <w:pStyle w:val="ListParagraph"/>
        <w:numPr>
          <w:ilvl w:val="0"/>
          <w:numId w:val="12"/>
        </w:numPr>
        <w:tabs>
          <w:tab w:pos="1681" w:val="left" w:leader="none"/>
        </w:tabs>
        <w:spacing w:line="249" w:lineRule="auto" w:before="123" w:after="0"/>
        <w:ind w:left="1074" w:right="1274" w:firstLine="340"/>
        <w:jc w:val="both"/>
        <w:rPr>
          <w:sz w:val="20"/>
        </w:rPr>
      </w:pPr>
      <w:r>
        <w:rPr>
          <w:sz w:val="20"/>
        </w:rPr>
        <w:t>En el caso de contratos de duración determinada, cuando su duración sea igual o inferior a doce meses, el valor total estimado para la duración del contrato; cuando su duración sea superior a doce meses, su valor total, incluido el importe estimado del valor residual.</w:t>
      </w:r>
    </w:p>
    <w:p>
      <w:pPr>
        <w:pStyle w:val="ListParagraph"/>
        <w:numPr>
          <w:ilvl w:val="0"/>
          <w:numId w:val="12"/>
        </w:numPr>
        <w:tabs>
          <w:tab w:pos="1651" w:val="left" w:leader="none"/>
        </w:tabs>
        <w:spacing w:line="249" w:lineRule="auto" w:before="3" w:after="0"/>
        <w:ind w:left="1074" w:right="1272" w:firstLine="340"/>
        <w:jc w:val="both"/>
        <w:rPr>
          <w:sz w:val="20"/>
        </w:rPr>
      </w:pPr>
      <w:r>
        <w:rPr>
          <w:sz w:val="20"/>
        </w:rPr>
        <w:t>En el caso de contratos cuya duración no se fije por referencia a un período de tiempo determinado, el valor mensual multiplicado por</w:t>
      </w:r>
      <w:r>
        <w:rPr>
          <w:spacing w:val="-5"/>
          <w:sz w:val="20"/>
        </w:rPr>
        <w:t> </w:t>
      </w:r>
      <w:r>
        <w:rPr>
          <w:sz w:val="20"/>
        </w:rPr>
        <w:t>48.</w:t>
      </w:r>
    </w:p>
    <w:p>
      <w:pPr>
        <w:pStyle w:val="ListParagraph"/>
        <w:numPr>
          <w:ilvl w:val="0"/>
          <w:numId w:val="8"/>
        </w:numPr>
        <w:tabs>
          <w:tab w:pos="1753" w:val="left" w:leader="none"/>
        </w:tabs>
        <w:spacing w:line="249" w:lineRule="auto" w:before="122" w:after="0"/>
        <w:ind w:left="1074" w:right="1271" w:firstLine="340"/>
        <w:jc w:val="both"/>
        <w:rPr>
          <w:sz w:val="20"/>
        </w:rPr>
      </w:pPr>
      <w:r>
        <w:rPr>
          <w:sz w:val="20"/>
        </w:rPr>
        <w:t>En los contratos de suministro o de servicios que tengan un carácter de periodicidad, o de contratos que se deban renovar en un período de tiempo determinado, se tomará como base para el cálculo del valor estimado del contrato alguna de las siguientes</w:t>
      </w:r>
      <w:r>
        <w:rPr>
          <w:spacing w:val="-25"/>
          <w:sz w:val="20"/>
        </w:rPr>
        <w:t> </w:t>
      </w:r>
      <w:r>
        <w:rPr>
          <w:sz w:val="20"/>
        </w:rPr>
        <w:t>cantidades:</w:t>
      </w:r>
    </w:p>
    <w:p>
      <w:pPr>
        <w:pStyle w:val="ListParagraph"/>
        <w:numPr>
          <w:ilvl w:val="0"/>
          <w:numId w:val="13"/>
        </w:numPr>
        <w:tabs>
          <w:tab w:pos="1657" w:val="left" w:leader="none"/>
        </w:tabs>
        <w:spacing w:line="249" w:lineRule="auto" w:before="122" w:after="0"/>
        <w:ind w:left="1074" w:right="1272" w:firstLine="340"/>
        <w:jc w:val="both"/>
        <w:rPr>
          <w:sz w:val="20"/>
        </w:rPr>
      </w:pPr>
      <w:r>
        <w:rPr>
          <w:sz w:val="20"/>
        </w:rPr>
        <w:t>El valor real total de los contratos sucesivos similares adjudicados durante el ejercicio precedente o durante los doce meses previos, ajustado, cuando sea posible, en función de los</w:t>
      </w:r>
      <w:r>
        <w:rPr>
          <w:spacing w:val="-4"/>
          <w:sz w:val="20"/>
        </w:rPr>
        <w:t> </w:t>
      </w:r>
      <w:r>
        <w:rPr>
          <w:sz w:val="20"/>
        </w:rPr>
        <w:t>cambios</w:t>
      </w:r>
      <w:r>
        <w:rPr>
          <w:spacing w:val="-2"/>
          <w:sz w:val="20"/>
        </w:rPr>
        <w:t> </w:t>
      </w:r>
      <w:r>
        <w:rPr>
          <w:sz w:val="20"/>
        </w:rPr>
        <w:t>de</w:t>
      </w:r>
      <w:r>
        <w:rPr>
          <w:spacing w:val="-3"/>
          <w:sz w:val="20"/>
        </w:rPr>
        <w:t> </w:t>
      </w:r>
      <w:r>
        <w:rPr>
          <w:sz w:val="20"/>
        </w:rPr>
        <w:t>cantidad</w:t>
      </w:r>
      <w:r>
        <w:rPr>
          <w:spacing w:val="-3"/>
          <w:sz w:val="20"/>
        </w:rPr>
        <w:t> </w:t>
      </w:r>
      <w:r>
        <w:rPr>
          <w:sz w:val="20"/>
        </w:rPr>
        <w:t>o</w:t>
      </w:r>
      <w:r>
        <w:rPr>
          <w:spacing w:val="-3"/>
          <w:sz w:val="20"/>
        </w:rPr>
        <w:t> </w:t>
      </w:r>
      <w:r>
        <w:rPr>
          <w:sz w:val="20"/>
        </w:rPr>
        <w:t>valor</w:t>
      </w:r>
      <w:r>
        <w:rPr>
          <w:spacing w:val="-3"/>
          <w:sz w:val="20"/>
        </w:rPr>
        <w:t> </w:t>
      </w:r>
      <w:r>
        <w:rPr>
          <w:sz w:val="20"/>
        </w:rPr>
        <w:t>previstos</w:t>
      </w:r>
      <w:r>
        <w:rPr>
          <w:spacing w:val="-3"/>
          <w:sz w:val="20"/>
        </w:rPr>
        <w:t> </w:t>
      </w:r>
      <w:r>
        <w:rPr>
          <w:sz w:val="20"/>
        </w:rPr>
        <w:t>para</w:t>
      </w:r>
      <w:r>
        <w:rPr>
          <w:spacing w:val="-3"/>
          <w:sz w:val="20"/>
        </w:rPr>
        <w:t> </w:t>
      </w:r>
      <w:r>
        <w:rPr>
          <w:sz w:val="20"/>
        </w:rPr>
        <w:t>los</w:t>
      </w:r>
      <w:r>
        <w:rPr>
          <w:spacing w:val="-3"/>
          <w:sz w:val="20"/>
        </w:rPr>
        <w:t> </w:t>
      </w:r>
      <w:r>
        <w:rPr>
          <w:sz w:val="20"/>
        </w:rPr>
        <w:t>doce</w:t>
      </w:r>
      <w:r>
        <w:rPr>
          <w:spacing w:val="-4"/>
          <w:sz w:val="20"/>
        </w:rPr>
        <w:t> </w:t>
      </w:r>
      <w:r>
        <w:rPr>
          <w:sz w:val="20"/>
        </w:rPr>
        <w:t>meses</w:t>
      </w:r>
      <w:r>
        <w:rPr>
          <w:spacing w:val="-2"/>
          <w:sz w:val="20"/>
        </w:rPr>
        <w:t> </w:t>
      </w:r>
      <w:r>
        <w:rPr>
          <w:sz w:val="20"/>
        </w:rPr>
        <w:t>posteriores</w:t>
      </w:r>
      <w:r>
        <w:rPr>
          <w:spacing w:val="-3"/>
          <w:sz w:val="20"/>
        </w:rPr>
        <w:t> </w:t>
      </w:r>
      <w:r>
        <w:rPr>
          <w:sz w:val="20"/>
        </w:rPr>
        <w:t>al</w:t>
      </w:r>
      <w:r>
        <w:rPr>
          <w:spacing w:val="-4"/>
          <w:sz w:val="20"/>
        </w:rPr>
        <w:t> </w:t>
      </w:r>
      <w:r>
        <w:rPr>
          <w:sz w:val="20"/>
        </w:rPr>
        <w:t>contrato</w:t>
      </w:r>
      <w:r>
        <w:rPr>
          <w:spacing w:val="-2"/>
          <w:sz w:val="20"/>
        </w:rPr>
        <w:t> </w:t>
      </w:r>
      <w:r>
        <w:rPr>
          <w:sz w:val="20"/>
        </w:rPr>
        <w:t>inicial.</w:t>
      </w:r>
    </w:p>
    <w:p>
      <w:pPr>
        <w:pStyle w:val="ListParagraph"/>
        <w:numPr>
          <w:ilvl w:val="0"/>
          <w:numId w:val="13"/>
        </w:numPr>
        <w:tabs>
          <w:tab w:pos="1651" w:val="left" w:leader="none"/>
        </w:tabs>
        <w:spacing w:line="249" w:lineRule="auto" w:before="3" w:after="0"/>
        <w:ind w:left="1074" w:right="1272" w:firstLine="340"/>
        <w:jc w:val="both"/>
        <w:rPr>
          <w:sz w:val="20"/>
        </w:rPr>
      </w:pPr>
      <w:r>
        <w:rPr>
          <w:sz w:val="20"/>
        </w:rPr>
        <w:t>El valor estimado total de los contratos sucesivos adjudicados durante los doce meses siguientes a la primera entrega o en el transcurso del ejercicio, si este fuera superior a doce meses.</w:t>
      </w:r>
    </w:p>
    <w:p>
      <w:pPr>
        <w:pStyle w:val="ListParagraph"/>
        <w:numPr>
          <w:ilvl w:val="0"/>
          <w:numId w:val="8"/>
        </w:numPr>
        <w:tabs>
          <w:tab w:pos="1788" w:val="left" w:leader="none"/>
        </w:tabs>
        <w:spacing w:line="249" w:lineRule="auto" w:before="122" w:after="0"/>
        <w:ind w:left="1074" w:right="1273" w:firstLine="340"/>
        <w:jc w:val="both"/>
        <w:rPr>
          <w:sz w:val="20"/>
        </w:rPr>
      </w:pPr>
      <w:r>
        <w:rPr>
          <w:sz w:val="20"/>
        </w:rPr>
        <w:t>En los contratos de servicios, a los efectos del cálculo de su valor estimado, se tomarán como base, en su caso, las siguientes</w:t>
      </w:r>
      <w:r>
        <w:rPr>
          <w:spacing w:val="-4"/>
          <w:sz w:val="20"/>
        </w:rPr>
        <w:t> </w:t>
      </w:r>
      <w:r>
        <w:rPr>
          <w:sz w:val="20"/>
        </w:rPr>
        <w:t>cantidades:</w:t>
      </w:r>
    </w:p>
    <w:p>
      <w:pPr>
        <w:pStyle w:val="ListParagraph"/>
        <w:numPr>
          <w:ilvl w:val="0"/>
          <w:numId w:val="14"/>
        </w:numPr>
        <w:tabs>
          <w:tab w:pos="1648" w:val="left" w:leader="none"/>
        </w:tabs>
        <w:spacing w:line="240" w:lineRule="auto" w:before="122" w:after="0"/>
        <w:ind w:left="1647" w:right="0" w:hanging="234"/>
        <w:jc w:val="both"/>
        <w:rPr>
          <w:sz w:val="20"/>
        </w:rPr>
      </w:pPr>
      <w:r>
        <w:rPr>
          <w:sz w:val="20"/>
        </w:rPr>
        <w:t>En los servicios de seguros, la prima pagadera y otras formas de</w:t>
      </w:r>
      <w:r>
        <w:rPr>
          <w:spacing w:val="-13"/>
          <w:sz w:val="20"/>
        </w:rPr>
        <w:t> </w:t>
      </w:r>
      <w:r>
        <w:rPr>
          <w:sz w:val="20"/>
        </w:rPr>
        <w:t>remuneración.</w:t>
      </w:r>
    </w:p>
    <w:p>
      <w:pPr>
        <w:pStyle w:val="ListParagraph"/>
        <w:numPr>
          <w:ilvl w:val="0"/>
          <w:numId w:val="14"/>
        </w:numPr>
        <w:tabs>
          <w:tab w:pos="1651" w:val="left" w:leader="none"/>
        </w:tabs>
        <w:spacing w:line="249" w:lineRule="auto" w:before="10" w:after="0"/>
        <w:ind w:left="1074" w:right="1273" w:firstLine="340"/>
        <w:jc w:val="both"/>
        <w:rPr>
          <w:sz w:val="20"/>
        </w:rPr>
      </w:pPr>
      <w:r>
        <w:rPr>
          <w:sz w:val="20"/>
        </w:rPr>
        <w:t>En servicios bancarios y otros servicios financieros, los honorarios, las comisiones, los intereses y otras formas de</w:t>
      </w:r>
      <w:r>
        <w:rPr>
          <w:spacing w:val="-4"/>
          <w:sz w:val="20"/>
        </w:rPr>
        <w:t> </w:t>
      </w:r>
      <w:r>
        <w:rPr>
          <w:sz w:val="20"/>
        </w:rPr>
        <w:t>remuneración.</w:t>
      </w:r>
    </w:p>
    <w:p>
      <w:pPr>
        <w:pStyle w:val="ListParagraph"/>
        <w:numPr>
          <w:ilvl w:val="0"/>
          <w:numId w:val="14"/>
        </w:numPr>
        <w:tabs>
          <w:tab w:pos="1658" w:val="left" w:leader="none"/>
        </w:tabs>
        <w:spacing w:line="249" w:lineRule="auto" w:before="1" w:after="0"/>
        <w:ind w:left="1074" w:right="1272" w:firstLine="340"/>
        <w:jc w:val="both"/>
        <w:rPr>
          <w:sz w:val="20"/>
        </w:rPr>
      </w:pPr>
      <w:r>
        <w:rPr>
          <w:sz w:val="20"/>
        </w:rPr>
        <w:t>En los contratos relativos a un proyecto, los honorarios, las comisiones pagaderas y otras formas de remuneración, así como las primas o contraprestaciones que, en su caso, se fijen para los participantes en el</w:t>
      </w:r>
      <w:r>
        <w:rPr>
          <w:spacing w:val="-7"/>
          <w:sz w:val="20"/>
        </w:rPr>
        <w:t> </w:t>
      </w:r>
      <w:r>
        <w:rPr>
          <w:sz w:val="20"/>
        </w:rPr>
        <w:t>concurso.</w:t>
      </w:r>
    </w:p>
    <w:p>
      <w:pPr>
        <w:pStyle w:val="ListParagraph"/>
        <w:numPr>
          <w:ilvl w:val="0"/>
          <w:numId w:val="14"/>
        </w:numPr>
        <w:tabs>
          <w:tab w:pos="1668" w:val="left" w:leader="none"/>
        </w:tabs>
        <w:spacing w:line="249" w:lineRule="auto" w:before="3" w:after="0"/>
        <w:ind w:left="1074" w:right="1271" w:firstLine="340"/>
        <w:jc w:val="both"/>
        <w:rPr>
          <w:sz w:val="20"/>
        </w:rPr>
      </w:pPr>
      <w:r>
        <w:rPr>
          <w:sz w:val="20"/>
        </w:rPr>
        <w:t>En los contratos de servicios en que no se especifique un precio total, si tienen una duración determinada igual o inferior a cuarenta y ocho meses, el valor total estimado correspondiente a toda su duración. Si la duración es superior a cuarenta y ocho meses o no se encuentra fijada por referencia a un período de tiempo cierto, el valor mensual multiplicado por</w:t>
      </w:r>
      <w:r>
        <w:rPr>
          <w:spacing w:val="-2"/>
          <w:sz w:val="20"/>
        </w:rPr>
        <w:t> </w:t>
      </w:r>
      <w:r>
        <w:rPr>
          <w:sz w:val="20"/>
        </w:rPr>
        <w:t>48.</w:t>
      </w:r>
    </w:p>
    <w:p>
      <w:pPr>
        <w:pStyle w:val="ListParagraph"/>
        <w:numPr>
          <w:ilvl w:val="0"/>
          <w:numId w:val="8"/>
        </w:numPr>
        <w:tabs>
          <w:tab w:pos="1766" w:val="left" w:leader="none"/>
        </w:tabs>
        <w:spacing w:line="249" w:lineRule="auto" w:before="124" w:after="0"/>
        <w:ind w:left="1074" w:right="1272" w:firstLine="340"/>
        <w:jc w:val="both"/>
        <w:rPr>
          <w:sz w:val="20"/>
        </w:rPr>
      </w:pPr>
      <w:r>
        <w:rPr>
          <w:sz w:val="20"/>
        </w:rPr>
        <w:t>Cuando la realización de una obra, la contratación de unos servicios o la obtención de unos suministros destinados a usos idénticos o similares pueda dar lugar a la adjudicación simultánea de contratos por lotes separados, se deberá tener en cuenta el valor global estimado de la totalidad de dichos</w:t>
      </w:r>
      <w:r>
        <w:rPr>
          <w:spacing w:val="-9"/>
          <w:sz w:val="20"/>
        </w:rPr>
        <w:t> </w:t>
      </w:r>
      <w:r>
        <w:rPr>
          <w:sz w:val="20"/>
        </w:rPr>
        <w:t>lotes.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Igualmente, cuando una obra o un servicio propuestos puedan derivar en la adjudicación simultánea de contratos de concesión de obras o de concesión de servicios por lotes separados, deberá tenerse en cuenta el valor global estimado de todos los lotes.</w:t>
      </w:r>
    </w:p>
    <w:p>
      <w:pPr>
        <w:pStyle w:val="BodyText"/>
        <w:spacing w:line="249" w:lineRule="auto"/>
        <w:ind w:right="1275"/>
      </w:pPr>
      <w:r>
        <w:rPr/>
        <w:t>En el supuesto previsto en el primer párrafo de este apartado cuando el valor acumulado de los lotes en que se divida el suministro, los servicios o la obra iguale o supere la cantidad indicada en el artículo 1, se aplicarán las normas de este real decreto-ley a la adjudicación de cada</w:t>
      </w:r>
      <w:r>
        <w:rPr>
          <w:spacing w:val="-2"/>
        </w:rPr>
        <w:t> </w:t>
      </w:r>
      <w:r>
        <w:rPr/>
        <w:t>lote.</w:t>
      </w:r>
    </w:p>
    <w:p>
      <w:pPr>
        <w:pStyle w:val="BodyText"/>
        <w:spacing w:line="249" w:lineRule="auto" w:before="3"/>
        <w:ind w:right="1273"/>
      </w:pPr>
      <w:r>
        <w:rPr/>
        <w:t>No obstante lo dispuesto en el primer y tercer párrafo de este apartado, las entidades contratantes podrán exceptuar de estas normas a los lotes cuyo valor estimado sea inferior a un millón de euros para las obras o a 80.000 euros para los suministros o los servicios, siempre que el importe acumulado de los lotes exceptuados no sobrepase el 20 por 100 del valor acumulado de la totalidad de los mismos.</w:t>
      </w:r>
    </w:p>
    <w:p>
      <w:pPr>
        <w:pStyle w:val="ListParagraph"/>
        <w:numPr>
          <w:ilvl w:val="0"/>
          <w:numId w:val="8"/>
        </w:numPr>
        <w:tabs>
          <w:tab w:pos="1759" w:val="left" w:leader="none"/>
        </w:tabs>
        <w:spacing w:line="249" w:lineRule="auto" w:before="4" w:after="0"/>
        <w:ind w:left="1074" w:right="1272" w:firstLine="340"/>
        <w:jc w:val="both"/>
        <w:rPr>
          <w:sz w:val="20"/>
        </w:rPr>
      </w:pPr>
      <w:r>
        <w:rPr>
          <w:sz w:val="20"/>
        </w:rPr>
        <w:t>Para los acuerdos marco y para los sistemas dinámicos de adquisición se tendrá en cuenta el valor máximo estimado, excluido el Impuesto sobre el Valor Añadido, del conjunto de contratos previstos contemplados durante la duración total del acuerdo marco o del sistema dinámico de</w:t>
      </w:r>
      <w:r>
        <w:rPr>
          <w:spacing w:val="-3"/>
          <w:sz w:val="20"/>
        </w:rPr>
        <w:t> </w:t>
      </w:r>
      <w:r>
        <w:rPr>
          <w:sz w:val="20"/>
        </w:rPr>
        <w:t>adquisición.</w:t>
      </w:r>
    </w:p>
    <w:p>
      <w:pPr>
        <w:pStyle w:val="ListParagraph"/>
        <w:numPr>
          <w:ilvl w:val="0"/>
          <w:numId w:val="8"/>
        </w:numPr>
        <w:tabs>
          <w:tab w:pos="1774" w:val="left" w:leader="none"/>
        </w:tabs>
        <w:spacing w:line="249" w:lineRule="auto" w:before="4" w:after="0"/>
        <w:ind w:left="1074" w:right="1273" w:firstLine="340"/>
        <w:jc w:val="both"/>
        <w:rPr>
          <w:sz w:val="20"/>
        </w:rPr>
      </w:pPr>
      <w:r>
        <w:rPr>
          <w:sz w:val="20"/>
        </w:rPr>
        <w:t>En el procedimiento de asociación para la innovación se tendrá en cuenta el valor máximo estimado, excluido el Impuesto sobre el Valor Añadido, de las actividades de investigación y desarrollo que esté previsto que se realicen a lo largo de la duración total de la asociación, y de los suministros, servicios u obras que esté previsto que se ejecuten o adquieran al final de la asociación</w:t>
      </w:r>
      <w:r>
        <w:rPr>
          <w:spacing w:val="-7"/>
          <w:sz w:val="20"/>
        </w:rPr>
        <w:t> </w:t>
      </w:r>
      <w:r>
        <w:rPr>
          <w:sz w:val="20"/>
        </w:rPr>
        <w:t>prevista.</w:t>
      </w:r>
    </w:p>
    <w:p>
      <w:pPr>
        <w:pStyle w:val="BodyText"/>
        <w:spacing w:before="5"/>
        <w:ind w:left="0" w:firstLine="0"/>
        <w:jc w:val="left"/>
        <w:rPr>
          <w:sz w:val="30"/>
        </w:rPr>
      </w:pPr>
    </w:p>
    <w:p>
      <w:pPr>
        <w:pStyle w:val="BodyText"/>
        <w:spacing w:before="0"/>
        <w:ind w:left="2929" w:right="3127" w:firstLine="0"/>
        <w:jc w:val="center"/>
      </w:pPr>
      <w:bookmarkStart w:name="CAPÍTULO II. Ámbito de aplicación subjet" w:id="14"/>
      <w:bookmarkEnd w:id="14"/>
      <w:r>
        <w:rPr/>
      </w:r>
      <w:bookmarkStart w:name="_bookmark4" w:id="15"/>
      <w:bookmarkEnd w:id="15"/>
      <w:r>
        <w:rPr/>
      </w:r>
      <w:r>
        <w:rPr/>
        <w:t>CAPÍTULO II</w:t>
      </w:r>
    </w:p>
    <w:p>
      <w:pPr>
        <w:pStyle w:val="Heading1"/>
        <w:ind w:left="2929"/>
      </w:pPr>
      <w:r>
        <w:rPr/>
        <w:t>Ámbito de aplicación subjetiva</w:t>
      </w:r>
    </w:p>
    <w:p>
      <w:pPr>
        <w:pStyle w:val="BodyText"/>
        <w:spacing w:before="7"/>
        <w:ind w:left="0" w:firstLine="0"/>
        <w:jc w:val="left"/>
        <w:rPr>
          <w:b/>
        </w:rPr>
      </w:pPr>
    </w:p>
    <w:p>
      <w:pPr>
        <w:spacing w:before="0"/>
        <w:ind w:left="1074" w:right="0" w:firstLine="0"/>
        <w:jc w:val="left"/>
        <w:rPr>
          <w:i/>
          <w:sz w:val="20"/>
        </w:rPr>
      </w:pPr>
      <w:bookmarkStart w:name="Artículo 5. Entidades sujetas a este rea" w:id="16"/>
      <w:bookmarkEnd w:id="16"/>
      <w:r>
        <w:rPr/>
      </w:r>
      <w:r>
        <w:rPr>
          <w:b/>
          <w:sz w:val="20"/>
        </w:rPr>
        <w:t>Artículo 5. </w:t>
      </w:r>
      <w:r>
        <w:rPr>
          <w:i/>
          <w:sz w:val="20"/>
        </w:rPr>
        <w:t>Entidades sujetas a este real decreto-ley en materia de contratación.</w:t>
      </w:r>
    </w:p>
    <w:p>
      <w:pPr>
        <w:pStyle w:val="ListParagraph"/>
        <w:numPr>
          <w:ilvl w:val="0"/>
          <w:numId w:val="15"/>
        </w:numPr>
        <w:tabs>
          <w:tab w:pos="1664" w:val="left" w:leader="none"/>
        </w:tabs>
        <w:spacing w:line="249" w:lineRule="auto" w:before="118" w:after="0"/>
        <w:ind w:left="1074" w:right="1273" w:firstLine="340"/>
        <w:jc w:val="left"/>
        <w:rPr>
          <w:sz w:val="20"/>
        </w:rPr>
      </w:pPr>
      <w:r>
        <w:rPr>
          <w:sz w:val="20"/>
        </w:rPr>
        <w:t>Quedan sujetas al presente real decreto-ley las entidades contratantes que realicen alguna de las actividades enumeradas en los artículos 8 a</w:t>
      </w:r>
      <w:r>
        <w:rPr>
          <w:spacing w:val="-17"/>
          <w:sz w:val="20"/>
        </w:rPr>
        <w:t> </w:t>
      </w:r>
      <w:r>
        <w:rPr>
          <w:sz w:val="20"/>
        </w:rPr>
        <w:t>14.</w:t>
      </w:r>
    </w:p>
    <w:p>
      <w:pPr>
        <w:pStyle w:val="BodyText"/>
        <w:spacing w:line="249" w:lineRule="auto" w:before="1"/>
        <w:ind w:right="1278"/>
        <w:jc w:val="left"/>
      </w:pPr>
      <w:r>
        <w:rPr/>
        <w:t>Asimismo, quedarán sujetas al presente real decreto-ley las asociaciones formadas por varias entidades contratantes.</w:t>
      </w:r>
    </w:p>
    <w:p>
      <w:pPr>
        <w:pStyle w:val="ListParagraph"/>
        <w:numPr>
          <w:ilvl w:val="0"/>
          <w:numId w:val="15"/>
        </w:numPr>
        <w:tabs>
          <w:tab w:pos="1637" w:val="left" w:leader="none"/>
        </w:tabs>
        <w:spacing w:line="240" w:lineRule="auto" w:before="2" w:after="0"/>
        <w:ind w:left="1636" w:right="0" w:hanging="223"/>
        <w:jc w:val="left"/>
        <w:rPr>
          <w:sz w:val="20"/>
        </w:rPr>
      </w:pPr>
      <w:r>
        <w:rPr>
          <w:sz w:val="20"/>
        </w:rPr>
        <w:t>A los efectos de este real decreto-ley se entenderá</w:t>
      </w:r>
      <w:r>
        <w:rPr>
          <w:spacing w:val="-10"/>
          <w:sz w:val="20"/>
        </w:rPr>
        <w:t> </w:t>
      </w:r>
      <w:r>
        <w:rPr>
          <w:sz w:val="20"/>
        </w:rPr>
        <w:t>por:</w:t>
      </w:r>
    </w:p>
    <w:p>
      <w:pPr>
        <w:pStyle w:val="ListParagraph"/>
        <w:numPr>
          <w:ilvl w:val="0"/>
          <w:numId w:val="16"/>
        </w:numPr>
        <w:tabs>
          <w:tab w:pos="1655" w:val="left" w:leader="none"/>
        </w:tabs>
        <w:spacing w:line="249" w:lineRule="auto" w:before="130" w:after="0"/>
        <w:ind w:left="1074" w:right="1273" w:firstLine="340"/>
        <w:jc w:val="both"/>
        <w:rPr>
          <w:sz w:val="20"/>
        </w:rPr>
      </w:pPr>
      <w:r>
        <w:rPr>
          <w:sz w:val="20"/>
        </w:rPr>
        <w:t>«Entidad contratante»: los poderes adjudicadores que no sean Administración Pública de conformidad con la Ley 9/2017, de 8 de noviembre, las empresas públicas, así como otras entidades distintas de las anteriores que tengan derechos especiales o exclusivos según se establece en el artículo</w:t>
      </w:r>
      <w:r>
        <w:rPr>
          <w:spacing w:val="-6"/>
          <w:sz w:val="20"/>
        </w:rPr>
        <w:t> </w:t>
      </w:r>
      <w:r>
        <w:rPr>
          <w:sz w:val="20"/>
        </w:rPr>
        <w:t>6.</w:t>
      </w:r>
    </w:p>
    <w:p>
      <w:pPr>
        <w:pStyle w:val="ListParagraph"/>
        <w:numPr>
          <w:ilvl w:val="0"/>
          <w:numId w:val="16"/>
        </w:numPr>
        <w:tabs>
          <w:tab w:pos="1660" w:val="left" w:leader="none"/>
        </w:tabs>
        <w:spacing w:line="249" w:lineRule="auto" w:before="3" w:after="0"/>
        <w:ind w:left="1074" w:right="1275" w:firstLine="340"/>
        <w:jc w:val="both"/>
        <w:rPr>
          <w:sz w:val="20"/>
        </w:rPr>
      </w:pPr>
      <w:r>
        <w:rPr>
          <w:sz w:val="20"/>
        </w:rPr>
        <w:t>«Poder adjudicador»: las entidades que tengan esta consideración de acuerdo con la Ley 9/2017, de 8 de</w:t>
      </w:r>
      <w:r>
        <w:rPr>
          <w:spacing w:val="-6"/>
          <w:sz w:val="20"/>
        </w:rPr>
        <w:t> </w:t>
      </w:r>
      <w:r>
        <w:rPr>
          <w:sz w:val="20"/>
        </w:rPr>
        <w:t>noviembre.</w:t>
      </w:r>
    </w:p>
    <w:p>
      <w:pPr>
        <w:pStyle w:val="ListParagraph"/>
        <w:numPr>
          <w:ilvl w:val="0"/>
          <w:numId w:val="16"/>
        </w:numPr>
        <w:tabs>
          <w:tab w:pos="1677" w:val="left" w:leader="none"/>
        </w:tabs>
        <w:spacing w:line="249" w:lineRule="auto" w:before="2" w:after="0"/>
        <w:ind w:left="1074" w:right="1273" w:firstLine="340"/>
        <w:jc w:val="both"/>
        <w:rPr>
          <w:sz w:val="20"/>
        </w:rPr>
      </w:pPr>
      <w:r>
        <w:rPr>
          <w:sz w:val="20"/>
        </w:rPr>
        <w:t>«Empresa pública»: las sociedades mercantiles de carácter público y toda aquella entidad u organismo sobre la que los poderes adjudicadores puedan ejercer, directa o indirectamente, una influencia dominante por el hecho de tener la propiedad o una participación financiera en las mismas, o en virtud de las normas que las</w:t>
      </w:r>
      <w:r>
        <w:rPr>
          <w:spacing w:val="-20"/>
          <w:sz w:val="20"/>
        </w:rPr>
        <w:t> </w:t>
      </w:r>
      <w:r>
        <w:rPr>
          <w:sz w:val="20"/>
        </w:rPr>
        <w:t>rigen.</w:t>
      </w:r>
    </w:p>
    <w:p>
      <w:pPr>
        <w:pStyle w:val="BodyText"/>
        <w:spacing w:line="249" w:lineRule="auto" w:before="3"/>
        <w:ind w:right="1275"/>
      </w:pPr>
      <w:r>
        <w:rPr/>
        <w:t>Se considerará que los poderes adjudicadores ejercen una influencia dominante, directa o indirecta, sobre una empresa, cuando se dé alguna de las circunstancias</w:t>
      </w:r>
      <w:r>
        <w:rPr>
          <w:spacing w:val="-22"/>
        </w:rPr>
        <w:t> </w:t>
      </w:r>
      <w:r>
        <w:rPr/>
        <w:t>siguientes:</w:t>
      </w:r>
    </w:p>
    <w:p>
      <w:pPr>
        <w:pStyle w:val="ListParagraph"/>
        <w:numPr>
          <w:ilvl w:val="0"/>
          <w:numId w:val="17"/>
        </w:numPr>
        <w:tabs>
          <w:tab w:pos="1583" w:val="left" w:leader="none"/>
        </w:tabs>
        <w:spacing w:line="240" w:lineRule="auto" w:before="122" w:after="0"/>
        <w:ind w:left="1582" w:right="0" w:hanging="169"/>
        <w:jc w:val="left"/>
        <w:rPr>
          <w:sz w:val="20"/>
        </w:rPr>
      </w:pPr>
      <w:r>
        <w:rPr>
          <w:sz w:val="20"/>
        </w:rPr>
        <w:t>º Que tengan la mayoría del capital suscrito de la</w:t>
      </w:r>
      <w:r>
        <w:rPr>
          <w:spacing w:val="-7"/>
          <w:sz w:val="20"/>
        </w:rPr>
        <w:t> </w:t>
      </w:r>
      <w:r>
        <w:rPr>
          <w:sz w:val="20"/>
        </w:rPr>
        <w:t>empresa.</w:t>
      </w:r>
    </w:p>
    <w:p>
      <w:pPr>
        <w:pStyle w:val="ListParagraph"/>
        <w:numPr>
          <w:ilvl w:val="0"/>
          <w:numId w:val="17"/>
        </w:numPr>
        <w:tabs>
          <w:tab w:pos="1583" w:val="left" w:leader="none"/>
        </w:tabs>
        <w:spacing w:line="249" w:lineRule="auto" w:before="10" w:after="0"/>
        <w:ind w:left="1074" w:right="1274" w:firstLine="340"/>
        <w:jc w:val="left"/>
        <w:rPr>
          <w:sz w:val="20"/>
        </w:rPr>
      </w:pPr>
      <w:r>
        <w:rPr>
          <w:sz w:val="20"/>
        </w:rPr>
        <w:t>º Que dispongan de la mayoría de los votos correspondientes a las participaciones emitidas por la</w:t>
      </w:r>
      <w:r>
        <w:rPr>
          <w:spacing w:val="-4"/>
          <w:sz w:val="20"/>
        </w:rPr>
        <w:t> </w:t>
      </w:r>
      <w:r>
        <w:rPr>
          <w:sz w:val="20"/>
        </w:rPr>
        <w:t>empresa.</w:t>
      </w:r>
    </w:p>
    <w:p>
      <w:pPr>
        <w:pStyle w:val="ListParagraph"/>
        <w:numPr>
          <w:ilvl w:val="0"/>
          <w:numId w:val="17"/>
        </w:numPr>
        <w:tabs>
          <w:tab w:pos="1583" w:val="left" w:leader="none"/>
        </w:tabs>
        <w:spacing w:line="249" w:lineRule="auto" w:before="1" w:after="0"/>
        <w:ind w:left="1074" w:right="1273" w:firstLine="340"/>
        <w:jc w:val="left"/>
        <w:rPr>
          <w:sz w:val="20"/>
        </w:rPr>
      </w:pPr>
      <w:r>
        <w:rPr>
          <w:sz w:val="20"/>
        </w:rPr>
        <w:t>º Que puedan designar a más de la mitad de los miembros del órgano de administración, de dirección o de vigilancia de la</w:t>
      </w:r>
      <w:r>
        <w:rPr>
          <w:spacing w:val="-12"/>
          <w:sz w:val="20"/>
        </w:rPr>
        <w:t> </w:t>
      </w:r>
      <w:r>
        <w:rPr>
          <w:sz w:val="20"/>
        </w:rPr>
        <w:t>empresa.</w:t>
      </w:r>
    </w:p>
    <w:p>
      <w:pPr>
        <w:pStyle w:val="BodyText"/>
        <w:spacing w:line="249" w:lineRule="auto" w:before="122"/>
        <w:ind w:right="1272"/>
      </w:pPr>
      <w:r>
        <w:rPr/>
        <w:t>3. Quedan excluidos del ámbito de aplicación de este real decreto-ley los contratos que celebren las entidades que, con arreglo a la Ley 9/2017, de 8 de noviembre, tengan la consideración de Administraciones Públicas, que se regirán por la mencionada ley, en todo caso. Únicamente se les aplicará el presente real decreto-ley para determinar si los contratos que celebren estas deben considerarse sujetos a regulación armonizada.</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6. Derechos especiales o exclus" w:id="17"/>
      <w:bookmarkEnd w:id="17"/>
      <w:r>
        <w:rPr/>
      </w:r>
      <w:r>
        <w:rPr>
          <w:b/>
          <w:sz w:val="20"/>
        </w:rPr>
        <w:t>Artículo 6. </w:t>
      </w:r>
      <w:r>
        <w:rPr>
          <w:i/>
          <w:sz w:val="20"/>
        </w:rPr>
        <w:t>Derechos especiales o exclusivos.</w:t>
      </w:r>
    </w:p>
    <w:p>
      <w:pPr>
        <w:pStyle w:val="ListParagraph"/>
        <w:numPr>
          <w:ilvl w:val="0"/>
          <w:numId w:val="18"/>
        </w:numPr>
        <w:tabs>
          <w:tab w:pos="1651" w:val="left" w:leader="none"/>
        </w:tabs>
        <w:spacing w:line="249" w:lineRule="auto" w:before="118" w:after="0"/>
        <w:ind w:left="1074" w:right="1272" w:firstLine="340"/>
        <w:jc w:val="both"/>
        <w:rPr>
          <w:sz w:val="20"/>
        </w:rPr>
      </w:pPr>
      <w:r>
        <w:rPr>
          <w:sz w:val="20"/>
        </w:rPr>
        <w:t>A los efectos de este real decreto-ley se considera que una entidad contratante goza de derechos especiales o exclusivos en el sentido definido en el artículo 2, letras y) y z), cuando estos sean concedidos por los órganos competentes de una Administración Pública en virtud de cualquier disposición legal, reglamentaria o administrativa que siendo  compatible con el Tratado de Funcionamiento de la Unión Europea tenga como efecto limitar a una o más entidades el ejercicio de una actividad contemplada en los artículos 8 a 14, y que afecte sustancialmente a la capacidad de las demás entidades de ejercer dicha actividad.</w:t>
      </w:r>
    </w:p>
    <w:p>
      <w:pPr>
        <w:pStyle w:val="ListParagraph"/>
        <w:numPr>
          <w:ilvl w:val="0"/>
          <w:numId w:val="18"/>
        </w:numPr>
        <w:tabs>
          <w:tab w:pos="1680" w:val="left" w:leader="none"/>
        </w:tabs>
        <w:spacing w:line="249" w:lineRule="auto" w:before="6" w:after="0"/>
        <w:ind w:left="1074" w:right="1274" w:firstLine="340"/>
        <w:jc w:val="both"/>
        <w:rPr>
          <w:sz w:val="20"/>
        </w:rPr>
      </w:pPr>
      <w:r>
        <w:rPr>
          <w:sz w:val="20"/>
        </w:rPr>
        <w:t>Los derechos que se hayan concedido mediante un procedimiento que haya sido objeto de una publicidad adecuada, con arreglo a criterios objetivos y que no contravenga el Derecho de la Unión Europea no constituirán derechos especiales o exclusivos a los efectos de este real</w:t>
      </w:r>
      <w:r>
        <w:rPr>
          <w:spacing w:val="-3"/>
          <w:sz w:val="20"/>
        </w:rPr>
        <w:t> </w:t>
      </w:r>
      <w:r>
        <w:rPr>
          <w:sz w:val="20"/>
        </w:rPr>
        <w:t>decreto-ley.</w:t>
      </w:r>
    </w:p>
    <w:p>
      <w:pPr>
        <w:pStyle w:val="BodyText"/>
        <w:spacing w:before="4"/>
        <w:ind w:left="0" w:firstLine="0"/>
        <w:jc w:val="left"/>
        <w:rPr>
          <w:sz w:val="30"/>
        </w:rPr>
      </w:pPr>
    </w:p>
    <w:p>
      <w:pPr>
        <w:pStyle w:val="BodyText"/>
        <w:spacing w:before="1"/>
        <w:ind w:left="2929" w:right="3127" w:firstLine="0"/>
        <w:jc w:val="center"/>
      </w:pPr>
      <w:bookmarkStart w:name="CAPÍTULO III. Ámbito de aplicación objet" w:id="18"/>
      <w:bookmarkEnd w:id="18"/>
      <w:r>
        <w:rPr/>
      </w:r>
      <w:bookmarkStart w:name="_bookmark5" w:id="19"/>
      <w:bookmarkEnd w:id="19"/>
      <w:r>
        <w:rPr/>
      </w:r>
      <w:r>
        <w:rPr/>
        <w:t>CAPÍTULO III</w:t>
      </w:r>
    </w:p>
    <w:p>
      <w:pPr>
        <w:pStyle w:val="Heading1"/>
        <w:ind w:left="2929"/>
      </w:pPr>
      <w:r>
        <w:rPr/>
        <w:t>Ámbito de aplicación objetiva</w:t>
      </w:r>
    </w:p>
    <w:p>
      <w:pPr>
        <w:pStyle w:val="BodyText"/>
        <w:spacing w:before="7"/>
        <w:ind w:left="0" w:firstLine="0"/>
        <w:jc w:val="left"/>
        <w:rPr>
          <w:b/>
        </w:rPr>
      </w:pPr>
    </w:p>
    <w:p>
      <w:pPr>
        <w:pStyle w:val="Heading2"/>
        <w:ind w:left="2929"/>
        <w:rPr>
          <w:i/>
        </w:rPr>
      </w:pPr>
      <w:bookmarkStart w:name="Sección 1.ª De las actividades reguladas" w:id="20"/>
      <w:bookmarkEnd w:id="20"/>
      <w:r>
        <w:rPr>
          <w:b w:val="0"/>
          <w:i w:val="0"/>
        </w:rPr>
      </w:r>
      <w:bookmarkStart w:name="_bookmark6" w:id="21"/>
      <w:bookmarkEnd w:id="21"/>
      <w:r>
        <w:rPr>
          <w:b w:val="0"/>
          <w:i w:val="0"/>
        </w:rPr>
      </w:r>
      <w:r>
        <w:rPr>
          <w:i/>
        </w:rPr>
        <w:t>Sección 1.ª De las actividades reguladas</w:t>
      </w:r>
    </w:p>
    <w:p>
      <w:pPr>
        <w:pStyle w:val="BodyText"/>
        <w:spacing w:before="5"/>
        <w:ind w:left="0" w:firstLine="0"/>
        <w:jc w:val="left"/>
        <w:rPr>
          <w:b/>
          <w:i/>
          <w:sz w:val="30"/>
        </w:rPr>
      </w:pPr>
    </w:p>
    <w:p>
      <w:pPr>
        <w:spacing w:before="0"/>
        <w:ind w:left="1074" w:right="0" w:firstLine="0"/>
        <w:jc w:val="both"/>
        <w:rPr>
          <w:i/>
          <w:sz w:val="20"/>
        </w:rPr>
      </w:pPr>
      <w:bookmarkStart w:name="Artículo 7. Disposiciones comunes." w:id="22"/>
      <w:bookmarkEnd w:id="22"/>
      <w:r>
        <w:rPr/>
      </w:r>
      <w:r>
        <w:rPr>
          <w:b/>
          <w:sz w:val="20"/>
        </w:rPr>
        <w:t>Artículo 7. </w:t>
      </w:r>
      <w:r>
        <w:rPr>
          <w:i/>
          <w:sz w:val="20"/>
        </w:rPr>
        <w:t>Disposiciones comunes.</w:t>
      </w:r>
    </w:p>
    <w:p>
      <w:pPr>
        <w:pStyle w:val="BodyText"/>
        <w:spacing w:line="249" w:lineRule="auto" w:before="118"/>
        <w:ind w:right="1273"/>
      </w:pPr>
      <w:r>
        <w:rPr/>
        <w:t>A los efectos de los artículos 8, 9 y 10 siguientes, el suministro incluirá la generación (producción), la venta al por mayor y la venta al por menor. No obstante, la producción de gas por extracción entra en el ámbito de aplicación del artículo</w:t>
      </w:r>
      <w:r>
        <w:rPr>
          <w:spacing w:val="-21"/>
        </w:rPr>
        <w:t> </w:t>
      </w:r>
      <w:r>
        <w:rPr/>
        <w:t>14.</w:t>
      </w:r>
    </w:p>
    <w:p>
      <w:pPr>
        <w:pStyle w:val="BodyText"/>
        <w:spacing w:before="5"/>
        <w:ind w:left="0" w:firstLine="0"/>
        <w:jc w:val="left"/>
      </w:pPr>
    </w:p>
    <w:p>
      <w:pPr>
        <w:spacing w:before="0"/>
        <w:ind w:left="1074" w:right="0" w:firstLine="0"/>
        <w:jc w:val="both"/>
        <w:rPr>
          <w:i/>
          <w:sz w:val="20"/>
        </w:rPr>
      </w:pPr>
      <w:bookmarkStart w:name="Artículo 8. Agua." w:id="23"/>
      <w:bookmarkEnd w:id="23"/>
      <w:r>
        <w:rPr/>
      </w:r>
      <w:r>
        <w:rPr>
          <w:b/>
          <w:sz w:val="20"/>
        </w:rPr>
        <w:t>Artículo 8.</w:t>
      </w:r>
      <w:r>
        <w:rPr>
          <w:b/>
          <w:spacing w:val="54"/>
          <w:sz w:val="20"/>
        </w:rPr>
        <w:t> </w:t>
      </w:r>
      <w:r>
        <w:rPr>
          <w:i/>
          <w:sz w:val="20"/>
        </w:rPr>
        <w:t>Agua.</w:t>
      </w:r>
    </w:p>
    <w:p>
      <w:pPr>
        <w:pStyle w:val="ListParagraph"/>
        <w:numPr>
          <w:ilvl w:val="0"/>
          <w:numId w:val="19"/>
        </w:numPr>
        <w:tabs>
          <w:tab w:pos="1637" w:val="left" w:leader="none"/>
        </w:tabs>
        <w:spacing w:line="240" w:lineRule="auto" w:before="117" w:after="0"/>
        <w:ind w:left="1636" w:right="0" w:hanging="223"/>
        <w:jc w:val="both"/>
        <w:rPr>
          <w:sz w:val="20"/>
        </w:rPr>
      </w:pPr>
      <w:r>
        <w:rPr>
          <w:sz w:val="20"/>
        </w:rPr>
        <w:t>El presente real decreto-ley se aplicará a las actividades</w:t>
      </w:r>
      <w:r>
        <w:rPr>
          <w:spacing w:val="-12"/>
          <w:sz w:val="20"/>
        </w:rPr>
        <w:t> </w:t>
      </w:r>
      <w:r>
        <w:rPr>
          <w:sz w:val="20"/>
        </w:rPr>
        <w:t>siguientes:</w:t>
      </w:r>
    </w:p>
    <w:p>
      <w:pPr>
        <w:pStyle w:val="ListParagraph"/>
        <w:numPr>
          <w:ilvl w:val="0"/>
          <w:numId w:val="20"/>
        </w:numPr>
        <w:tabs>
          <w:tab w:pos="1651" w:val="left" w:leader="none"/>
        </w:tabs>
        <w:spacing w:line="249" w:lineRule="auto" w:before="130" w:after="0"/>
        <w:ind w:left="1074" w:right="1276" w:firstLine="340"/>
        <w:jc w:val="both"/>
        <w:rPr>
          <w:sz w:val="20"/>
        </w:rPr>
      </w:pPr>
      <w:r>
        <w:rPr>
          <w:sz w:val="20"/>
        </w:rPr>
        <w:t>La puesta a disposición o la explotación de redes fijas destinadas a prestar un servicio al público en relación con la producción, transporte o distribución de agua</w:t>
      </w:r>
      <w:r>
        <w:rPr>
          <w:spacing w:val="-26"/>
          <w:sz w:val="20"/>
        </w:rPr>
        <w:t> </w:t>
      </w:r>
      <w:r>
        <w:rPr>
          <w:sz w:val="20"/>
        </w:rPr>
        <w:t>potable.</w:t>
      </w:r>
    </w:p>
    <w:p>
      <w:pPr>
        <w:pStyle w:val="ListParagraph"/>
        <w:numPr>
          <w:ilvl w:val="0"/>
          <w:numId w:val="20"/>
        </w:numPr>
        <w:tabs>
          <w:tab w:pos="1648" w:val="left" w:leader="none"/>
        </w:tabs>
        <w:spacing w:line="240" w:lineRule="auto" w:before="2" w:after="0"/>
        <w:ind w:left="1647" w:right="0" w:hanging="234"/>
        <w:jc w:val="both"/>
        <w:rPr>
          <w:sz w:val="20"/>
        </w:rPr>
      </w:pPr>
      <w:r>
        <w:rPr>
          <w:sz w:val="20"/>
        </w:rPr>
        <w:t>El suministro de agua potable a dichas</w:t>
      </w:r>
      <w:r>
        <w:rPr>
          <w:spacing w:val="-7"/>
          <w:sz w:val="20"/>
        </w:rPr>
        <w:t> </w:t>
      </w:r>
      <w:r>
        <w:rPr>
          <w:sz w:val="20"/>
        </w:rPr>
        <w:t>redes.</w:t>
      </w:r>
    </w:p>
    <w:p>
      <w:pPr>
        <w:pStyle w:val="ListParagraph"/>
        <w:numPr>
          <w:ilvl w:val="0"/>
          <w:numId w:val="19"/>
        </w:numPr>
        <w:tabs>
          <w:tab w:pos="1637" w:val="left" w:leader="none"/>
        </w:tabs>
        <w:spacing w:line="249" w:lineRule="auto" w:before="130" w:after="0"/>
        <w:ind w:left="1074" w:right="1272" w:firstLine="340"/>
        <w:jc w:val="both"/>
        <w:rPr>
          <w:sz w:val="20"/>
        </w:rPr>
      </w:pPr>
      <w:r>
        <w:rPr>
          <w:sz w:val="20"/>
        </w:rPr>
        <w:t>El presente real decreto-ley se aplicará, asimismo, a los contratos y a los concursos de proyectos adjudicados u organizados por las entidades que ejerzan una actividad contemplada en el apartado 1, siempre y cuando tales contratos estén relacionados con alguna de las actividades</w:t>
      </w:r>
      <w:r>
        <w:rPr>
          <w:spacing w:val="-5"/>
          <w:sz w:val="20"/>
        </w:rPr>
        <w:t> </w:t>
      </w:r>
      <w:r>
        <w:rPr>
          <w:sz w:val="20"/>
        </w:rPr>
        <w:t>siguientes:</w:t>
      </w:r>
    </w:p>
    <w:p>
      <w:pPr>
        <w:pStyle w:val="ListParagraph"/>
        <w:numPr>
          <w:ilvl w:val="0"/>
          <w:numId w:val="21"/>
        </w:numPr>
        <w:tabs>
          <w:tab w:pos="1653" w:val="left" w:leader="none"/>
        </w:tabs>
        <w:spacing w:line="249" w:lineRule="auto" w:before="123" w:after="0"/>
        <w:ind w:left="1074" w:right="1274" w:firstLine="340"/>
        <w:jc w:val="both"/>
        <w:rPr>
          <w:sz w:val="20"/>
        </w:rPr>
      </w:pPr>
      <w:r>
        <w:rPr>
          <w:sz w:val="20"/>
        </w:rPr>
        <w:t>Proyectos de ingeniería hidráulica, irrigación o drenaje, a condición de que el volumen de agua destinado al abastecimiento de agua potable represente más del 20 por ciento del volumen de agua total disponible gracias a dichos proyectos o a dichas instalaciones de irrigación o</w:t>
      </w:r>
      <w:r>
        <w:rPr>
          <w:spacing w:val="-3"/>
          <w:sz w:val="20"/>
        </w:rPr>
        <w:t> </w:t>
      </w:r>
      <w:r>
        <w:rPr>
          <w:sz w:val="20"/>
        </w:rPr>
        <w:t>drenaje.</w:t>
      </w:r>
    </w:p>
    <w:p>
      <w:pPr>
        <w:pStyle w:val="ListParagraph"/>
        <w:numPr>
          <w:ilvl w:val="0"/>
          <w:numId w:val="21"/>
        </w:numPr>
        <w:tabs>
          <w:tab w:pos="1648" w:val="left" w:leader="none"/>
        </w:tabs>
        <w:spacing w:line="240" w:lineRule="auto" w:before="4" w:after="0"/>
        <w:ind w:left="1647" w:right="0" w:hanging="234"/>
        <w:jc w:val="both"/>
        <w:rPr>
          <w:sz w:val="20"/>
        </w:rPr>
      </w:pPr>
      <w:r>
        <w:rPr>
          <w:sz w:val="20"/>
        </w:rPr>
        <w:t>La evacuación o tratamiento de aguas</w:t>
      </w:r>
      <w:r>
        <w:rPr>
          <w:spacing w:val="-6"/>
          <w:sz w:val="20"/>
        </w:rPr>
        <w:t> </w:t>
      </w:r>
      <w:r>
        <w:rPr>
          <w:sz w:val="20"/>
        </w:rPr>
        <w:t>residuales.</w:t>
      </w:r>
    </w:p>
    <w:p>
      <w:pPr>
        <w:pStyle w:val="ListParagraph"/>
        <w:numPr>
          <w:ilvl w:val="0"/>
          <w:numId w:val="19"/>
        </w:numPr>
        <w:tabs>
          <w:tab w:pos="1642" w:val="left" w:leader="none"/>
        </w:tabs>
        <w:spacing w:line="249" w:lineRule="auto" w:before="130" w:after="0"/>
        <w:ind w:left="1074" w:right="1273" w:firstLine="340"/>
        <w:jc w:val="both"/>
        <w:rPr>
          <w:sz w:val="20"/>
        </w:rPr>
      </w:pPr>
      <w:r>
        <w:rPr>
          <w:sz w:val="20"/>
        </w:rPr>
        <w:t>No se considerará como una actividad con arreglo al apartado 1 el suministro de agua potable a redes destinadas a prestar un servicio al público por parte de una entidad contratante distinta de los poderes adjudicadores, cuando se cumplan todas las condiciones siguientes:</w:t>
      </w:r>
    </w:p>
    <w:p>
      <w:pPr>
        <w:pStyle w:val="ListParagraph"/>
        <w:numPr>
          <w:ilvl w:val="0"/>
          <w:numId w:val="22"/>
        </w:numPr>
        <w:tabs>
          <w:tab w:pos="1662" w:val="left" w:leader="none"/>
        </w:tabs>
        <w:spacing w:line="249" w:lineRule="auto" w:before="123" w:after="0"/>
        <w:ind w:left="1074" w:right="1274" w:firstLine="340"/>
        <w:jc w:val="both"/>
        <w:rPr>
          <w:sz w:val="20"/>
        </w:rPr>
      </w:pPr>
      <w:r>
        <w:rPr>
          <w:sz w:val="20"/>
        </w:rPr>
        <w:t>Que la producción de agua potable por parte de la entidad de que se trate se realice porque su consumo sea necesario para el ejercicio de una actividad distinta de las contempladas en los artículos 8 a</w:t>
      </w:r>
      <w:r>
        <w:rPr>
          <w:spacing w:val="-6"/>
          <w:sz w:val="20"/>
        </w:rPr>
        <w:t> </w:t>
      </w:r>
      <w:r>
        <w:rPr>
          <w:sz w:val="20"/>
        </w:rPr>
        <w:t>11.</w:t>
      </w:r>
    </w:p>
    <w:p>
      <w:pPr>
        <w:pStyle w:val="ListParagraph"/>
        <w:numPr>
          <w:ilvl w:val="0"/>
          <w:numId w:val="22"/>
        </w:numPr>
        <w:tabs>
          <w:tab w:pos="1653" w:val="left" w:leader="none"/>
        </w:tabs>
        <w:spacing w:line="249" w:lineRule="auto" w:before="2" w:after="0"/>
        <w:ind w:left="1074" w:right="1272" w:firstLine="340"/>
        <w:jc w:val="both"/>
        <w:rPr>
          <w:sz w:val="20"/>
        </w:rPr>
      </w:pPr>
      <w:r>
        <w:rPr>
          <w:sz w:val="20"/>
        </w:rPr>
        <w:t>Que la alimentación de la red pública dependa exclusivamente del propio consumo de la entidad contratante y no haya superado el 30 por ciento de la producción total de agua potable de la entidad contratante tomando en consideración la media de los tres últimos años, incluido el año en</w:t>
      </w:r>
      <w:r>
        <w:rPr>
          <w:spacing w:val="-6"/>
          <w:sz w:val="20"/>
        </w:rPr>
        <w:t> </w:t>
      </w:r>
      <w:r>
        <w:rPr>
          <w:sz w:val="20"/>
        </w:rPr>
        <w:t>curso.</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left"/>
        <w:rPr>
          <w:i/>
          <w:sz w:val="20"/>
        </w:rPr>
      </w:pPr>
      <w:bookmarkStart w:name="Artículo 9. Gas y calefacción." w:id="24"/>
      <w:bookmarkEnd w:id="24"/>
      <w:r>
        <w:rPr/>
      </w:r>
      <w:r>
        <w:rPr>
          <w:b/>
          <w:sz w:val="20"/>
        </w:rPr>
        <w:t>Artículo 9. </w:t>
      </w:r>
      <w:r>
        <w:rPr>
          <w:i/>
          <w:sz w:val="20"/>
        </w:rPr>
        <w:t>Gas y calefacción.</w:t>
      </w:r>
    </w:p>
    <w:p>
      <w:pPr>
        <w:pStyle w:val="ListParagraph"/>
        <w:numPr>
          <w:ilvl w:val="0"/>
          <w:numId w:val="23"/>
        </w:numPr>
        <w:tabs>
          <w:tab w:pos="1637" w:val="left" w:leader="none"/>
        </w:tabs>
        <w:spacing w:line="240" w:lineRule="auto" w:before="118" w:after="0"/>
        <w:ind w:left="1636" w:right="0" w:hanging="223"/>
        <w:jc w:val="left"/>
        <w:rPr>
          <w:sz w:val="20"/>
        </w:rPr>
      </w:pPr>
      <w:r>
        <w:rPr>
          <w:sz w:val="20"/>
        </w:rPr>
        <w:t>El presente real decreto-ley se aplicará a las actividades</w:t>
      </w:r>
      <w:r>
        <w:rPr>
          <w:spacing w:val="-12"/>
          <w:sz w:val="20"/>
        </w:rPr>
        <w:t> </w:t>
      </w:r>
      <w:r>
        <w:rPr>
          <w:sz w:val="20"/>
        </w:rPr>
        <w:t>siguientes:</w:t>
      </w:r>
    </w:p>
    <w:p>
      <w:pPr>
        <w:pStyle w:val="ListParagraph"/>
        <w:numPr>
          <w:ilvl w:val="0"/>
          <w:numId w:val="24"/>
        </w:numPr>
        <w:tabs>
          <w:tab w:pos="1651" w:val="left" w:leader="none"/>
        </w:tabs>
        <w:spacing w:line="249" w:lineRule="auto" w:before="130" w:after="0"/>
        <w:ind w:left="1074" w:right="1276" w:firstLine="340"/>
        <w:jc w:val="both"/>
        <w:rPr>
          <w:sz w:val="20"/>
        </w:rPr>
      </w:pPr>
      <w:r>
        <w:rPr>
          <w:sz w:val="20"/>
        </w:rPr>
        <w:t>La puesta a disposición o la explotación de redes fijas destinadas a prestar un servicio al público en relación con la producción, transporte o distribución de gas o</w:t>
      </w:r>
      <w:r>
        <w:rPr>
          <w:spacing w:val="-28"/>
          <w:sz w:val="20"/>
        </w:rPr>
        <w:t> </w:t>
      </w:r>
      <w:r>
        <w:rPr>
          <w:sz w:val="20"/>
        </w:rPr>
        <w:t>calefacción.</w:t>
      </w:r>
    </w:p>
    <w:p>
      <w:pPr>
        <w:pStyle w:val="ListParagraph"/>
        <w:numPr>
          <w:ilvl w:val="0"/>
          <w:numId w:val="24"/>
        </w:numPr>
        <w:tabs>
          <w:tab w:pos="1648" w:val="left" w:leader="none"/>
        </w:tabs>
        <w:spacing w:line="240" w:lineRule="auto" w:before="1" w:after="0"/>
        <w:ind w:left="1647" w:right="0" w:hanging="234"/>
        <w:jc w:val="left"/>
        <w:rPr>
          <w:sz w:val="20"/>
        </w:rPr>
      </w:pPr>
      <w:r>
        <w:rPr>
          <w:sz w:val="20"/>
        </w:rPr>
        <w:t>El suministro de gas o calefacción a dichas</w:t>
      </w:r>
      <w:r>
        <w:rPr>
          <w:spacing w:val="-6"/>
          <w:sz w:val="20"/>
        </w:rPr>
        <w:t> </w:t>
      </w:r>
      <w:r>
        <w:rPr>
          <w:sz w:val="20"/>
        </w:rPr>
        <w:t>redes.</w:t>
      </w:r>
    </w:p>
    <w:p>
      <w:pPr>
        <w:pStyle w:val="ListParagraph"/>
        <w:numPr>
          <w:ilvl w:val="0"/>
          <w:numId w:val="23"/>
        </w:numPr>
        <w:tabs>
          <w:tab w:pos="1655" w:val="left" w:leader="none"/>
        </w:tabs>
        <w:spacing w:line="249" w:lineRule="auto" w:before="130" w:after="0"/>
        <w:ind w:left="1074" w:right="1273" w:firstLine="340"/>
        <w:jc w:val="both"/>
        <w:rPr>
          <w:sz w:val="20"/>
        </w:rPr>
      </w:pPr>
      <w:r>
        <w:rPr>
          <w:sz w:val="20"/>
        </w:rPr>
        <w:t>No se considerará una actividad pertinente a efectos del apartado 1 el suministro de gas o calefacción a redes destinadas a prestar un servicio al público por una entidad contratante distinta de los poderes adjudicadores cuando se cumplan todas las condiciones siguientes:</w:t>
      </w:r>
    </w:p>
    <w:p>
      <w:pPr>
        <w:pStyle w:val="ListParagraph"/>
        <w:numPr>
          <w:ilvl w:val="0"/>
          <w:numId w:val="25"/>
        </w:numPr>
        <w:tabs>
          <w:tab w:pos="1678" w:val="left" w:leader="none"/>
        </w:tabs>
        <w:spacing w:line="249" w:lineRule="auto" w:before="124" w:after="0"/>
        <w:ind w:left="1074" w:right="1272" w:firstLine="340"/>
        <w:jc w:val="both"/>
        <w:rPr>
          <w:sz w:val="20"/>
        </w:rPr>
      </w:pPr>
      <w:r>
        <w:rPr>
          <w:sz w:val="20"/>
        </w:rPr>
        <w:t>Que la producción de gas o de calefacción por la entidad de que se trate sea una consecuencia inevitable del ejercicio de una actividad distinta de las contempladas en el apartado</w:t>
      </w:r>
      <w:r>
        <w:rPr>
          <w:spacing w:val="-3"/>
          <w:sz w:val="20"/>
        </w:rPr>
        <w:t> </w:t>
      </w:r>
      <w:r>
        <w:rPr>
          <w:sz w:val="20"/>
        </w:rPr>
        <w:t>1</w:t>
      </w:r>
      <w:r>
        <w:rPr>
          <w:spacing w:val="-3"/>
          <w:sz w:val="20"/>
        </w:rPr>
        <w:t> </w:t>
      </w:r>
      <w:r>
        <w:rPr>
          <w:sz w:val="20"/>
        </w:rPr>
        <w:t>del</w:t>
      </w:r>
      <w:r>
        <w:rPr>
          <w:spacing w:val="-3"/>
          <w:sz w:val="20"/>
        </w:rPr>
        <w:t> </w:t>
      </w:r>
      <w:r>
        <w:rPr>
          <w:sz w:val="20"/>
        </w:rPr>
        <w:t>presente</w:t>
      </w:r>
      <w:r>
        <w:rPr>
          <w:spacing w:val="-2"/>
          <w:sz w:val="20"/>
        </w:rPr>
        <w:t> </w:t>
      </w:r>
      <w:r>
        <w:rPr>
          <w:sz w:val="20"/>
        </w:rPr>
        <w:t>artículo</w:t>
      </w:r>
      <w:r>
        <w:rPr>
          <w:spacing w:val="-3"/>
          <w:sz w:val="20"/>
        </w:rPr>
        <w:t> </w:t>
      </w:r>
      <w:r>
        <w:rPr>
          <w:sz w:val="20"/>
        </w:rPr>
        <w:t>o</w:t>
      </w:r>
      <w:r>
        <w:rPr>
          <w:spacing w:val="-3"/>
          <w:sz w:val="20"/>
        </w:rPr>
        <w:t> </w:t>
      </w:r>
      <w:r>
        <w:rPr>
          <w:sz w:val="20"/>
        </w:rPr>
        <w:t>en</w:t>
      </w:r>
      <w:r>
        <w:rPr>
          <w:spacing w:val="-3"/>
          <w:sz w:val="20"/>
        </w:rPr>
        <w:t> </w:t>
      </w:r>
      <w:r>
        <w:rPr>
          <w:sz w:val="20"/>
        </w:rPr>
        <w:t>los</w:t>
      </w:r>
      <w:r>
        <w:rPr>
          <w:spacing w:val="-2"/>
          <w:sz w:val="20"/>
        </w:rPr>
        <w:t> </w:t>
      </w:r>
      <w:r>
        <w:rPr>
          <w:sz w:val="20"/>
        </w:rPr>
        <w:t>artículos</w:t>
      </w:r>
      <w:r>
        <w:rPr>
          <w:spacing w:val="-3"/>
          <w:sz w:val="20"/>
        </w:rPr>
        <w:t> </w:t>
      </w:r>
      <w:r>
        <w:rPr>
          <w:sz w:val="20"/>
        </w:rPr>
        <w:t>8</w:t>
      </w:r>
      <w:r>
        <w:rPr>
          <w:spacing w:val="-3"/>
          <w:sz w:val="20"/>
        </w:rPr>
        <w:t> </w:t>
      </w:r>
      <w:r>
        <w:rPr>
          <w:sz w:val="20"/>
        </w:rPr>
        <w:t>y</w:t>
      </w:r>
      <w:r>
        <w:rPr>
          <w:spacing w:val="-2"/>
          <w:sz w:val="20"/>
        </w:rPr>
        <w:t> </w:t>
      </w:r>
      <w:r>
        <w:rPr>
          <w:sz w:val="20"/>
        </w:rPr>
        <w:t>10</w:t>
      </w:r>
      <w:r>
        <w:rPr>
          <w:spacing w:val="-2"/>
          <w:sz w:val="20"/>
        </w:rPr>
        <w:t> </w:t>
      </w:r>
      <w:r>
        <w:rPr>
          <w:sz w:val="20"/>
        </w:rPr>
        <w:t>a</w:t>
      </w:r>
      <w:r>
        <w:rPr>
          <w:spacing w:val="-3"/>
          <w:sz w:val="20"/>
        </w:rPr>
        <w:t> </w:t>
      </w:r>
      <w:r>
        <w:rPr>
          <w:sz w:val="20"/>
        </w:rPr>
        <w:t>14</w:t>
      </w:r>
      <w:r>
        <w:rPr>
          <w:spacing w:val="-3"/>
          <w:sz w:val="20"/>
        </w:rPr>
        <w:t> </w:t>
      </w:r>
      <w:r>
        <w:rPr>
          <w:sz w:val="20"/>
        </w:rPr>
        <w:t>de</w:t>
      </w:r>
      <w:r>
        <w:rPr>
          <w:spacing w:val="-2"/>
          <w:sz w:val="20"/>
        </w:rPr>
        <w:t> </w:t>
      </w:r>
      <w:r>
        <w:rPr>
          <w:sz w:val="20"/>
        </w:rPr>
        <w:t>este</w:t>
      </w:r>
      <w:r>
        <w:rPr>
          <w:spacing w:val="-3"/>
          <w:sz w:val="20"/>
        </w:rPr>
        <w:t> </w:t>
      </w:r>
      <w:r>
        <w:rPr>
          <w:sz w:val="20"/>
        </w:rPr>
        <w:t>real</w:t>
      </w:r>
      <w:r>
        <w:rPr>
          <w:spacing w:val="-2"/>
          <w:sz w:val="20"/>
        </w:rPr>
        <w:t> </w:t>
      </w:r>
      <w:r>
        <w:rPr>
          <w:sz w:val="20"/>
        </w:rPr>
        <w:t>decreto-ley.</w:t>
      </w:r>
    </w:p>
    <w:p>
      <w:pPr>
        <w:pStyle w:val="ListParagraph"/>
        <w:numPr>
          <w:ilvl w:val="0"/>
          <w:numId w:val="25"/>
        </w:numPr>
        <w:tabs>
          <w:tab w:pos="1671" w:val="left" w:leader="none"/>
        </w:tabs>
        <w:spacing w:line="249" w:lineRule="auto" w:before="2" w:after="0"/>
        <w:ind w:left="1074" w:right="1272" w:firstLine="340"/>
        <w:jc w:val="both"/>
        <w:rPr>
          <w:sz w:val="20"/>
        </w:rPr>
      </w:pPr>
      <w:r>
        <w:rPr>
          <w:sz w:val="20"/>
        </w:rPr>
        <w:t>Que la alimentación de la red pública tenga el único propósito de explotar en forma económica dicha producción y corresponda, como máximo, al 20 % del volumen de negocios de la entidad contratante, tomando en consideración la media de los tres últimos años, incluido el año en</w:t>
      </w:r>
      <w:r>
        <w:rPr>
          <w:spacing w:val="-5"/>
          <w:sz w:val="20"/>
        </w:rPr>
        <w:t> </w:t>
      </w:r>
      <w:r>
        <w:rPr>
          <w:sz w:val="20"/>
        </w:rPr>
        <w:t>curso.</w:t>
      </w:r>
    </w:p>
    <w:p>
      <w:pPr>
        <w:pStyle w:val="BodyText"/>
        <w:spacing w:before="6"/>
        <w:ind w:left="0" w:firstLine="0"/>
        <w:jc w:val="left"/>
      </w:pPr>
    </w:p>
    <w:p>
      <w:pPr>
        <w:spacing w:before="0"/>
        <w:ind w:left="1074" w:right="0" w:firstLine="0"/>
        <w:jc w:val="left"/>
        <w:rPr>
          <w:i/>
          <w:sz w:val="20"/>
        </w:rPr>
      </w:pPr>
      <w:bookmarkStart w:name="Artículo 10. Electricidad." w:id="25"/>
      <w:bookmarkEnd w:id="25"/>
      <w:r>
        <w:rPr/>
      </w:r>
      <w:r>
        <w:rPr>
          <w:b/>
          <w:sz w:val="20"/>
        </w:rPr>
        <w:t>Artículo 10.</w:t>
      </w:r>
      <w:r>
        <w:rPr>
          <w:b/>
          <w:spacing w:val="54"/>
          <w:sz w:val="20"/>
        </w:rPr>
        <w:t> </w:t>
      </w:r>
      <w:r>
        <w:rPr>
          <w:i/>
          <w:sz w:val="20"/>
        </w:rPr>
        <w:t>Electricidad.</w:t>
      </w:r>
    </w:p>
    <w:p>
      <w:pPr>
        <w:pStyle w:val="ListParagraph"/>
        <w:numPr>
          <w:ilvl w:val="0"/>
          <w:numId w:val="26"/>
        </w:numPr>
        <w:tabs>
          <w:tab w:pos="1637" w:val="left" w:leader="none"/>
        </w:tabs>
        <w:spacing w:line="240" w:lineRule="auto" w:before="118" w:after="0"/>
        <w:ind w:left="1636" w:right="0" w:hanging="223"/>
        <w:jc w:val="left"/>
        <w:rPr>
          <w:sz w:val="20"/>
        </w:rPr>
      </w:pPr>
      <w:r>
        <w:rPr>
          <w:sz w:val="20"/>
        </w:rPr>
        <w:t>El presente real decreto-ley se aplicará a las actividades</w:t>
      </w:r>
      <w:r>
        <w:rPr>
          <w:spacing w:val="-12"/>
          <w:sz w:val="20"/>
        </w:rPr>
        <w:t> </w:t>
      </w:r>
      <w:r>
        <w:rPr>
          <w:sz w:val="20"/>
        </w:rPr>
        <w:t>siguientes:</w:t>
      </w:r>
    </w:p>
    <w:p>
      <w:pPr>
        <w:pStyle w:val="ListParagraph"/>
        <w:numPr>
          <w:ilvl w:val="0"/>
          <w:numId w:val="27"/>
        </w:numPr>
        <w:tabs>
          <w:tab w:pos="1651" w:val="left" w:leader="none"/>
        </w:tabs>
        <w:spacing w:line="249" w:lineRule="auto" w:before="130" w:after="0"/>
        <w:ind w:left="1074" w:right="1276" w:firstLine="340"/>
        <w:jc w:val="both"/>
        <w:rPr>
          <w:sz w:val="20"/>
        </w:rPr>
      </w:pPr>
      <w:r>
        <w:rPr>
          <w:sz w:val="20"/>
        </w:rPr>
        <w:t>La puesta a disposición o la explotación de redes fijas destinadas a prestar un servicio al público en relación con la producción, transporte o distribución de</w:t>
      </w:r>
      <w:r>
        <w:rPr>
          <w:spacing w:val="-23"/>
          <w:sz w:val="20"/>
        </w:rPr>
        <w:t> </w:t>
      </w:r>
      <w:r>
        <w:rPr>
          <w:sz w:val="20"/>
        </w:rPr>
        <w:t>electricidad.</w:t>
      </w:r>
    </w:p>
    <w:p>
      <w:pPr>
        <w:pStyle w:val="ListParagraph"/>
        <w:numPr>
          <w:ilvl w:val="0"/>
          <w:numId w:val="27"/>
        </w:numPr>
        <w:tabs>
          <w:tab w:pos="1648" w:val="left" w:leader="none"/>
        </w:tabs>
        <w:spacing w:line="240" w:lineRule="auto" w:before="1" w:after="0"/>
        <w:ind w:left="1647" w:right="0" w:hanging="234"/>
        <w:jc w:val="left"/>
        <w:rPr>
          <w:sz w:val="20"/>
        </w:rPr>
      </w:pPr>
      <w:r>
        <w:rPr>
          <w:sz w:val="20"/>
        </w:rPr>
        <w:t>El suministro de electricidad a dichas</w:t>
      </w:r>
      <w:r>
        <w:rPr>
          <w:spacing w:val="-6"/>
          <w:sz w:val="20"/>
        </w:rPr>
        <w:t> </w:t>
      </w:r>
      <w:r>
        <w:rPr>
          <w:sz w:val="20"/>
        </w:rPr>
        <w:t>redes.</w:t>
      </w:r>
    </w:p>
    <w:p>
      <w:pPr>
        <w:pStyle w:val="ListParagraph"/>
        <w:numPr>
          <w:ilvl w:val="0"/>
          <w:numId w:val="26"/>
        </w:numPr>
        <w:tabs>
          <w:tab w:pos="1678" w:val="left" w:leader="none"/>
        </w:tabs>
        <w:spacing w:line="249" w:lineRule="auto" w:before="130" w:after="0"/>
        <w:ind w:left="1074" w:right="1273" w:firstLine="340"/>
        <w:jc w:val="both"/>
        <w:rPr>
          <w:sz w:val="20"/>
        </w:rPr>
      </w:pPr>
      <w:r>
        <w:rPr>
          <w:sz w:val="20"/>
        </w:rPr>
        <w:t>No se considerará como una actividad con arreglo al apartado 1 el suministro de electricidad a redes destinadas a proporcionar un servicio al público por parte de una entidad contratante distinta de los poderes adjudicadores cuando se cumplan todas las condiciones siguientes:</w:t>
      </w:r>
    </w:p>
    <w:p>
      <w:pPr>
        <w:pStyle w:val="ListParagraph"/>
        <w:numPr>
          <w:ilvl w:val="0"/>
          <w:numId w:val="28"/>
        </w:numPr>
        <w:tabs>
          <w:tab w:pos="1663" w:val="left" w:leader="none"/>
        </w:tabs>
        <w:spacing w:line="249" w:lineRule="auto" w:before="124" w:after="0"/>
        <w:ind w:left="1074" w:right="1274" w:firstLine="340"/>
        <w:jc w:val="both"/>
        <w:rPr>
          <w:sz w:val="20"/>
        </w:rPr>
      </w:pPr>
      <w:r>
        <w:rPr>
          <w:sz w:val="20"/>
        </w:rPr>
        <w:t>Que la producción de electricidad por parte de la entidad contratante de que se trate se realice porque su consumo sea necesario para el ejercicio de una actividad distinta de las contempladas en el apartado 1 del presente artículo o en los artículos 8, 9 y 11 de este real decreto-ley.</w:t>
      </w:r>
    </w:p>
    <w:p>
      <w:pPr>
        <w:pStyle w:val="ListParagraph"/>
        <w:numPr>
          <w:ilvl w:val="0"/>
          <w:numId w:val="28"/>
        </w:numPr>
        <w:tabs>
          <w:tab w:pos="1653" w:val="left" w:leader="none"/>
        </w:tabs>
        <w:spacing w:line="249" w:lineRule="auto" w:before="3" w:after="0"/>
        <w:ind w:left="1074" w:right="1272" w:firstLine="340"/>
        <w:jc w:val="both"/>
        <w:rPr>
          <w:sz w:val="20"/>
        </w:rPr>
      </w:pPr>
      <w:r>
        <w:rPr>
          <w:sz w:val="20"/>
        </w:rPr>
        <w:t>Que la alimentación de la red pública dependa exclusivamente del propio consumo de la entidad contratante y no haya superado el 30 por 100 de la producción total de energía de la entidad contratante tomando en consideración la media de los tres últimos años, incluido el año en</w:t>
      </w:r>
      <w:r>
        <w:rPr>
          <w:spacing w:val="-4"/>
          <w:sz w:val="20"/>
        </w:rPr>
        <w:t> </w:t>
      </w:r>
      <w:r>
        <w:rPr>
          <w:sz w:val="20"/>
        </w:rPr>
        <w:t>curso.</w:t>
      </w:r>
    </w:p>
    <w:p>
      <w:pPr>
        <w:pStyle w:val="BodyText"/>
        <w:spacing w:before="6"/>
        <w:ind w:left="0" w:firstLine="0"/>
        <w:jc w:val="left"/>
      </w:pPr>
    </w:p>
    <w:p>
      <w:pPr>
        <w:spacing w:before="0"/>
        <w:ind w:left="1074" w:right="0" w:firstLine="0"/>
        <w:jc w:val="both"/>
        <w:rPr>
          <w:i/>
          <w:sz w:val="20"/>
        </w:rPr>
      </w:pPr>
      <w:bookmarkStart w:name="Artículo 11. Servicios de transporte." w:id="26"/>
      <w:bookmarkEnd w:id="26"/>
      <w:r>
        <w:rPr/>
      </w:r>
      <w:r>
        <w:rPr>
          <w:b/>
          <w:sz w:val="20"/>
        </w:rPr>
        <w:t>Artículo 11. </w:t>
      </w:r>
      <w:r>
        <w:rPr>
          <w:i/>
          <w:sz w:val="20"/>
        </w:rPr>
        <w:t>Servicios de transporte.</w:t>
      </w:r>
    </w:p>
    <w:p>
      <w:pPr>
        <w:pStyle w:val="ListParagraph"/>
        <w:numPr>
          <w:ilvl w:val="0"/>
          <w:numId w:val="29"/>
        </w:numPr>
        <w:tabs>
          <w:tab w:pos="1666" w:val="left" w:leader="none"/>
        </w:tabs>
        <w:spacing w:line="249" w:lineRule="auto" w:before="117" w:after="0"/>
        <w:ind w:left="1074" w:right="1274" w:firstLine="340"/>
        <w:jc w:val="both"/>
        <w:rPr>
          <w:sz w:val="20"/>
        </w:rPr>
      </w:pPr>
      <w:r>
        <w:rPr>
          <w:sz w:val="20"/>
        </w:rPr>
        <w:t>El presente real decreto-ley se aplicará a las actividades de puesta a disposición o explotación de redes que presten un servicio al público en el campo del transporte por ferrocarril, sistemas automáticos, tranvía, trolebús, autobús o</w:t>
      </w:r>
      <w:r>
        <w:rPr>
          <w:spacing w:val="-6"/>
          <w:sz w:val="20"/>
        </w:rPr>
        <w:t> </w:t>
      </w:r>
      <w:r>
        <w:rPr>
          <w:sz w:val="20"/>
        </w:rPr>
        <w:t>cable.</w:t>
      </w:r>
    </w:p>
    <w:p>
      <w:pPr>
        <w:pStyle w:val="ListParagraph"/>
        <w:numPr>
          <w:ilvl w:val="0"/>
          <w:numId w:val="29"/>
        </w:numPr>
        <w:tabs>
          <w:tab w:pos="1643" w:val="left" w:leader="none"/>
        </w:tabs>
        <w:spacing w:line="249" w:lineRule="auto" w:before="3" w:after="0"/>
        <w:ind w:left="1074" w:right="1273" w:firstLine="340"/>
        <w:jc w:val="both"/>
        <w:rPr>
          <w:sz w:val="20"/>
        </w:rPr>
      </w:pPr>
      <w:r>
        <w:rPr>
          <w:sz w:val="20"/>
        </w:rPr>
        <w:t>Se considerará que existe una red en los servicios de transporte cuando el servicio se preste con arreglo a las condiciones operativas establecidas por la autoridad competente. Estas condiciones harán referencia a los itinerarios, a la capacidad de transporte disponible, a la frecuencia y puntualidad del servicio, a sus infraestructuras, sus vehículos y combustibles, y a la incorporación en el transporte de los sistemas inteligentes de transportes (ITS), entre</w:t>
      </w:r>
      <w:r>
        <w:rPr>
          <w:spacing w:val="-2"/>
          <w:sz w:val="20"/>
        </w:rPr>
        <w:t> </w:t>
      </w:r>
      <w:r>
        <w:rPr>
          <w:sz w:val="20"/>
        </w:rPr>
        <w:t>otros.</w:t>
      </w:r>
    </w:p>
    <w:p>
      <w:pPr>
        <w:pStyle w:val="BodyText"/>
        <w:spacing w:before="7"/>
        <w:ind w:left="0" w:firstLine="0"/>
        <w:jc w:val="left"/>
      </w:pPr>
    </w:p>
    <w:p>
      <w:pPr>
        <w:spacing w:before="0"/>
        <w:ind w:left="1074" w:right="0" w:firstLine="0"/>
        <w:jc w:val="both"/>
        <w:rPr>
          <w:i/>
          <w:sz w:val="20"/>
        </w:rPr>
      </w:pPr>
      <w:bookmarkStart w:name="Artículo 12. Puertos y aeropuertos." w:id="27"/>
      <w:bookmarkEnd w:id="27"/>
      <w:r>
        <w:rPr/>
      </w:r>
      <w:r>
        <w:rPr>
          <w:b/>
          <w:sz w:val="20"/>
        </w:rPr>
        <w:t>Artículo 12. </w:t>
      </w:r>
      <w:r>
        <w:rPr>
          <w:i/>
          <w:sz w:val="20"/>
        </w:rPr>
        <w:t>Puertos y aeropuertos.</w:t>
      </w:r>
    </w:p>
    <w:p>
      <w:pPr>
        <w:pStyle w:val="BodyText"/>
        <w:spacing w:line="249" w:lineRule="auto" w:before="118"/>
        <w:ind w:right="1270"/>
      </w:pPr>
      <w:r>
        <w:rPr/>
        <w:t>El presente real decreto-ley se aplicará a las actividades de explotación de una zona geográfica determinada con el fin de poner aeropuertos, puertos marítimos o interiores, u otras terminales de transporte a disposición de los transportistas aéreos, marítimos o fluviales.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3. Servicios postales." w:id="28"/>
      <w:bookmarkEnd w:id="28"/>
      <w:r>
        <w:rPr/>
      </w:r>
      <w:r>
        <w:rPr>
          <w:b/>
          <w:sz w:val="20"/>
        </w:rPr>
        <w:t>Artículo 13. </w:t>
      </w:r>
      <w:r>
        <w:rPr>
          <w:i/>
          <w:sz w:val="20"/>
        </w:rPr>
        <w:t>Servicios postales.</w:t>
      </w:r>
    </w:p>
    <w:p>
      <w:pPr>
        <w:pStyle w:val="ListParagraph"/>
        <w:numPr>
          <w:ilvl w:val="0"/>
          <w:numId w:val="30"/>
        </w:numPr>
        <w:tabs>
          <w:tab w:pos="1715" w:val="left" w:leader="none"/>
        </w:tabs>
        <w:spacing w:line="249" w:lineRule="auto" w:before="118" w:after="0"/>
        <w:ind w:left="1074" w:right="1274" w:firstLine="340"/>
        <w:jc w:val="both"/>
        <w:rPr>
          <w:sz w:val="20"/>
        </w:rPr>
      </w:pPr>
      <w:r>
        <w:rPr>
          <w:sz w:val="20"/>
        </w:rPr>
        <w:t>El presente real decreto-ley se aplicará a las actividades relacionadas con la prestación de los siguientes</w:t>
      </w:r>
      <w:r>
        <w:rPr>
          <w:spacing w:val="-4"/>
          <w:sz w:val="20"/>
        </w:rPr>
        <w:t> </w:t>
      </w:r>
      <w:r>
        <w:rPr>
          <w:sz w:val="20"/>
        </w:rPr>
        <w:t>servicios:</w:t>
      </w:r>
    </w:p>
    <w:p>
      <w:pPr>
        <w:pStyle w:val="ListParagraph"/>
        <w:numPr>
          <w:ilvl w:val="0"/>
          <w:numId w:val="31"/>
        </w:numPr>
        <w:tabs>
          <w:tab w:pos="1648" w:val="left" w:leader="none"/>
        </w:tabs>
        <w:spacing w:line="240" w:lineRule="auto" w:before="121" w:after="0"/>
        <w:ind w:left="1647" w:right="0" w:hanging="234"/>
        <w:jc w:val="both"/>
        <w:rPr>
          <w:sz w:val="20"/>
        </w:rPr>
      </w:pPr>
      <w:r>
        <w:rPr>
          <w:sz w:val="20"/>
        </w:rPr>
        <w:t>Servicios postales en el sentido definido en el artículo 2.</w:t>
      </w:r>
      <w:r>
        <w:rPr>
          <w:spacing w:val="-12"/>
          <w:sz w:val="20"/>
        </w:rPr>
        <w:t> </w:t>
      </w:r>
      <w:r>
        <w:rPr>
          <w:sz w:val="20"/>
        </w:rPr>
        <w:t>x).</w:t>
      </w:r>
    </w:p>
    <w:p>
      <w:pPr>
        <w:pStyle w:val="ListParagraph"/>
        <w:numPr>
          <w:ilvl w:val="0"/>
          <w:numId w:val="31"/>
        </w:numPr>
        <w:tabs>
          <w:tab w:pos="1652" w:val="left" w:leader="none"/>
        </w:tabs>
        <w:spacing w:line="249" w:lineRule="auto" w:before="10" w:after="0"/>
        <w:ind w:left="1074" w:right="1274" w:firstLine="340"/>
        <w:jc w:val="both"/>
        <w:rPr>
          <w:sz w:val="20"/>
        </w:rPr>
      </w:pPr>
      <w:r>
        <w:rPr>
          <w:sz w:val="20"/>
        </w:rPr>
        <w:t>Servicios distintos de los servicios postales, siempre y cuando estos últimos los preste una entidad que preste igualmente servicios postales, y no se trate de una actividad sometida directamente a la competencia en mercados cuyo acceso no esté limitado, en los términos indicados en el artículo</w:t>
      </w:r>
      <w:r>
        <w:rPr>
          <w:spacing w:val="-6"/>
          <w:sz w:val="20"/>
        </w:rPr>
        <w:t> </w:t>
      </w:r>
      <w:r>
        <w:rPr>
          <w:sz w:val="20"/>
        </w:rPr>
        <w:t>17.</w:t>
      </w:r>
    </w:p>
    <w:p>
      <w:pPr>
        <w:pStyle w:val="ListParagraph"/>
        <w:numPr>
          <w:ilvl w:val="0"/>
          <w:numId w:val="30"/>
        </w:numPr>
        <w:tabs>
          <w:tab w:pos="1651" w:val="left" w:leader="none"/>
        </w:tabs>
        <w:spacing w:line="249" w:lineRule="auto" w:before="124" w:after="0"/>
        <w:ind w:left="1074" w:right="1274" w:firstLine="340"/>
        <w:jc w:val="both"/>
        <w:rPr>
          <w:sz w:val="20"/>
        </w:rPr>
      </w:pPr>
      <w:r>
        <w:rPr>
          <w:sz w:val="20"/>
        </w:rPr>
        <w:t>A los efectos de este real decreto-ley tendrán la consideración de «servicios distintos de los servicios postales» los</w:t>
      </w:r>
      <w:r>
        <w:rPr>
          <w:spacing w:val="-5"/>
          <w:sz w:val="20"/>
        </w:rPr>
        <w:t> </w:t>
      </w:r>
      <w:r>
        <w:rPr>
          <w:sz w:val="20"/>
        </w:rPr>
        <w:t>siguientes:</w:t>
      </w:r>
    </w:p>
    <w:p>
      <w:pPr>
        <w:pStyle w:val="ListParagraph"/>
        <w:numPr>
          <w:ilvl w:val="0"/>
          <w:numId w:val="32"/>
        </w:numPr>
        <w:tabs>
          <w:tab w:pos="1672" w:val="left" w:leader="none"/>
        </w:tabs>
        <w:spacing w:line="249" w:lineRule="auto" w:before="121" w:after="0"/>
        <w:ind w:left="1074" w:right="1273" w:firstLine="340"/>
        <w:jc w:val="left"/>
        <w:rPr>
          <w:sz w:val="20"/>
        </w:rPr>
      </w:pPr>
      <w:r>
        <w:rPr>
          <w:sz w:val="20"/>
        </w:rPr>
        <w:t>Los servicios de gestión de servicios de correo. Tanto los servicios previos al envío como los posteriores a él, incluidos los servicios de gestión de salas de</w:t>
      </w:r>
      <w:r>
        <w:rPr>
          <w:spacing w:val="-22"/>
          <w:sz w:val="20"/>
        </w:rPr>
        <w:t> </w:t>
      </w:r>
      <w:r>
        <w:rPr>
          <w:sz w:val="20"/>
        </w:rPr>
        <w:t>correo.</w:t>
      </w:r>
    </w:p>
    <w:p>
      <w:pPr>
        <w:pStyle w:val="ListParagraph"/>
        <w:numPr>
          <w:ilvl w:val="0"/>
          <w:numId w:val="32"/>
        </w:numPr>
        <w:tabs>
          <w:tab w:pos="1656" w:val="left" w:leader="none"/>
        </w:tabs>
        <w:spacing w:line="249" w:lineRule="auto" w:before="2" w:after="0"/>
        <w:ind w:left="1074" w:right="1275" w:firstLine="340"/>
        <w:jc w:val="left"/>
        <w:rPr>
          <w:sz w:val="20"/>
        </w:rPr>
      </w:pPr>
      <w:r>
        <w:rPr>
          <w:sz w:val="20"/>
        </w:rPr>
        <w:t>Los servicios relativos a envíos postales no incluidos en la definición del artículo 2 w), como la publicidad directa sin indicación del</w:t>
      </w:r>
      <w:r>
        <w:rPr>
          <w:spacing w:val="-10"/>
          <w:sz w:val="20"/>
        </w:rPr>
        <w:t> </w:t>
      </w:r>
      <w:r>
        <w:rPr>
          <w:sz w:val="20"/>
        </w:rPr>
        <w:t>destinatario.</w:t>
      </w:r>
    </w:p>
    <w:p>
      <w:pPr>
        <w:pStyle w:val="ListParagraph"/>
        <w:numPr>
          <w:ilvl w:val="0"/>
          <w:numId w:val="32"/>
        </w:numPr>
        <w:tabs>
          <w:tab w:pos="1689" w:val="left" w:leader="none"/>
        </w:tabs>
        <w:spacing w:line="249" w:lineRule="auto" w:before="2" w:after="0"/>
        <w:ind w:left="1074" w:right="1273" w:firstLine="339"/>
        <w:jc w:val="left"/>
        <w:rPr>
          <w:sz w:val="20"/>
        </w:rPr>
      </w:pPr>
      <w:r>
        <w:rPr>
          <w:sz w:val="20"/>
        </w:rPr>
        <w:t>Los servicios financieros que incluyan en particular los giros y las transferencias postales, excepto aquellos que se excluyen en virtud del artículo 20.</w:t>
      </w:r>
      <w:r>
        <w:rPr>
          <w:spacing w:val="-20"/>
          <w:sz w:val="20"/>
        </w:rPr>
        <w:t> </w:t>
      </w:r>
      <w:r>
        <w:rPr>
          <w:sz w:val="20"/>
        </w:rPr>
        <w:t>d).</w:t>
      </w:r>
    </w:p>
    <w:p>
      <w:pPr>
        <w:pStyle w:val="ListParagraph"/>
        <w:numPr>
          <w:ilvl w:val="0"/>
          <w:numId w:val="32"/>
        </w:numPr>
        <w:tabs>
          <w:tab w:pos="1648" w:val="left" w:leader="none"/>
        </w:tabs>
        <w:spacing w:line="240" w:lineRule="auto" w:before="1" w:after="0"/>
        <w:ind w:left="1647" w:right="0" w:hanging="234"/>
        <w:jc w:val="left"/>
        <w:rPr>
          <w:sz w:val="20"/>
        </w:rPr>
      </w:pPr>
      <w:r>
        <w:rPr>
          <w:sz w:val="20"/>
        </w:rPr>
        <w:t>Los servicios</w:t>
      </w:r>
      <w:r>
        <w:rPr>
          <w:spacing w:val="-2"/>
          <w:sz w:val="20"/>
        </w:rPr>
        <w:t> </w:t>
      </w:r>
      <w:r>
        <w:rPr>
          <w:sz w:val="20"/>
        </w:rPr>
        <w:t>filatélicos.</w:t>
      </w:r>
    </w:p>
    <w:p>
      <w:pPr>
        <w:pStyle w:val="ListParagraph"/>
        <w:numPr>
          <w:ilvl w:val="0"/>
          <w:numId w:val="32"/>
        </w:numPr>
        <w:tabs>
          <w:tab w:pos="1671" w:val="left" w:leader="none"/>
        </w:tabs>
        <w:spacing w:line="249" w:lineRule="auto" w:before="10" w:after="0"/>
        <w:ind w:left="1074" w:right="1274" w:firstLine="340"/>
        <w:jc w:val="both"/>
        <w:rPr>
          <w:sz w:val="20"/>
        </w:rPr>
      </w:pPr>
      <w:r>
        <w:rPr>
          <w:sz w:val="20"/>
        </w:rPr>
        <w:t>Los servicios logísticos, entendiéndose por tales aquellos servicios que combinan la distribución física y la lista de correos con otras funciones no</w:t>
      </w:r>
      <w:r>
        <w:rPr>
          <w:spacing w:val="-13"/>
          <w:sz w:val="20"/>
        </w:rPr>
        <w:t> </w:t>
      </w:r>
      <w:r>
        <w:rPr>
          <w:sz w:val="20"/>
        </w:rPr>
        <w:t>postales.</w:t>
      </w:r>
    </w:p>
    <w:p>
      <w:pPr>
        <w:pStyle w:val="ListParagraph"/>
        <w:numPr>
          <w:ilvl w:val="0"/>
          <w:numId w:val="32"/>
        </w:numPr>
        <w:tabs>
          <w:tab w:pos="1683" w:val="left" w:leader="none"/>
        </w:tabs>
        <w:spacing w:line="249" w:lineRule="auto" w:before="2" w:after="0"/>
        <w:ind w:left="1074" w:right="1272" w:firstLine="340"/>
        <w:jc w:val="both"/>
        <w:rPr>
          <w:sz w:val="20"/>
        </w:rPr>
      </w:pPr>
      <w:r>
        <w:rPr>
          <w:sz w:val="20"/>
        </w:rPr>
        <w:t>Los servicios de valor añadido vinculados a medios electrónicos y prestados íntegramente por esa vía incluida la transmisión segura de documentos codificados por vía electrónica, los servicios de gestión de direcciones y la transmisión de correo</w:t>
      </w:r>
      <w:r>
        <w:rPr>
          <w:spacing w:val="-28"/>
          <w:sz w:val="20"/>
        </w:rPr>
        <w:t> </w:t>
      </w:r>
      <w:r>
        <w:rPr>
          <w:sz w:val="20"/>
        </w:rPr>
        <w:t>certificado.</w:t>
      </w:r>
    </w:p>
    <w:p>
      <w:pPr>
        <w:pStyle w:val="BodyText"/>
        <w:spacing w:before="5"/>
        <w:ind w:left="0" w:firstLine="0"/>
        <w:jc w:val="left"/>
      </w:pPr>
    </w:p>
    <w:p>
      <w:pPr>
        <w:spacing w:before="0"/>
        <w:ind w:left="1414" w:right="0" w:hanging="341"/>
        <w:jc w:val="left"/>
        <w:rPr>
          <w:i/>
          <w:sz w:val="20"/>
        </w:rPr>
      </w:pPr>
      <w:bookmarkStart w:name="Artículo 14. Prospección y extracción de" w:id="29"/>
      <w:bookmarkEnd w:id="29"/>
      <w:r>
        <w:rPr/>
      </w:r>
      <w:r>
        <w:rPr>
          <w:b/>
          <w:sz w:val="20"/>
        </w:rPr>
        <w:t>Artículo 14. </w:t>
      </w:r>
      <w:r>
        <w:rPr>
          <w:i/>
          <w:sz w:val="20"/>
        </w:rPr>
        <w:t>Prospección y extracción de petróleo, gas, carbón y otros combustibles sólidos.</w:t>
      </w:r>
    </w:p>
    <w:p>
      <w:pPr>
        <w:pStyle w:val="BodyText"/>
        <w:spacing w:line="249" w:lineRule="auto" w:before="118"/>
        <w:ind w:right="1276"/>
      </w:pPr>
      <w:r>
        <w:rPr/>
        <w:t>El presente real decreto-ley se aplicará a las actividades de explotación de una zona geográfica determinada con alguna de las siguientes finalidades:</w:t>
      </w:r>
    </w:p>
    <w:p>
      <w:pPr>
        <w:pStyle w:val="ListParagraph"/>
        <w:numPr>
          <w:ilvl w:val="0"/>
          <w:numId w:val="33"/>
        </w:numPr>
        <w:tabs>
          <w:tab w:pos="1648" w:val="left" w:leader="none"/>
        </w:tabs>
        <w:spacing w:line="240" w:lineRule="auto" w:before="121" w:after="0"/>
        <w:ind w:left="1647" w:right="0" w:hanging="234"/>
        <w:jc w:val="left"/>
        <w:rPr>
          <w:sz w:val="20"/>
        </w:rPr>
      </w:pPr>
      <w:r>
        <w:rPr>
          <w:sz w:val="20"/>
        </w:rPr>
        <w:t>La extracción de petróleo o</w:t>
      </w:r>
      <w:r>
        <w:rPr>
          <w:spacing w:val="-6"/>
          <w:sz w:val="20"/>
        </w:rPr>
        <w:t> </w:t>
      </w:r>
      <w:r>
        <w:rPr>
          <w:sz w:val="20"/>
        </w:rPr>
        <w:t>gas.</w:t>
      </w:r>
    </w:p>
    <w:p>
      <w:pPr>
        <w:pStyle w:val="ListParagraph"/>
        <w:numPr>
          <w:ilvl w:val="0"/>
          <w:numId w:val="33"/>
        </w:numPr>
        <w:tabs>
          <w:tab w:pos="1648" w:val="left" w:leader="none"/>
        </w:tabs>
        <w:spacing w:line="240" w:lineRule="auto" w:before="10" w:after="0"/>
        <w:ind w:left="1647" w:right="0" w:hanging="234"/>
        <w:jc w:val="left"/>
        <w:rPr>
          <w:sz w:val="20"/>
        </w:rPr>
      </w:pPr>
      <w:r>
        <w:rPr>
          <w:sz w:val="20"/>
        </w:rPr>
        <w:t>La prospección o extracción de carbón u otros combustibles</w:t>
      </w:r>
      <w:r>
        <w:rPr>
          <w:spacing w:val="-11"/>
          <w:sz w:val="20"/>
        </w:rPr>
        <w:t> </w:t>
      </w:r>
      <w:r>
        <w:rPr>
          <w:sz w:val="20"/>
        </w:rPr>
        <w:t>sólidos.</w:t>
      </w:r>
    </w:p>
    <w:p>
      <w:pPr>
        <w:pStyle w:val="BodyText"/>
        <w:spacing w:before="1"/>
        <w:ind w:left="0" w:firstLine="0"/>
        <w:jc w:val="left"/>
        <w:rPr>
          <w:sz w:val="21"/>
        </w:rPr>
      </w:pPr>
    </w:p>
    <w:p>
      <w:pPr>
        <w:spacing w:before="0"/>
        <w:ind w:left="1074" w:right="0" w:firstLine="0"/>
        <w:jc w:val="both"/>
        <w:rPr>
          <w:i/>
          <w:sz w:val="20"/>
        </w:rPr>
      </w:pPr>
      <w:bookmarkStart w:name="Artículo 15. Contratos mixtos." w:id="30"/>
      <w:bookmarkEnd w:id="30"/>
      <w:r>
        <w:rPr/>
      </w:r>
      <w:r>
        <w:rPr>
          <w:b/>
          <w:sz w:val="20"/>
        </w:rPr>
        <w:t>Artículo 15. </w:t>
      </w:r>
      <w:r>
        <w:rPr>
          <w:i/>
          <w:sz w:val="20"/>
        </w:rPr>
        <w:t>Contratos mixtos.</w:t>
      </w:r>
    </w:p>
    <w:p>
      <w:pPr>
        <w:pStyle w:val="ListParagraph"/>
        <w:numPr>
          <w:ilvl w:val="0"/>
          <w:numId w:val="34"/>
        </w:numPr>
        <w:tabs>
          <w:tab w:pos="1646" w:val="left" w:leader="none"/>
        </w:tabs>
        <w:spacing w:line="249" w:lineRule="auto" w:before="118" w:after="0"/>
        <w:ind w:left="1074" w:right="1271" w:firstLine="340"/>
        <w:jc w:val="both"/>
        <w:rPr>
          <w:sz w:val="20"/>
        </w:rPr>
      </w:pPr>
      <w:r>
        <w:rPr>
          <w:sz w:val="20"/>
        </w:rPr>
        <w:t>Se entenderá por contrato mixto aquel que contenga prestaciones correspondientes a otro u otros de distinta clase. Solo podrán fusionarse prestaciones correspondientes a diferentes contratos en un contrato mixto cuando esas prestaciones se encuentren directamente vinculadas entre sí y mantengan relaciones de complementariedad que exijan su consideración y tratamiento como una unidad funcional dirigida a la satisfacción de una determinada necesidad o a la consecución de un fin institucional propio de la entidad contratante.</w:t>
      </w:r>
    </w:p>
    <w:p>
      <w:pPr>
        <w:pStyle w:val="ListParagraph"/>
        <w:numPr>
          <w:ilvl w:val="0"/>
          <w:numId w:val="34"/>
        </w:numPr>
        <w:tabs>
          <w:tab w:pos="1679" w:val="left" w:leader="none"/>
        </w:tabs>
        <w:spacing w:line="249" w:lineRule="auto" w:before="6" w:after="0"/>
        <w:ind w:left="1074" w:right="1274" w:firstLine="340"/>
        <w:jc w:val="both"/>
        <w:rPr>
          <w:sz w:val="20"/>
        </w:rPr>
      </w:pPr>
      <w:r>
        <w:rPr>
          <w:sz w:val="20"/>
        </w:rPr>
        <w:t>Para la determinación de las normas que regirán la adjudicación de los contratos mixtos cuyo objeto contenga prestaciones de varios contratos regulados en este real decreto-ley, se estará a las siguientes</w:t>
      </w:r>
      <w:r>
        <w:rPr>
          <w:spacing w:val="-6"/>
          <w:sz w:val="20"/>
        </w:rPr>
        <w:t> </w:t>
      </w:r>
      <w:r>
        <w:rPr>
          <w:sz w:val="20"/>
        </w:rPr>
        <w:t>reglas:</w:t>
      </w:r>
    </w:p>
    <w:p>
      <w:pPr>
        <w:pStyle w:val="ListParagraph"/>
        <w:numPr>
          <w:ilvl w:val="0"/>
          <w:numId w:val="35"/>
        </w:numPr>
        <w:tabs>
          <w:tab w:pos="1652" w:val="left" w:leader="none"/>
        </w:tabs>
        <w:spacing w:line="249" w:lineRule="auto" w:before="122" w:after="0"/>
        <w:ind w:left="1074" w:right="1273" w:firstLine="340"/>
        <w:jc w:val="both"/>
        <w:rPr>
          <w:sz w:val="20"/>
        </w:rPr>
      </w:pPr>
      <w:r>
        <w:rPr>
          <w:sz w:val="20"/>
        </w:rPr>
        <w:t>Cuando un contrato mixto comprenda prestaciones propias de dos o más contratos de obras, suministros o servicios se atenderá al carácter de la prestación</w:t>
      </w:r>
      <w:r>
        <w:rPr>
          <w:spacing w:val="-18"/>
          <w:sz w:val="20"/>
        </w:rPr>
        <w:t> </w:t>
      </w:r>
      <w:r>
        <w:rPr>
          <w:sz w:val="20"/>
        </w:rPr>
        <w:t>principal.</w:t>
      </w:r>
    </w:p>
    <w:p>
      <w:pPr>
        <w:pStyle w:val="BodyText"/>
        <w:spacing w:line="249" w:lineRule="auto"/>
        <w:ind w:right="1273"/>
      </w:pPr>
      <w:r>
        <w:rPr/>
        <w:t>En el caso de los contratos mixtos que comprendan en parte servicios contemplados en el anexo I y en parte otros servicios, o cuando se trate de contratos mixtos que tengan por objeto servicios y suministros, el objeto principal se determinará teniendo en cuenta cuál es el mayor de los valores estimados de los respectivos servicios o</w:t>
      </w:r>
      <w:r>
        <w:rPr>
          <w:spacing w:val="-12"/>
        </w:rPr>
        <w:t> </w:t>
      </w:r>
      <w:r>
        <w:rPr/>
        <w:t>suministros.</w:t>
      </w:r>
    </w:p>
    <w:p>
      <w:pPr>
        <w:pStyle w:val="ListParagraph"/>
        <w:numPr>
          <w:ilvl w:val="0"/>
          <w:numId w:val="35"/>
        </w:numPr>
        <w:tabs>
          <w:tab w:pos="1744" w:val="left" w:leader="none"/>
        </w:tabs>
        <w:spacing w:line="249" w:lineRule="auto" w:before="3" w:after="0"/>
        <w:ind w:left="1074" w:right="1272" w:firstLine="340"/>
        <w:jc w:val="both"/>
        <w:rPr>
          <w:sz w:val="20"/>
        </w:rPr>
      </w:pPr>
      <w:r>
        <w:rPr>
          <w:sz w:val="20"/>
        </w:rPr>
        <w:t>Cuando el contrato mixto contenga prestaciones de los contratos de obras, suministros o servicios, por una parte, y contratos de concesiones de obra o concesiones de servicios, de otra, se actuará del siguiente</w:t>
      </w:r>
      <w:r>
        <w:rPr>
          <w:spacing w:val="-6"/>
          <w:sz w:val="20"/>
        </w:rPr>
        <w:t> </w:t>
      </w:r>
      <w:r>
        <w:rPr>
          <w:sz w:val="20"/>
        </w:rPr>
        <w:t>modo:</w:t>
      </w:r>
    </w:p>
    <w:p>
      <w:pPr>
        <w:pStyle w:val="ListParagraph"/>
        <w:numPr>
          <w:ilvl w:val="0"/>
          <w:numId w:val="36"/>
        </w:numPr>
        <w:tabs>
          <w:tab w:pos="1583" w:val="left" w:leader="none"/>
        </w:tabs>
        <w:spacing w:line="249" w:lineRule="auto" w:before="123" w:after="0"/>
        <w:ind w:left="1074" w:right="1273" w:firstLine="340"/>
        <w:jc w:val="both"/>
        <w:rPr>
          <w:sz w:val="20"/>
        </w:rPr>
      </w:pPr>
      <w:r>
        <w:rPr>
          <w:sz w:val="20"/>
        </w:rPr>
        <w:t>º Si las distintas prestaciones no son separables se atenderá al carácter de la prestación</w:t>
      </w:r>
      <w:r>
        <w:rPr>
          <w:spacing w:val="-2"/>
          <w:sz w:val="20"/>
        </w:rPr>
        <w:t> </w:t>
      </w:r>
      <w:r>
        <w:rPr>
          <w:sz w:val="20"/>
        </w:rPr>
        <w:t>principal.</w:t>
      </w:r>
    </w:p>
    <w:p>
      <w:pPr>
        <w:pStyle w:val="ListParagraph"/>
        <w:numPr>
          <w:ilvl w:val="0"/>
          <w:numId w:val="36"/>
        </w:numPr>
        <w:tabs>
          <w:tab w:pos="1583" w:val="left" w:leader="none"/>
        </w:tabs>
        <w:spacing w:line="249" w:lineRule="auto" w:before="1" w:after="0"/>
        <w:ind w:left="1074" w:right="1273" w:firstLine="340"/>
        <w:jc w:val="both"/>
        <w:rPr>
          <w:sz w:val="20"/>
        </w:rPr>
      </w:pPr>
      <w:r>
        <w:rPr>
          <w:sz w:val="20"/>
        </w:rPr>
        <w:t>º Si las distintas prestaciones son separables y se decide adjudicar un contrato único, se</w:t>
      </w:r>
      <w:r>
        <w:rPr>
          <w:spacing w:val="7"/>
          <w:sz w:val="20"/>
        </w:rPr>
        <w:t> </w:t>
      </w:r>
      <w:r>
        <w:rPr>
          <w:sz w:val="20"/>
        </w:rPr>
        <w:t>aplicarán</w:t>
      </w:r>
      <w:r>
        <w:rPr>
          <w:spacing w:val="7"/>
          <w:sz w:val="20"/>
        </w:rPr>
        <w:t> </w:t>
      </w:r>
      <w:r>
        <w:rPr>
          <w:sz w:val="20"/>
        </w:rPr>
        <w:t>las</w:t>
      </w:r>
      <w:r>
        <w:rPr>
          <w:spacing w:val="7"/>
          <w:sz w:val="20"/>
        </w:rPr>
        <w:t> </w:t>
      </w:r>
      <w:r>
        <w:rPr>
          <w:sz w:val="20"/>
        </w:rPr>
        <w:t>normas</w:t>
      </w:r>
      <w:r>
        <w:rPr>
          <w:spacing w:val="8"/>
          <w:sz w:val="20"/>
        </w:rPr>
        <w:t> </w:t>
      </w:r>
      <w:r>
        <w:rPr>
          <w:sz w:val="20"/>
        </w:rPr>
        <w:t>relativas</w:t>
      </w:r>
      <w:r>
        <w:rPr>
          <w:spacing w:val="7"/>
          <w:sz w:val="20"/>
        </w:rPr>
        <w:t> </w:t>
      </w:r>
      <w:r>
        <w:rPr>
          <w:sz w:val="20"/>
        </w:rPr>
        <w:t>a</w:t>
      </w:r>
      <w:r>
        <w:rPr>
          <w:spacing w:val="7"/>
          <w:sz w:val="20"/>
        </w:rPr>
        <w:t> </w:t>
      </w:r>
      <w:r>
        <w:rPr>
          <w:sz w:val="20"/>
        </w:rPr>
        <w:t>los</w:t>
      </w:r>
      <w:r>
        <w:rPr>
          <w:spacing w:val="7"/>
          <w:sz w:val="20"/>
        </w:rPr>
        <w:t> </w:t>
      </w:r>
      <w:r>
        <w:rPr>
          <w:sz w:val="20"/>
        </w:rPr>
        <w:t>contratos</w:t>
      </w:r>
      <w:r>
        <w:rPr>
          <w:spacing w:val="8"/>
          <w:sz w:val="20"/>
        </w:rPr>
        <w:t> </w:t>
      </w:r>
      <w:r>
        <w:rPr>
          <w:sz w:val="20"/>
        </w:rPr>
        <w:t>de</w:t>
      </w:r>
      <w:r>
        <w:rPr>
          <w:spacing w:val="7"/>
          <w:sz w:val="20"/>
        </w:rPr>
        <w:t> </w:t>
      </w:r>
      <w:r>
        <w:rPr>
          <w:sz w:val="20"/>
        </w:rPr>
        <w:t>obras,</w:t>
      </w:r>
      <w:r>
        <w:rPr>
          <w:spacing w:val="7"/>
          <w:sz w:val="20"/>
        </w:rPr>
        <w:t> </w:t>
      </w:r>
      <w:r>
        <w:rPr>
          <w:sz w:val="20"/>
        </w:rPr>
        <w:t>suministros</w:t>
      </w:r>
      <w:r>
        <w:rPr>
          <w:spacing w:val="8"/>
          <w:sz w:val="20"/>
        </w:rPr>
        <w:t> </w:t>
      </w:r>
      <w:r>
        <w:rPr>
          <w:sz w:val="20"/>
        </w:rPr>
        <w:t>o</w:t>
      </w:r>
      <w:r>
        <w:rPr>
          <w:spacing w:val="7"/>
          <w:sz w:val="20"/>
        </w:rPr>
        <w:t> </w:t>
      </w:r>
      <w:r>
        <w:rPr>
          <w:sz w:val="20"/>
        </w:rPr>
        <w:t>servicios</w:t>
      </w:r>
      <w:r>
        <w:rPr>
          <w:spacing w:val="7"/>
          <w:sz w:val="20"/>
        </w:rPr>
        <w:t> </w:t>
      </w:r>
      <w:r>
        <w:rPr>
          <w:sz w:val="20"/>
        </w:rPr>
        <w:t>cuando</w:t>
      </w:r>
      <w:r>
        <w:rPr>
          <w:spacing w:val="7"/>
          <w:sz w:val="20"/>
        </w:rPr>
        <w:t> </w:t>
      </w:r>
      <w:r>
        <w:rPr>
          <w:sz w:val="20"/>
        </w:rPr>
        <w:t>el</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valor estimado de las prestaciones correspondientes a estos contratos supere las cuantías establecidas en el artículo 1 del presente real decreto-ley. En otro caso, se aplicarán las normas relativas a los contratos de concesión de obras y servicios.</w:t>
      </w:r>
    </w:p>
    <w:p>
      <w:pPr>
        <w:pStyle w:val="ListParagraph"/>
        <w:numPr>
          <w:ilvl w:val="0"/>
          <w:numId w:val="36"/>
        </w:numPr>
        <w:tabs>
          <w:tab w:pos="1692" w:val="left" w:leader="none"/>
        </w:tabs>
        <w:spacing w:line="249" w:lineRule="auto" w:before="122" w:after="0"/>
        <w:ind w:left="1074" w:right="1273" w:firstLine="340"/>
        <w:jc w:val="both"/>
        <w:rPr>
          <w:sz w:val="20"/>
        </w:rPr>
      </w:pPr>
      <w:r>
        <w:rPr>
          <w:sz w:val="20"/>
        </w:rPr>
        <w:t>Cuando un contrato contenga prestaciones propias de un contrato sujeto a</w:t>
      </w:r>
      <w:r>
        <w:rPr>
          <w:spacing w:val="16"/>
          <w:sz w:val="20"/>
        </w:rPr>
        <w:t> </w:t>
      </w:r>
      <w:r>
        <w:rPr>
          <w:sz w:val="20"/>
        </w:rPr>
        <w:t>este decreto-ley y prestaciones de contratos que no lo estén, se aplicará el presente real decreto- ley, con la excepción de los contratos en los ámbitos de la defensa y de la seguridad a que se refiere el artículo</w:t>
      </w:r>
      <w:r>
        <w:rPr>
          <w:spacing w:val="-3"/>
          <w:sz w:val="20"/>
        </w:rPr>
        <w:t> </w:t>
      </w:r>
      <w:r>
        <w:rPr>
          <w:sz w:val="20"/>
        </w:rPr>
        <w:t>23.2.a).</w:t>
      </w:r>
    </w:p>
    <w:p>
      <w:pPr>
        <w:pStyle w:val="BodyText"/>
        <w:spacing w:before="6"/>
        <w:ind w:left="0" w:firstLine="0"/>
        <w:jc w:val="left"/>
      </w:pPr>
    </w:p>
    <w:p>
      <w:pPr>
        <w:spacing w:line="249" w:lineRule="auto" w:before="0"/>
        <w:ind w:left="1074" w:right="1273" w:firstLine="0"/>
        <w:jc w:val="both"/>
        <w:rPr>
          <w:i/>
          <w:sz w:val="20"/>
        </w:rPr>
      </w:pPr>
      <w:bookmarkStart w:name="Artículo 16. Régimen jurídico de los con" w:id="31"/>
      <w:bookmarkEnd w:id="31"/>
      <w:r>
        <w:rPr/>
      </w:r>
      <w:r>
        <w:rPr>
          <w:b/>
          <w:sz w:val="20"/>
        </w:rPr>
        <w:t>Artículo 16. </w:t>
      </w:r>
      <w:r>
        <w:rPr>
          <w:i/>
          <w:sz w:val="20"/>
        </w:rPr>
        <w:t>Régimen jurídico de los contratos destinados a la realización de varias </w:t>
      </w:r>
      <w:r>
        <w:rPr>
          <w:i/>
          <w:sz w:val="20"/>
        </w:rPr>
        <w:t>actividades.</w:t>
      </w:r>
    </w:p>
    <w:p>
      <w:pPr>
        <w:pStyle w:val="BodyText"/>
        <w:spacing w:line="249" w:lineRule="auto" w:before="109"/>
        <w:ind w:right="1275"/>
      </w:pPr>
      <w:r>
        <w:rPr/>
        <w:t>1. Para la determinación de las normas que regirán la adjudicación de un contrato destinado a la realización de varias actividades, cuando al menos una de ellas esté sujeta al presente real decreto-ley, se estará a las siguientes reglas:</w:t>
      </w:r>
    </w:p>
    <w:p>
      <w:pPr>
        <w:pStyle w:val="ListParagraph"/>
        <w:numPr>
          <w:ilvl w:val="0"/>
          <w:numId w:val="37"/>
        </w:numPr>
        <w:tabs>
          <w:tab w:pos="1656" w:val="left" w:leader="none"/>
        </w:tabs>
        <w:spacing w:line="249" w:lineRule="auto" w:before="123" w:after="0"/>
        <w:ind w:left="1074" w:right="1274" w:firstLine="340"/>
        <w:jc w:val="both"/>
        <w:rPr>
          <w:sz w:val="20"/>
        </w:rPr>
      </w:pPr>
      <w:r>
        <w:rPr>
          <w:sz w:val="20"/>
        </w:rPr>
        <w:t>Con carácter general el contrato estará sujeto a las normas aplicables a la actividad a la que esté destinado</w:t>
      </w:r>
      <w:r>
        <w:rPr>
          <w:spacing w:val="-6"/>
          <w:sz w:val="20"/>
        </w:rPr>
        <w:t> </w:t>
      </w:r>
      <w:r>
        <w:rPr>
          <w:sz w:val="20"/>
        </w:rPr>
        <w:t>principalmente.</w:t>
      </w:r>
    </w:p>
    <w:p>
      <w:pPr>
        <w:pStyle w:val="ListParagraph"/>
        <w:numPr>
          <w:ilvl w:val="0"/>
          <w:numId w:val="37"/>
        </w:numPr>
        <w:tabs>
          <w:tab w:pos="1694" w:val="left" w:leader="none"/>
        </w:tabs>
        <w:spacing w:line="249" w:lineRule="auto" w:before="1" w:after="0"/>
        <w:ind w:left="1074" w:right="1273" w:firstLine="340"/>
        <w:jc w:val="both"/>
        <w:rPr>
          <w:sz w:val="20"/>
        </w:rPr>
      </w:pPr>
      <w:r>
        <w:rPr>
          <w:sz w:val="20"/>
        </w:rPr>
        <w:t>En el caso de que resulte imposible objetivamente establecer a qué actividad se destina principalmente el contrato, las normas se determinarán de conformidad con lo establecido a</w:t>
      </w:r>
      <w:r>
        <w:rPr>
          <w:spacing w:val="-3"/>
          <w:sz w:val="20"/>
        </w:rPr>
        <w:t> </w:t>
      </w:r>
      <w:r>
        <w:rPr>
          <w:sz w:val="20"/>
        </w:rPr>
        <w:t>continuación:</w:t>
      </w:r>
    </w:p>
    <w:p>
      <w:pPr>
        <w:pStyle w:val="ListParagraph"/>
        <w:numPr>
          <w:ilvl w:val="0"/>
          <w:numId w:val="38"/>
        </w:numPr>
        <w:tabs>
          <w:tab w:pos="1583" w:val="left" w:leader="none"/>
        </w:tabs>
        <w:spacing w:line="249" w:lineRule="auto" w:before="123" w:after="0"/>
        <w:ind w:left="1074" w:right="1273" w:firstLine="340"/>
        <w:jc w:val="both"/>
        <w:rPr>
          <w:sz w:val="20"/>
        </w:rPr>
      </w:pPr>
      <w:r>
        <w:rPr>
          <w:sz w:val="20"/>
        </w:rPr>
        <w:t>º El contrato se adjudicará de conformidad con la Ley 9/2017, de 8 de noviembre, cuando al menos una de las actividades objeto del contrato esté sujeta al presente real decreto-ley y otra u otras estén sujetas a la Ley 9/2017, de 8 de</w:t>
      </w:r>
      <w:r>
        <w:rPr>
          <w:spacing w:val="-26"/>
          <w:sz w:val="20"/>
        </w:rPr>
        <w:t> </w:t>
      </w:r>
      <w:r>
        <w:rPr>
          <w:sz w:val="20"/>
        </w:rPr>
        <w:t>noviembre.</w:t>
      </w:r>
    </w:p>
    <w:p>
      <w:pPr>
        <w:pStyle w:val="ListParagraph"/>
        <w:numPr>
          <w:ilvl w:val="0"/>
          <w:numId w:val="38"/>
        </w:numPr>
        <w:tabs>
          <w:tab w:pos="1583" w:val="left" w:leader="none"/>
        </w:tabs>
        <w:spacing w:line="249" w:lineRule="auto" w:before="2" w:after="0"/>
        <w:ind w:left="1074" w:right="1275" w:firstLine="340"/>
        <w:jc w:val="both"/>
        <w:rPr>
          <w:sz w:val="20"/>
        </w:rPr>
      </w:pPr>
      <w:r>
        <w:rPr>
          <w:sz w:val="20"/>
        </w:rPr>
        <w:t>º En los demás casos el contrato se adjudicará de conformidad con el presente real decreto-ley.</w:t>
      </w:r>
    </w:p>
    <w:p>
      <w:pPr>
        <w:pStyle w:val="BodyText"/>
        <w:spacing w:line="249" w:lineRule="auto" w:before="122"/>
        <w:ind w:right="1275"/>
      </w:pPr>
      <w:r>
        <w:rPr/>
        <w:t>2. Cuando un contrato esté destinado a la realización de varias actividades, estando una de ellas sujeta a este real decreto-ley y otra u otras a la legislación en los ámbitos de la defensa y de la seguridad, se estará a lo dispuesto en el artículo 23.2.b).</w:t>
      </w:r>
    </w:p>
    <w:p>
      <w:pPr>
        <w:pStyle w:val="BodyText"/>
        <w:spacing w:before="5"/>
        <w:ind w:left="0" w:firstLine="0"/>
        <w:jc w:val="left"/>
      </w:pPr>
    </w:p>
    <w:p>
      <w:pPr>
        <w:pStyle w:val="Heading2"/>
        <w:ind w:left="2929"/>
        <w:rPr>
          <w:i/>
        </w:rPr>
      </w:pPr>
      <w:bookmarkStart w:name="Sección 2.ª Exclusiones" w:id="32"/>
      <w:bookmarkEnd w:id="32"/>
      <w:r>
        <w:rPr>
          <w:b w:val="0"/>
          <w:i w:val="0"/>
        </w:rPr>
      </w:r>
      <w:bookmarkStart w:name="_bookmark7" w:id="33"/>
      <w:bookmarkEnd w:id="33"/>
      <w:r>
        <w:rPr>
          <w:b w:val="0"/>
          <w:i w:val="0"/>
        </w:rPr>
      </w:r>
      <w:r>
        <w:rPr>
          <w:i/>
        </w:rPr>
        <w:t>Sección 2.ª Exclusiones</w:t>
      </w:r>
    </w:p>
    <w:p>
      <w:pPr>
        <w:pStyle w:val="BodyText"/>
        <w:spacing w:before="0"/>
        <w:ind w:left="0" w:firstLine="0"/>
        <w:jc w:val="left"/>
        <w:rPr>
          <w:b/>
          <w:i/>
          <w:sz w:val="22"/>
        </w:rPr>
      </w:pPr>
    </w:p>
    <w:p>
      <w:pPr>
        <w:pStyle w:val="BodyText"/>
        <w:spacing w:before="154"/>
        <w:ind w:left="1414" w:right="1613" w:firstLine="0"/>
        <w:jc w:val="center"/>
      </w:pPr>
      <w:bookmarkStart w:name="Subsección 1.ª Exclusión de actividades " w:id="34"/>
      <w:bookmarkEnd w:id="34"/>
      <w:r>
        <w:rPr/>
      </w:r>
      <w:bookmarkStart w:name="_bookmark8" w:id="35"/>
      <w:bookmarkEnd w:id="35"/>
      <w:r>
        <w:rPr/>
      </w:r>
      <w:r>
        <w:rPr/>
        <w:t>Subsección 1.ª Exclusión de actividades sometidas directamente a la competencia</w:t>
      </w:r>
    </w:p>
    <w:p>
      <w:pPr>
        <w:pStyle w:val="BodyText"/>
        <w:spacing w:before="5"/>
        <w:ind w:left="0" w:firstLine="0"/>
        <w:jc w:val="left"/>
        <w:rPr>
          <w:sz w:val="30"/>
        </w:rPr>
      </w:pPr>
    </w:p>
    <w:p>
      <w:pPr>
        <w:spacing w:before="0"/>
        <w:ind w:left="1074" w:right="0" w:firstLine="0"/>
        <w:jc w:val="both"/>
        <w:rPr>
          <w:i/>
          <w:sz w:val="20"/>
        </w:rPr>
      </w:pPr>
      <w:bookmarkStart w:name="Artículo 17. Exclusión de actividades so" w:id="36"/>
      <w:bookmarkEnd w:id="36"/>
      <w:r>
        <w:rPr/>
      </w:r>
      <w:r>
        <w:rPr>
          <w:b/>
          <w:sz w:val="20"/>
        </w:rPr>
        <w:t>Artículo 17. </w:t>
      </w:r>
      <w:r>
        <w:rPr>
          <w:i/>
          <w:sz w:val="20"/>
        </w:rPr>
        <w:t>Exclusión de actividades sometidas directamente a la competencia.</w:t>
      </w:r>
    </w:p>
    <w:p>
      <w:pPr>
        <w:pStyle w:val="ListParagraph"/>
        <w:numPr>
          <w:ilvl w:val="0"/>
          <w:numId w:val="39"/>
        </w:numPr>
        <w:tabs>
          <w:tab w:pos="1650" w:val="left" w:leader="none"/>
        </w:tabs>
        <w:spacing w:line="249" w:lineRule="auto" w:before="118" w:after="0"/>
        <w:ind w:left="1074" w:right="1273" w:firstLine="340"/>
        <w:jc w:val="both"/>
        <w:rPr>
          <w:sz w:val="20"/>
        </w:rPr>
      </w:pPr>
      <w:r>
        <w:rPr>
          <w:sz w:val="20"/>
        </w:rPr>
        <w:t>El presente real decreto-ley no se aplicará a los contratos destinados a hacer posible la prestación de una actividad contemplada en los artículos 8 a 14, siempre que tal actividad esté sometida directamente a la competencia en mercados cuyo acceso no esté limitado. Tampoco se aplicará a los concursos de proyectos que se organicen para el ejercicio de esa actividad.</w:t>
      </w:r>
    </w:p>
    <w:p>
      <w:pPr>
        <w:pStyle w:val="ListParagraph"/>
        <w:numPr>
          <w:ilvl w:val="0"/>
          <w:numId w:val="39"/>
        </w:numPr>
        <w:tabs>
          <w:tab w:pos="1643" w:val="left" w:leader="none"/>
        </w:tabs>
        <w:spacing w:line="249" w:lineRule="auto" w:before="4" w:after="0"/>
        <w:ind w:left="1074" w:right="1272" w:firstLine="340"/>
        <w:jc w:val="both"/>
        <w:rPr>
          <w:sz w:val="20"/>
        </w:rPr>
      </w:pPr>
      <w:r>
        <w:rPr>
          <w:sz w:val="20"/>
        </w:rPr>
        <w:t>A efectos del apartado 1, para determinar si una actividad está sometida directamente a la competencia, se utilizarán criterios que sean conformes a las disposiciones del Tratado de Funcionamiento de la Unión Europea en materia de competencia, y entre ellos las características de los bienes o servicios de que se trate, la existencia de bienes o servicios considerados sustituibles en el lado de la oferta o en el de la demanda, los precios y la presencia</w:t>
      </w:r>
      <w:r>
        <w:rPr>
          <w:spacing w:val="-3"/>
          <w:sz w:val="20"/>
        </w:rPr>
        <w:t> </w:t>
      </w:r>
      <w:r>
        <w:rPr>
          <w:sz w:val="20"/>
        </w:rPr>
        <w:t>real</w:t>
      </w:r>
      <w:r>
        <w:rPr>
          <w:spacing w:val="-2"/>
          <w:sz w:val="20"/>
        </w:rPr>
        <w:t> </w:t>
      </w:r>
      <w:r>
        <w:rPr>
          <w:sz w:val="20"/>
        </w:rPr>
        <w:t>o</w:t>
      </w:r>
      <w:r>
        <w:rPr>
          <w:spacing w:val="-3"/>
          <w:sz w:val="20"/>
        </w:rPr>
        <w:t> </w:t>
      </w:r>
      <w:r>
        <w:rPr>
          <w:sz w:val="20"/>
        </w:rPr>
        <w:t>potencial</w:t>
      </w:r>
      <w:r>
        <w:rPr>
          <w:spacing w:val="-3"/>
          <w:sz w:val="20"/>
        </w:rPr>
        <w:t> </w:t>
      </w:r>
      <w:r>
        <w:rPr>
          <w:sz w:val="20"/>
        </w:rPr>
        <w:t>de</w:t>
      </w:r>
      <w:r>
        <w:rPr>
          <w:spacing w:val="-3"/>
          <w:sz w:val="20"/>
        </w:rPr>
        <w:t> </w:t>
      </w:r>
      <w:r>
        <w:rPr>
          <w:sz w:val="20"/>
        </w:rPr>
        <w:t>más</w:t>
      </w:r>
      <w:r>
        <w:rPr>
          <w:spacing w:val="-2"/>
          <w:sz w:val="20"/>
        </w:rPr>
        <w:t> </w:t>
      </w:r>
      <w:r>
        <w:rPr>
          <w:sz w:val="20"/>
        </w:rPr>
        <w:t>de</w:t>
      </w:r>
      <w:r>
        <w:rPr>
          <w:spacing w:val="-3"/>
          <w:sz w:val="20"/>
        </w:rPr>
        <w:t> </w:t>
      </w:r>
      <w:r>
        <w:rPr>
          <w:sz w:val="20"/>
        </w:rPr>
        <w:t>un</w:t>
      </w:r>
      <w:r>
        <w:rPr>
          <w:spacing w:val="-3"/>
          <w:sz w:val="20"/>
        </w:rPr>
        <w:t> </w:t>
      </w:r>
      <w:r>
        <w:rPr>
          <w:sz w:val="20"/>
        </w:rPr>
        <w:t>proveedor</w:t>
      </w:r>
      <w:r>
        <w:rPr>
          <w:spacing w:val="-3"/>
          <w:sz w:val="20"/>
        </w:rPr>
        <w:t> </w:t>
      </w:r>
      <w:r>
        <w:rPr>
          <w:sz w:val="20"/>
        </w:rPr>
        <w:t>de</w:t>
      </w:r>
      <w:r>
        <w:rPr>
          <w:spacing w:val="-3"/>
          <w:sz w:val="20"/>
        </w:rPr>
        <w:t> </w:t>
      </w:r>
      <w:r>
        <w:rPr>
          <w:sz w:val="20"/>
        </w:rPr>
        <w:t>los</w:t>
      </w:r>
      <w:r>
        <w:rPr>
          <w:spacing w:val="-3"/>
          <w:sz w:val="20"/>
        </w:rPr>
        <w:t> </w:t>
      </w:r>
      <w:r>
        <w:rPr>
          <w:sz w:val="20"/>
        </w:rPr>
        <w:t>bienes</w:t>
      </w:r>
      <w:r>
        <w:rPr>
          <w:spacing w:val="-3"/>
          <w:sz w:val="20"/>
        </w:rPr>
        <w:t> </w:t>
      </w:r>
      <w:r>
        <w:rPr>
          <w:sz w:val="20"/>
        </w:rPr>
        <w:t>o</w:t>
      </w:r>
      <w:r>
        <w:rPr>
          <w:spacing w:val="-2"/>
          <w:sz w:val="20"/>
        </w:rPr>
        <w:t> </w:t>
      </w:r>
      <w:r>
        <w:rPr>
          <w:sz w:val="20"/>
        </w:rPr>
        <w:t>servicios</w:t>
      </w:r>
      <w:r>
        <w:rPr>
          <w:spacing w:val="-2"/>
          <w:sz w:val="20"/>
        </w:rPr>
        <w:t> </w:t>
      </w:r>
      <w:r>
        <w:rPr>
          <w:sz w:val="20"/>
        </w:rPr>
        <w:t>de</w:t>
      </w:r>
      <w:r>
        <w:rPr>
          <w:spacing w:val="-3"/>
          <w:sz w:val="20"/>
        </w:rPr>
        <w:t> </w:t>
      </w:r>
      <w:r>
        <w:rPr>
          <w:sz w:val="20"/>
        </w:rPr>
        <w:t>que</w:t>
      </w:r>
      <w:r>
        <w:rPr>
          <w:spacing w:val="-3"/>
          <w:sz w:val="20"/>
        </w:rPr>
        <w:t> </w:t>
      </w:r>
      <w:r>
        <w:rPr>
          <w:sz w:val="20"/>
        </w:rPr>
        <w:t>se</w:t>
      </w:r>
      <w:r>
        <w:rPr>
          <w:spacing w:val="-2"/>
          <w:sz w:val="20"/>
        </w:rPr>
        <w:t> </w:t>
      </w:r>
      <w:r>
        <w:rPr>
          <w:sz w:val="20"/>
        </w:rPr>
        <w:t>trate.</w:t>
      </w:r>
    </w:p>
    <w:p>
      <w:pPr>
        <w:pStyle w:val="BodyText"/>
        <w:spacing w:line="249" w:lineRule="auto" w:before="5"/>
        <w:ind w:right="1273"/>
      </w:pPr>
      <w:r>
        <w:rPr/>
        <w:t>La evaluación de la competencia a que se hace referencia en este artículo, se entenderá sin perjuicio de la aplicación del Derecho de la competencia; y se efectuará teniendo en cuenta el mercado para las actividades en cuestión y el mercado geográfico de referencia.</w:t>
      </w:r>
    </w:p>
    <w:p>
      <w:pPr>
        <w:pStyle w:val="BodyText"/>
        <w:spacing w:line="249" w:lineRule="auto"/>
        <w:ind w:right="1272"/>
      </w:pPr>
      <w:r>
        <w:rPr/>
        <w:t>A los efectos de este artículo «el mercado geográfico de referencia», en el cual se basará la evaluación de la exposición directa a la competencia, estará constituido por aquel territorio en el cual las empresas afectadas intervienen en la oferta y la demanda de bienes o servicios, las condiciones de competencia son suficientemente homogéneas y que se distinguen de los territorios vecinos en que las condiciones de competencia</w:t>
      </w:r>
      <w:r>
        <w:rPr>
          <w:spacing w:val="26"/>
        </w:rPr>
        <w:t> </w:t>
      </w:r>
      <w:r>
        <w:rPr/>
        <w:t>son notablemente diferentes. A estos efectos deberán tenerse en cuenta, entre otros: la naturaleza y las características de los productos y servicios de que se trate; la existencia de barreras</w:t>
      </w:r>
      <w:r>
        <w:rPr>
          <w:spacing w:val="15"/>
        </w:rPr>
        <w:t> </w:t>
      </w:r>
      <w:r>
        <w:rPr/>
        <w:t>de</w:t>
      </w:r>
      <w:r>
        <w:rPr>
          <w:spacing w:val="15"/>
        </w:rPr>
        <w:t> </w:t>
      </w:r>
      <w:r>
        <w:rPr/>
        <w:t>entrada;</w:t>
      </w:r>
      <w:r>
        <w:rPr>
          <w:spacing w:val="16"/>
        </w:rPr>
        <w:t> </w:t>
      </w:r>
      <w:r>
        <w:rPr/>
        <w:t>las</w:t>
      </w:r>
      <w:r>
        <w:rPr>
          <w:spacing w:val="15"/>
        </w:rPr>
        <w:t> </w:t>
      </w:r>
      <w:r>
        <w:rPr/>
        <w:t>preferencias</w:t>
      </w:r>
      <w:r>
        <w:rPr>
          <w:spacing w:val="15"/>
        </w:rPr>
        <w:t> </w:t>
      </w:r>
      <w:r>
        <w:rPr/>
        <w:t>de</w:t>
      </w:r>
      <w:r>
        <w:rPr>
          <w:spacing w:val="16"/>
        </w:rPr>
        <w:t> </w:t>
      </w:r>
      <w:r>
        <w:rPr/>
        <w:t>los</w:t>
      </w:r>
      <w:r>
        <w:rPr>
          <w:spacing w:val="15"/>
        </w:rPr>
        <w:t> </w:t>
      </w:r>
      <w:r>
        <w:rPr/>
        <w:t>consumidores;</w:t>
      </w:r>
      <w:r>
        <w:rPr>
          <w:spacing w:val="16"/>
        </w:rPr>
        <w:t> </w:t>
      </w:r>
      <w:r>
        <w:rPr/>
        <w:t>así</w:t>
      </w:r>
      <w:r>
        <w:rPr>
          <w:spacing w:val="15"/>
        </w:rPr>
        <w:t> </w:t>
      </w:r>
      <w:r>
        <w:rPr/>
        <w:t>como</w:t>
      </w:r>
      <w:r>
        <w:rPr>
          <w:spacing w:val="15"/>
        </w:rPr>
        <w:t> </w:t>
      </w:r>
      <w:r>
        <w:rPr/>
        <w:t>la</w:t>
      </w:r>
      <w:r>
        <w:rPr>
          <w:spacing w:val="16"/>
        </w:rPr>
        <w:t> </w:t>
      </w:r>
      <w:r>
        <w:rPr/>
        <w:t>existencia,</w:t>
      </w:r>
      <w:r>
        <w:rPr>
          <w:spacing w:val="15"/>
        </w:rPr>
        <w:t> </w:t>
      </w:r>
      <w:r>
        <w:rPr/>
        <w:t>entre</w:t>
      </w:r>
      <w:r>
        <w:rPr>
          <w:spacing w:val="15"/>
        </w:rPr>
        <w:t> </w:t>
      </w:r>
      <w:r>
        <w:rPr/>
        <w:t>el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0" w:hanging="1"/>
      </w:pPr>
      <w:r>
        <w:rPr/>
        <w:t>territorio considerado y los territorios vecinos, de diferencias significativas en las cuotas de mercado de las empresas o en los precios.</w:t>
      </w:r>
    </w:p>
    <w:p>
      <w:pPr>
        <w:pStyle w:val="ListParagraph"/>
        <w:numPr>
          <w:ilvl w:val="0"/>
          <w:numId w:val="39"/>
        </w:numPr>
        <w:tabs>
          <w:tab w:pos="1661" w:val="left" w:leader="none"/>
        </w:tabs>
        <w:spacing w:line="249" w:lineRule="auto" w:before="1" w:after="0"/>
        <w:ind w:left="1074" w:right="1274" w:firstLine="340"/>
        <w:jc w:val="both"/>
        <w:rPr>
          <w:sz w:val="20"/>
        </w:rPr>
      </w:pPr>
      <w:r>
        <w:rPr>
          <w:sz w:val="20"/>
        </w:rPr>
        <w:t>La exclusión de tal actividad se efectuará conforme a los requisitos y procedimiento establecidos en los artículos 34 y 35 de la Directiva 2014/25/UE del Parlamento Europeo y del Consejo, de 26 de febrero de 2014, sobre la coordinación de los procedimientos de adjudicación de contratos en los sectores del agua, de la energía, de los transportes y de los servicios</w:t>
      </w:r>
      <w:r>
        <w:rPr>
          <w:spacing w:val="-1"/>
          <w:sz w:val="20"/>
        </w:rPr>
        <w:t> </w:t>
      </w:r>
      <w:r>
        <w:rPr>
          <w:sz w:val="20"/>
        </w:rPr>
        <w:t>postales.</w:t>
      </w:r>
    </w:p>
    <w:p>
      <w:pPr>
        <w:pStyle w:val="BodyText"/>
        <w:spacing w:line="249" w:lineRule="auto" w:before="4"/>
        <w:ind w:right="1272"/>
      </w:pPr>
      <w:r>
        <w:rPr/>
        <w:t>A tal efecto, cuando se considere que es de aplicación a una determinada actividad la exclusión de aplicación a que hace referencia el apartado 1, el Ministro de Economía y Empresa, a iniciativa del Ministerio competente por razón de la actividad o, en su caso, de las Comunidades Autónomas o de las correspondientes Corporaciones Locales, deberá comunicarlo a la Comisión Europea, a quien informará de todas las circunstancias pertinentes y, en especial, de cualquier disposición legal, reglamentaria o administrativa o de cualquier acuerdo relativo a la conformidad con las condiciones mencionadas en el apartado 2, en su caso, junto con el criterio que sobre la efectiva liberalización de la actividad y la procedencia de exclusión de aplicación de este real decreto-ley se exprese por la Comisión Nacional de los Mercados y la Competencia, por las autoridades de competencia de ámbito autonómico o por alguna otra autoridad nacional independiente que sea competente en la actividad de que se</w:t>
      </w:r>
      <w:r>
        <w:rPr>
          <w:spacing w:val="-4"/>
        </w:rPr>
        <w:t> </w:t>
      </w:r>
      <w:r>
        <w:rPr/>
        <w:t>trate.</w:t>
      </w:r>
    </w:p>
    <w:p>
      <w:pPr>
        <w:pStyle w:val="BodyText"/>
        <w:spacing w:line="249" w:lineRule="auto" w:before="10"/>
        <w:ind w:right="1271"/>
      </w:pPr>
      <w:r>
        <w:rPr/>
        <w:t>Cuando una de las entidades contratantes a que se aplica este real decreto-ley considere que se dan los requisitos establecidos en los apartados 1 y 2, podrán recabar del Ministerio o del órgano competente de la Comunidad Autónoma correspondiente que se solicite la tramitación del procedimiento a que se refiere el párrafo anterior. Si transcurrieran dos meses sin que se hubiera dado trámite a la citada petición, la entidad contratante podrá solicitar a la Comisión Europea que establezca la aplicabilidad del apartado 1 a una determinada actividad mediante un acto de ejecución de conformidad con el apartado 3 del artículo 35 de la Directiva 2014/25/UE del Parlamento Europeo y del Consejo, de 26 de febrero de</w:t>
      </w:r>
      <w:r>
        <w:rPr>
          <w:spacing w:val="-2"/>
        </w:rPr>
        <w:t> </w:t>
      </w:r>
      <w:r>
        <w:rPr/>
        <w:t>2014.</w:t>
      </w:r>
    </w:p>
    <w:p>
      <w:pPr>
        <w:pStyle w:val="BodyText"/>
        <w:spacing w:before="9"/>
        <w:ind w:left="0" w:firstLine="0"/>
        <w:jc w:val="left"/>
        <w:rPr>
          <w:sz w:val="25"/>
        </w:rPr>
      </w:pPr>
    </w:p>
    <w:p>
      <w:pPr>
        <w:pStyle w:val="BodyText"/>
        <w:spacing w:before="0"/>
        <w:ind w:left="2929" w:right="3127" w:firstLine="0"/>
        <w:jc w:val="center"/>
      </w:pPr>
      <w:bookmarkStart w:name="Subsección 2.ª Contratos excluidos" w:id="37"/>
      <w:bookmarkEnd w:id="37"/>
      <w:r>
        <w:rPr/>
      </w:r>
      <w:bookmarkStart w:name="_bookmark9" w:id="38"/>
      <w:bookmarkEnd w:id="38"/>
      <w:r>
        <w:rPr/>
      </w:r>
      <w:r>
        <w:rPr/>
        <w:t>Subsección 2.ª Contratos excluidos</w:t>
      </w:r>
    </w:p>
    <w:p>
      <w:pPr>
        <w:pStyle w:val="BodyText"/>
        <w:spacing w:before="5"/>
        <w:ind w:left="0" w:firstLine="0"/>
        <w:jc w:val="left"/>
        <w:rPr>
          <w:sz w:val="30"/>
        </w:rPr>
      </w:pPr>
    </w:p>
    <w:p>
      <w:pPr>
        <w:spacing w:before="1"/>
        <w:ind w:left="1074" w:right="0" w:firstLine="0"/>
        <w:jc w:val="both"/>
        <w:rPr>
          <w:i/>
          <w:sz w:val="20"/>
        </w:rPr>
      </w:pPr>
      <w:bookmarkStart w:name="Artículo 18. Contratos excluidos por raz" w:id="39"/>
      <w:bookmarkEnd w:id="39"/>
      <w:r>
        <w:rPr/>
      </w:r>
      <w:r>
        <w:rPr>
          <w:b/>
          <w:sz w:val="20"/>
        </w:rPr>
        <w:t>Artículo 18. </w:t>
      </w:r>
      <w:r>
        <w:rPr>
          <w:i/>
          <w:sz w:val="20"/>
        </w:rPr>
        <w:t>Contratos excluidos por razón de su finalidad.</w:t>
      </w:r>
    </w:p>
    <w:p>
      <w:pPr>
        <w:pStyle w:val="ListParagraph"/>
        <w:numPr>
          <w:ilvl w:val="0"/>
          <w:numId w:val="40"/>
        </w:numPr>
        <w:tabs>
          <w:tab w:pos="1638" w:val="left" w:leader="none"/>
        </w:tabs>
        <w:spacing w:line="249" w:lineRule="auto" w:before="117" w:after="0"/>
        <w:ind w:left="1074" w:right="1272" w:firstLine="340"/>
        <w:jc w:val="both"/>
        <w:rPr>
          <w:sz w:val="20"/>
        </w:rPr>
      </w:pPr>
      <w:r>
        <w:rPr>
          <w:sz w:val="20"/>
        </w:rPr>
        <w:t>El presente real decreto-ley no se aplica a los contratos que las entidades contratantes adjudiquen para fines distintos de la realización de las actividades mencionadas en los artículos 8 a 14, ni para la realización de dichas actividades en un país tercero, en circunstancias que no supongan la explotación física de una red o de un área geográfica dentro de la Unión Europea, ni a concursos de proyectos organizados para tales</w:t>
      </w:r>
      <w:r>
        <w:rPr>
          <w:spacing w:val="-28"/>
          <w:sz w:val="20"/>
        </w:rPr>
        <w:t> </w:t>
      </w:r>
      <w:r>
        <w:rPr>
          <w:sz w:val="20"/>
        </w:rPr>
        <w:t>fines.</w:t>
      </w:r>
    </w:p>
    <w:p>
      <w:pPr>
        <w:pStyle w:val="ListParagraph"/>
        <w:numPr>
          <w:ilvl w:val="0"/>
          <w:numId w:val="40"/>
        </w:numPr>
        <w:tabs>
          <w:tab w:pos="1662" w:val="left" w:leader="none"/>
        </w:tabs>
        <w:spacing w:line="249" w:lineRule="auto" w:before="4" w:after="0"/>
        <w:ind w:left="1074" w:right="1273" w:firstLine="340"/>
        <w:jc w:val="both"/>
        <w:rPr>
          <w:sz w:val="20"/>
        </w:rPr>
      </w:pPr>
      <w:r>
        <w:rPr>
          <w:sz w:val="20"/>
        </w:rPr>
        <w:t>Las entidades contratantes comunicarán a la Comisión Europea, a petición de esta, todas las categorías de productos y actividades que consideren excluidas en virtud del apartado</w:t>
      </w:r>
      <w:r>
        <w:rPr>
          <w:spacing w:val="-2"/>
          <w:sz w:val="20"/>
        </w:rPr>
        <w:t> </w:t>
      </w:r>
      <w:r>
        <w:rPr>
          <w:sz w:val="20"/>
        </w:rPr>
        <w:t>1.</w:t>
      </w:r>
    </w:p>
    <w:p>
      <w:pPr>
        <w:pStyle w:val="ListParagraph"/>
        <w:numPr>
          <w:ilvl w:val="0"/>
          <w:numId w:val="40"/>
        </w:numPr>
        <w:tabs>
          <w:tab w:pos="1655" w:val="left" w:leader="none"/>
        </w:tabs>
        <w:spacing w:line="249" w:lineRule="auto" w:before="3" w:after="0"/>
        <w:ind w:left="1074" w:right="1273" w:firstLine="340"/>
        <w:jc w:val="both"/>
        <w:rPr>
          <w:sz w:val="20"/>
        </w:rPr>
      </w:pPr>
      <w:r>
        <w:rPr>
          <w:sz w:val="20"/>
        </w:rPr>
        <w:t>Quedan fuera, asimismo, del ámbito de aplicación los contratos que se adjudiquen a efectos de reventa o arrendamiento financiero a terceros, siempre y cuando la entidad contratante no goce de derechos especiales o exclusivos de venta o arrendamiento del objeto de dichos contratos y existan otras entidades que puedan venderlos o arrendarlos libremente en las mismas condiciones que la entidad contratante. Las entidades contratantes comunicarán a la Comisión Europea, a petición de esta, todas las categorías de productos y actividades que consideren excluidas en virtud de este</w:t>
      </w:r>
      <w:r>
        <w:rPr>
          <w:spacing w:val="-11"/>
          <w:sz w:val="20"/>
        </w:rPr>
        <w:t> </w:t>
      </w:r>
      <w:r>
        <w:rPr>
          <w:sz w:val="20"/>
        </w:rPr>
        <w:t>apartado.</w:t>
      </w:r>
    </w:p>
    <w:p>
      <w:pPr>
        <w:pStyle w:val="BodyText"/>
        <w:spacing w:before="8"/>
        <w:ind w:left="0" w:firstLine="0"/>
        <w:jc w:val="left"/>
      </w:pPr>
    </w:p>
    <w:p>
      <w:pPr>
        <w:spacing w:before="0"/>
        <w:ind w:left="1074" w:right="0" w:firstLine="0"/>
        <w:jc w:val="both"/>
        <w:rPr>
          <w:i/>
          <w:sz w:val="20"/>
        </w:rPr>
      </w:pPr>
      <w:bookmarkStart w:name="Artículo 19. Exclusiones en los ámbitos " w:id="40"/>
      <w:bookmarkEnd w:id="40"/>
      <w:r>
        <w:rPr/>
      </w:r>
      <w:r>
        <w:rPr>
          <w:b/>
          <w:sz w:val="20"/>
        </w:rPr>
        <w:t>Artículo 19. </w:t>
      </w:r>
      <w:r>
        <w:rPr>
          <w:i/>
          <w:sz w:val="20"/>
        </w:rPr>
        <w:t>Exclusiones en los ámbitos del agua y la energía.</w:t>
      </w:r>
    </w:p>
    <w:p>
      <w:pPr>
        <w:pStyle w:val="BodyText"/>
        <w:spacing w:before="118"/>
        <w:ind w:left="1414" w:firstLine="0"/>
        <w:jc w:val="left"/>
      </w:pPr>
      <w:r>
        <w:rPr/>
        <w:t>El presente real decreto-ley no se aplica a los siguientes contratos:</w:t>
      </w:r>
    </w:p>
    <w:p>
      <w:pPr>
        <w:pStyle w:val="ListParagraph"/>
        <w:numPr>
          <w:ilvl w:val="0"/>
          <w:numId w:val="41"/>
        </w:numPr>
        <w:tabs>
          <w:tab w:pos="1671" w:val="left" w:leader="none"/>
        </w:tabs>
        <w:spacing w:line="249" w:lineRule="auto" w:before="130" w:after="0"/>
        <w:ind w:left="1074" w:right="1274" w:firstLine="339"/>
        <w:jc w:val="both"/>
        <w:rPr>
          <w:sz w:val="20"/>
        </w:rPr>
      </w:pPr>
      <w:r>
        <w:rPr>
          <w:sz w:val="20"/>
        </w:rPr>
        <w:t>Los contratos para la compra de agua siempre que sean adjudicados por entidades contratantes que ejerzan alguna de las actividades relacionadas con el agua potable contempladas en el artículo</w:t>
      </w:r>
      <w:r>
        <w:rPr>
          <w:spacing w:val="-4"/>
          <w:sz w:val="20"/>
        </w:rPr>
        <w:t> </w:t>
      </w:r>
      <w:r>
        <w:rPr>
          <w:sz w:val="20"/>
        </w:rPr>
        <w:t>8.1.</w:t>
      </w:r>
    </w:p>
    <w:p>
      <w:pPr>
        <w:pStyle w:val="ListParagraph"/>
        <w:numPr>
          <w:ilvl w:val="0"/>
          <w:numId w:val="41"/>
        </w:numPr>
        <w:tabs>
          <w:tab w:pos="1672" w:val="left" w:leader="none"/>
        </w:tabs>
        <w:spacing w:line="249" w:lineRule="auto" w:before="2" w:after="0"/>
        <w:ind w:left="1074" w:right="1274" w:firstLine="340"/>
        <w:jc w:val="both"/>
        <w:rPr>
          <w:sz w:val="20"/>
        </w:rPr>
      </w:pPr>
      <w:r>
        <w:rPr>
          <w:sz w:val="20"/>
        </w:rPr>
        <w:t>Los contratos adjudicados por entidades contratantes que operen en el sector de la energía</w:t>
      </w:r>
      <w:r>
        <w:rPr>
          <w:spacing w:val="23"/>
          <w:sz w:val="20"/>
        </w:rPr>
        <w:t> </w:t>
      </w:r>
      <w:r>
        <w:rPr>
          <w:sz w:val="20"/>
        </w:rPr>
        <w:t>ejerciendo</w:t>
      </w:r>
      <w:r>
        <w:rPr>
          <w:spacing w:val="24"/>
          <w:sz w:val="20"/>
        </w:rPr>
        <w:t> </w:t>
      </w:r>
      <w:r>
        <w:rPr>
          <w:sz w:val="20"/>
        </w:rPr>
        <w:t>una</w:t>
      </w:r>
      <w:r>
        <w:rPr>
          <w:spacing w:val="24"/>
          <w:sz w:val="20"/>
        </w:rPr>
        <w:t> </w:t>
      </w:r>
      <w:r>
        <w:rPr>
          <w:sz w:val="20"/>
        </w:rPr>
        <w:t>actividad</w:t>
      </w:r>
      <w:r>
        <w:rPr>
          <w:spacing w:val="24"/>
          <w:sz w:val="20"/>
        </w:rPr>
        <w:t> </w:t>
      </w:r>
      <w:r>
        <w:rPr>
          <w:sz w:val="20"/>
        </w:rPr>
        <w:t>contemplada</w:t>
      </w:r>
      <w:r>
        <w:rPr>
          <w:spacing w:val="24"/>
          <w:sz w:val="20"/>
        </w:rPr>
        <w:t> </w:t>
      </w:r>
      <w:r>
        <w:rPr>
          <w:sz w:val="20"/>
        </w:rPr>
        <w:t>en</w:t>
      </w:r>
      <w:r>
        <w:rPr>
          <w:spacing w:val="24"/>
          <w:sz w:val="20"/>
        </w:rPr>
        <w:t> </w:t>
      </w:r>
      <w:r>
        <w:rPr>
          <w:sz w:val="20"/>
        </w:rPr>
        <w:t>el</w:t>
      </w:r>
      <w:r>
        <w:rPr>
          <w:spacing w:val="24"/>
          <w:sz w:val="20"/>
        </w:rPr>
        <w:t> </w:t>
      </w:r>
      <w:r>
        <w:rPr>
          <w:sz w:val="20"/>
        </w:rPr>
        <w:t>artículo</w:t>
      </w:r>
      <w:r>
        <w:rPr>
          <w:spacing w:val="24"/>
          <w:sz w:val="20"/>
        </w:rPr>
        <w:t> </w:t>
      </w:r>
      <w:r>
        <w:rPr>
          <w:sz w:val="20"/>
        </w:rPr>
        <w:t>9.1,</w:t>
      </w:r>
      <w:r>
        <w:rPr>
          <w:spacing w:val="24"/>
          <w:sz w:val="20"/>
        </w:rPr>
        <w:t> </w:t>
      </w:r>
      <w:r>
        <w:rPr>
          <w:sz w:val="20"/>
        </w:rPr>
        <w:t>10.1,</w:t>
      </w:r>
      <w:r>
        <w:rPr>
          <w:spacing w:val="24"/>
          <w:sz w:val="20"/>
        </w:rPr>
        <w:t> </w:t>
      </w:r>
      <w:r>
        <w:rPr>
          <w:sz w:val="20"/>
        </w:rPr>
        <w:t>o</w:t>
      </w:r>
      <w:r>
        <w:rPr>
          <w:spacing w:val="24"/>
          <w:sz w:val="20"/>
        </w:rPr>
        <w:t> </w:t>
      </w:r>
      <w:r>
        <w:rPr>
          <w:sz w:val="20"/>
        </w:rPr>
        <w:t>el</w:t>
      </w:r>
      <w:r>
        <w:rPr>
          <w:spacing w:val="24"/>
          <w:sz w:val="20"/>
        </w:rPr>
        <w:t> </w:t>
      </w:r>
      <w:r>
        <w:rPr>
          <w:sz w:val="20"/>
        </w:rPr>
        <w:t>artículo</w:t>
      </w:r>
      <w:r>
        <w:rPr>
          <w:spacing w:val="24"/>
          <w:sz w:val="20"/>
        </w:rPr>
        <w:t> </w:t>
      </w:r>
      <w:r>
        <w:rPr>
          <w:sz w:val="20"/>
        </w:rPr>
        <w:t>14,</w:t>
      </w:r>
      <w:r>
        <w:rPr>
          <w:spacing w:val="24"/>
          <w:sz w:val="20"/>
        </w:rPr>
        <w:t> </w:t>
      </w:r>
      <w:r>
        <w:rPr>
          <w:sz w:val="20"/>
        </w:rPr>
        <w:t>en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8" w:firstLine="0"/>
        <w:jc w:val="left"/>
      </w:pPr>
      <w:r>
        <w:rPr/>
        <w:t>relación con el suministro de energía o de combustibles destinados a la generación de energía.</w:t>
      </w:r>
    </w:p>
    <w:p>
      <w:pPr>
        <w:pStyle w:val="BodyText"/>
        <w:spacing w:before="4"/>
        <w:ind w:left="0" w:firstLine="0"/>
        <w:jc w:val="left"/>
      </w:pPr>
    </w:p>
    <w:p>
      <w:pPr>
        <w:spacing w:line="249" w:lineRule="auto" w:before="0"/>
        <w:ind w:left="1074" w:right="1278" w:hanging="1"/>
        <w:jc w:val="left"/>
        <w:rPr>
          <w:i/>
          <w:sz w:val="20"/>
        </w:rPr>
      </w:pPr>
      <w:bookmarkStart w:name="Artículo 20. Exclusiones específicas rel" w:id="41"/>
      <w:bookmarkEnd w:id="41"/>
      <w:r>
        <w:rPr/>
      </w:r>
      <w:r>
        <w:rPr>
          <w:b/>
          <w:sz w:val="20"/>
        </w:rPr>
        <w:t>Artículo 20. </w:t>
      </w:r>
      <w:r>
        <w:rPr>
          <w:i/>
          <w:sz w:val="20"/>
        </w:rPr>
        <w:t>Exclusiones específicas relativas a los contratos de servicios y de concesión de </w:t>
      </w:r>
      <w:r>
        <w:rPr>
          <w:i/>
          <w:sz w:val="20"/>
        </w:rPr>
        <w:t>servicios.</w:t>
      </w:r>
    </w:p>
    <w:p>
      <w:pPr>
        <w:pStyle w:val="BodyText"/>
        <w:spacing w:before="109"/>
        <w:ind w:left="1414" w:firstLine="0"/>
        <w:jc w:val="left"/>
      </w:pPr>
      <w:r>
        <w:rPr/>
        <w:t>El presente real decreto-ley no se aplicará a aquellos contratos que tengan por objeto:</w:t>
      </w:r>
    </w:p>
    <w:p>
      <w:pPr>
        <w:pStyle w:val="ListParagraph"/>
        <w:numPr>
          <w:ilvl w:val="0"/>
          <w:numId w:val="42"/>
        </w:numPr>
        <w:tabs>
          <w:tab w:pos="1675" w:val="left" w:leader="none"/>
        </w:tabs>
        <w:spacing w:line="249" w:lineRule="auto" w:before="130" w:after="0"/>
        <w:ind w:left="1074" w:right="1273" w:firstLine="340"/>
        <w:jc w:val="both"/>
        <w:rPr>
          <w:sz w:val="20"/>
        </w:rPr>
      </w:pPr>
      <w:r>
        <w:rPr>
          <w:sz w:val="20"/>
        </w:rPr>
        <w:t>La adquisición o el arrendamiento, independientemente del sistema de financiación, de terrenos, edificios ya existentes u otros bienes inmuebles o relativos a derechos sobre estos</w:t>
      </w:r>
      <w:r>
        <w:rPr>
          <w:spacing w:val="-2"/>
          <w:sz w:val="20"/>
        </w:rPr>
        <w:t> </w:t>
      </w:r>
      <w:r>
        <w:rPr>
          <w:sz w:val="20"/>
        </w:rPr>
        <w:t>bienes.</w:t>
      </w:r>
    </w:p>
    <w:p>
      <w:pPr>
        <w:pStyle w:val="ListParagraph"/>
        <w:numPr>
          <w:ilvl w:val="0"/>
          <w:numId w:val="42"/>
        </w:numPr>
        <w:tabs>
          <w:tab w:pos="1648" w:val="left" w:leader="none"/>
        </w:tabs>
        <w:spacing w:line="240" w:lineRule="auto" w:before="3" w:after="0"/>
        <w:ind w:left="1647" w:right="0" w:hanging="234"/>
        <w:jc w:val="both"/>
        <w:rPr>
          <w:sz w:val="20"/>
        </w:rPr>
      </w:pPr>
      <w:r>
        <w:rPr>
          <w:sz w:val="20"/>
        </w:rPr>
        <w:t>Servicios de arbitraje y de</w:t>
      </w:r>
      <w:r>
        <w:rPr>
          <w:spacing w:val="-4"/>
          <w:sz w:val="20"/>
        </w:rPr>
        <w:t> </w:t>
      </w:r>
      <w:r>
        <w:rPr>
          <w:sz w:val="20"/>
        </w:rPr>
        <w:t>conciliación.</w:t>
      </w:r>
    </w:p>
    <w:p>
      <w:pPr>
        <w:pStyle w:val="ListParagraph"/>
        <w:numPr>
          <w:ilvl w:val="0"/>
          <w:numId w:val="42"/>
        </w:numPr>
        <w:tabs>
          <w:tab w:pos="1637" w:val="left" w:leader="none"/>
        </w:tabs>
        <w:spacing w:line="240" w:lineRule="auto" w:before="10" w:after="0"/>
        <w:ind w:left="1636" w:right="0" w:hanging="223"/>
        <w:jc w:val="both"/>
        <w:rPr>
          <w:sz w:val="20"/>
        </w:rPr>
      </w:pPr>
      <w:r>
        <w:rPr>
          <w:sz w:val="20"/>
        </w:rPr>
        <w:t>Alguno de los siguientes servicios</w:t>
      </w:r>
      <w:r>
        <w:rPr>
          <w:spacing w:val="-3"/>
          <w:sz w:val="20"/>
        </w:rPr>
        <w:t> </w:t>
      </w:r>
      <w:r>
        <w:rPr>
          <w:sz w:val="20"/>
        </w:rPr>
        <w:t>jurídicos:</w:t>
      </w:r>
    </w:p>
    <w:p>
      <w:pPr>
        <w:pStyle w:val="ListParagraph"/>
        <w:numPr>
          <w:ilvl w:val="0"/>
          <w:numId w:val="43"/>
        </w:numPr>
        <w:tabs>
          <w:tab w:pos="1583" w:val="left" w:leader="none"/>
        </w:tabs>
        <w:spacing w:line="249" w:lineRule="auto" w:before="130" w:after="0"/>
        <w:ind w:left="1074" w:right="1273" w:firstLine="340"/>
        <w:jc w:val="both"/>
        <w:rPr>
          <w:sz w:val="20"/>
        </w:rPr>
      </w:pPr>
      <w:r>
        <w:rPr>
          <w:sz w:val="20"/>
        </w:rPr>
        <w:t>º La representación y defensa legal de un cliente por un procurador o un abogado, ya sea en un arbitraje o en una conciliación celebrada en un Estado o ante una instancia internacional de conciliación o arbitraje, o ya sea en un procedimiento judicial ante los órganos jurisdiccionales o las autoridades públicas de un Estado o ante órganos jurisdiccionales o instituciones</w:t>
      </w:r>
      <w:r>
        <w:rPr>
          <w:spacing w:val="-5"/>
          <w:sz w:val="20"/>
        </w:rPr>
        <w:t> </w:t>
      </w:r>
      <w:r>
        <w:rPr>
          <w:sz w:val="20"/>
        </w:rPr>
        <w:t>internacionales.</w:t>
      </w:r>
    </w:p>
    <w:p>
      <w:pPr>
        <w:pStyle w:val="ListParagraph"/>
        <w:numPr>
          <w:ilvl w:val="0"/>
          <w:numId w:val="43"/>
        </w:numPr>
        <w:tabs>
          <w:tab w:pos="1583" w:val="left" w:leader="none"/>
        </w:tabs>
        <w:spacing w:line="249" w:lineRule="auto" w:before="4" w:after="0"/>
        <w:ind w:left="1074" w:right="1274" w:firstLine="340"/>
        <w:jc w:val="both"/>
        <w:rPr>
          <w:sz w:val="20"/>
        </w:rPr>
      </w:pPr>
      <w:r>
        <w:rPr>
          <w:sz w:val="20"/>
        </w:rPr>
        <w:t>º El asesoramiento jurídico prestado como preparación de uno de los procedimientos mencionados en el apartado anterior de la presente letra, o cuando exista una probabilidad alta de que el asunto sobre el que se asesora será objeto de dichos procedimientos, siempre que el asesoramiento lo preste un</w:t>
      </w:r>
      <w:r>
        <w:rPr>
          <w:spacing w:val="-9"/>
          <w:sz w:val="20"/>
        </w:rPr>
        <w:t> </w:t>
      </w:r>
      <w:r>
        <w:rPr>
          <w:sz w:val="20"/>
        </w:rPr>
        <w:t>abogado.</w:t>
      </w:r>
    </w:p>
    <w:p>
      <w:pPr>
        <w:pStyle w:val="ListParagraph"/>
        <w:numPr>
          <w:ilvl w:val="0"/>
          <w:numId w:val="43"/>
        </w:numPr>
        <w:tabs>
          <w:tab w:pos="1583" w:val="left" w:leader="none"/>
        </w:tabs>
        <w:spacing w:line="249" w:lineRule="auto" w:before="3" w:after="0"/>
        <w:ind w:left="1074" w:right="1275" w:firstLine="340"/>
        <w:jc w:val="both"/>
        <w:rPr>
          <w:sz w:val="20"/>
        </w:rPr>
      </w:pPr>
      <w:r>
        <w:rPr>
          <w:sz w:val="20"/>
        </w:rPr>
        <w:t>º Los servicios de certificación y autenticación de documentos que deban ser prestados por un notario</w:t>
      </w:r>
      <w:r>
        <w:rPr>
          <w:spacing w:val="-4"/>
          <w:sz w:val="20"/>
        </w:rPr>
        <w:t> </w:t>
      </w:r>
      <w:r>
        <w:rPr>
          <w:sz w:val="20"/>
        </w:rPr>
        <w:t>público.</w:t>
      </w:r>
    </w:p>
    <w:p>
      <w:pPr>
        <w:pStyle w:val="ListParagraph"/>
        <w:numPr>
          <w:ilvl w:val="0"/>
          <w:numId w:val="43"/>
        </w:numPr>
        <w:tabs>
          <w:tab w:pos="1583" w:val="left" w:leader="none"/>
        </w:tabs>
        <w:spacing w:line="249" w:lineRule="auto" w:before="2" w:after="0"/>
        <w:ind w:left="1074" w:right="1273" w:firstLine="340"/>
        <w:jc w:val="both"/>
        <w:rPr>
          <w:sz w:val="20"/>
        </w:rPr>
      </w:pPr>
      <w:r>
        <w:rPr>
          <w:sz w:val="20"/>
        </w:rPr>
        <w:t>º Los servicios jurídicos prestados por administradores, tutores u otros servicios jurídicos cuyos prestadores sean designados por un órgano jurisdiccional o designados por ley para desempeñar funciones específicas bajo la supervisión de dichos órganos jurisdiccionales.</w:t>
      </w:r>
    </w:p>
    <w:p>
      <w:pPr>
        <w:pStyle w:val="ListParagraph"/>
        <w:numPr>
          <w:ilvl w:val="0"/>
          <w:numId w:val="43"/>
        </w:numPr>
        <w:tabs>
          <w:tab w:pos="1582" w:val="left" w:leader="none"/>
        </w:tabs>
        <w:spacing w:line="249" w:lineRule="auto" w:before="3" w:after="0"/>
        <w:ind w:left="1074" w:right="1273" w:firstLine="340"/>
        <w:jc w:val="both"/>
        <w:rPr>
          <w:sz w:val="20"/>
        </w:rPr>
      </w:pPr>
      <w:r>
        <w:rPr>
          <w:sz w:val="20"/>
        </w:rPr>
        <w:t>º Otros servicios jurídicos que estén relacionados, incluso de forma ocasional, con el ejercicio del poder</w:t>
      </w:r>
      <w:r>
        <w:rPr>
          <w:spacing w:val="-4"/>
          <w:sz w:val="20"/>
        </w:rPr>
        <w:t> </w:t>
      </w:r>
      <w:r>
        <w:rPr>
          <w:sz w:val="20"/>
        </w:rPr>
        <w:t>público.</w:t>
      </w:r>
    </w:p>
    <w:p>
      <w:pPr>
        <w:pStyle w:val="ListParagraph"/>
        <w:numPr>
          <w:ilvl w:val="0"/>
          <w:numId w:val="42"/>
        </w:numPr>
        <w:tabs>
          <w:tab w:pos="1730" w:val="left" w:leader="none"/>
        </w:tabs>
        <w:spacing w:line="249" w:lineRule="auto" w:before="122" w:after="0"/>
        <w:ind w:left="1074" w:right="1270" w:firstLine="340"/>
        <w:jc w:val="both"/>
        <w:rPr>
          <w:sz w:val="20"/>
        </w:rPr>
      </w:pPr>
      <w:r>
        <w:rPr>
          <w:sz w:val="20"/>
        </w:rPr>
        <w:t>La emisión, compra, venta y transferencia de títulos o de otros instrumentos financieros, a tenor de la Directiva 2014/65/UE del Parlamento Europeo y del Consejo de 15 de mayo de 2014, relativa a los mercados de instrumentos financieros y por la que se modifican la Directiva 2002/92/CE y la Directiva 2011/61/UE, así como las operaciones realizadas con la Facilidad Europea de Estabilización Financiera y el Mecanismo Europeo de Estabilidad.</w:t>
      </w:r>
    </w:p>
    <w:p>
      <w:pPr>
        <w:pStyle w:val="ListParagraph"/>
        <w:numPr>
          <w:ilvl w:val="0"/>
          <w:numId w:val="42"/>
        </w:numPr>
        <w:tabs>
          <w:tab w:pos="1653" w:val="left" w:leader="none"/>
        </w:tabs>
        <w:spacing w:line="249" w:lineRule="auto" w:before="4" w:after="0"/>
        <w:ind w:left="1074" w:right="1274" w:firstLine="340"/>
        <w:jc w:val="both"/>
        <w:rPr>
          <w:sz w:val="20"/>
        </w:rPr>
      </w:pPr>
      <w:r>
        <w:rPr>
          <w:sz w:val="20"/>
        </w:rPr>
        <w:t>Los préstamos, estén o no relacionados con la emisión, venta, compra o transferencia de valores o de otros instrumentos</w:t>
      </w:r>
      <w:r>
        <w:rPr>
          <w:spacing w:val="-7"/>
          <w:sz w:val="20"/>
        </w:rPr>
        <w:t> </w:t>
      </w:r>
      <w:r>
        <w:rPr>
          <w:sz w:val="20"/>
        </w:rPr>
        <w:t>financieros.</w:t>
      </w:r>
    </w:p>
    <w:p>
      <w:pPr>
        <w:pStyle w:val="ListParagraph"/>
        <w:numPr>
          <w:ilvl w:val="0"/>
          <w:numId w:val="42"/>
        </w:numPr>
        <w:tabs>
          <w:tab w:pos="1593" w:val="left" w:leader="none"/>
        </w:tabs>
        <w:spacing w:line="240" w:lineRule="auto" w:before="2" w:after="0"/>
        <w:ind w:left="1592" w:right="0" w:hanging="179"/>
        <w:jc w:val="both"/>
        <w:rPr>
          <w:sz w:val="20"/>
        </w:rPr>
      </w:pPr>
      <w:r>
        <w:rPr>
          <w:sz w:val="20"/>
        </w:rPr>
        <w:t>Contratos regulados en la legislación</w:t>
      </w:r>
      <w:r>
        <w:rPr>
          <w:spacing w:val="-6"/>
          <w:sz w:val="20"/>
        </w:rPr>
        <w:t> </w:t>
      </w:r>
      <w:r>
        <w:rPr>
          <w:sz w:val="20"/>
        </w:rPr>
        <w:t>laboral.</w:t>
      </w:r>
    </w:p>
    <w:p>
      <w:pPr>
        <w:pStyle w:val="ListParagraph"/>
        <w:numPr>
          <w:ilvl w:val="0"/>
          <w:numId w:val="42"/>
        </w:numPr>
        <w:tabs>
          <w:tab w:pos="1673" w:val="left" w:leader="none"/>
        </w:tabs>
        <w:spacing w:line="249" w:lineRule="auto" w:before="10" w:after="0"/>
        <w:ind w:left="1074" w:right="1271" w:firstLine="340"/>
        <w:jc w:val="both"/>
        <w:rPr>
          <w:sz w:val="20"/>
        </w:rPr>
      </w:pPr>
      <w:r>
        <w:rPr>
          <w:sz w:val="20"/>
        </w:rPr>
        <w:t>Servicios públicos de transporte de viajeros por ferrocarril o en metro, así como las concesiones de servicios de transporte de viajeros, sin perjuicio de la aplicación del Reglamento (UE) n.º 1370/2007, del Parlamento Europeo y del Consejo, de 23 de octubre de 2007, sobre los servicios públicos de transporte de viajeros por ferrocarril y carretera y por el que se derogan los Reglamentos (CEE) n.º 1191/69 y (CEE) n.º 1107/70 del</w:t>
      </w:r>
      <w:r>
        <w:rPr>
          <w:spacing w:val="-32"/>
          <w:sz w:val="20"/>
        </w:rPr>
        <w:t> </w:t>
      </w:r>
      <w:r>
        <w:rPr>
          <w:sz w:val="20"/>
        </w:rPr>
        <w:t>Consejo.</w:t>
      </w:r>
    </w:p>
    <w:p>
      <w:pPr>
        <w:pStyle w:val="ListParagraph"/>
        <w:numPr>
          <w:ilvl w:val="0"/>
          <w:numId w:val="42"/>
        </w:numPr>
        <w:tabs>
          <w:tab w:pos="1664" w:val="left" w:leader="none"/>
        </w:tabs>
        <w:spacing w:line="249" w:lineRule="auto" w:before="4" w:after="0"/>
        <w:ind w:left="1074" w:right="1274" w:firstLine="340"/>
        <w:jc w:val="both"/>
        <w:rPr>
          <w:sz w:val="20"/>
        </w:rPr>
      </w:pPr>
      <w:r>
        <w:rPr>
          <w:sz w:val="20"/>
        </w:rPr>
        <w:t>Los que tengan por objeto servicios de defensa civil, protección civil y prevención de riesgos laborales prestados por organizaciones o asociaciones sin ánimo de lucro e incluidos en los siguientes códigos CPV: 75250000-3, 75251000-0, 75251100-1, 75251110-4, 75251120-7, 75252000-7, 75222000-8; 98113100-9 y 85143000-3, salvo los servicios de transporte en ambulancia de</w:t>
      </w:r>
      <w:r>
        <w:rPr>
          <w:spacing w:val="-4"/>
          <w:sz w:val="20"/>
        </w:rPr>
        <w:t> </w:t>
      </w:r>
      <w:r>
        <w:rPr>
          <w:sz w:val="20"/>
        </w:rPr>
        <w:t>paciente.</w:t>
      </w:r>
    </w:p>
    <w:p>
      <w:pPr>
        <w:pStyle w:val="ListParagraph"/>
        <w:numPr>
          <w:ilvl w:val="0"/>
          <w:numId w:val="42"/>
        </w:numPr>
        <w:tabs>
          <w:tab w:pos="1585" w:val="left" w:leader="none"/>
        </w:tabs>
        <w:spacing w:line="249" w:lineRule="auto" w:before="4" w:after="0"/>
        <w:ind w:left="1074" w:right="1272" w:firstLine="340"/>
        <w:jc w:val="both"/>
        <w:rPr>
          <w:sz w:val="20"/>
        </w:rPr>
      </w:pPr>
      <w:r>
        <w:rPr>
          <w:sz w:val="20"/>
        </w:rPr>
        <w:t>Los que tengan por objeto la adquisición, el desarrollo, la producción o la coproducción de programas destinados a servicios de comunicación audiovisual o servicios de comunicación radiofónica, que sean adjudicados por proveedores del servicio de comunicación audiovisual o radiofónica, o los relativos al tiempo de radiodifusión o al suministro de programas que sean adjudicados a proveedores del servicio de comunicación audiovisual o radiofónica. A efectos de la presente letra, por «servicio de comunicación audiovisual» y «prestador del servicio de comunicación» se entenderá, respectivamente, lo mismo que en el artículo 1, apartado 1, letras a) y d), de la Directiva 2010/13/UE del Parlamento</w:t>
      </w:r>
      <w:r>
        <w:rPr>
          <w:spacing w:val="41"/>
          <w:sz w:val="20"/>
        </w:rPr>
        <w:t> </w:t>
      </w:r>
      <w:r>
        <w:rPr>
          <w:sz w:val="20"/>
        </w:rPr>
        <w:t>Europeo</w:t>
      </w:r>
      <w:r>
        <w:rPr>
          <w:spacing w:val="41"/>
          <w:sz w:val="20"/>
        </w:rPr>
        <w:t> </w:t>
      </w:r>
      <w:r>
        <w:rPr>
          <w:sz w:val="20"/>
        </w:rPr>
        <w:t>y</w:t>
      </w:r>
      <w:r>
        <w:rPr>
          <w:spacing w:val="41"/>
          <w:sz w:val="20"/>
        </w:rPr>
        <w:t> </w:t>
      </w:r>
      <w:r>
        <w:rPr>
          <w:sz w:val="20"/>
        </w:rPr>
        <w:t>del</w:t>
      </w:r>
      <w:r>
        <w:rPr>
          <w:spacing w:val="41"/>
          <w:sz w:val="20"/>
        </w:rPr>
        <w:t> </w:t>
      </w:r>
      <w:r>
        <w:rPr>
          <w:sz w:val="20"/>
        </w:rPr>
        <w:t>Consejo,</w:t>
      </w:r>
      <w:r>
        <w:rPr>
          <w:spacing w:val="41"/>
          <w:sz w:val="20"/>
        </w:rPr>
        <w:t> </w:t>
      </w:r>
      <w:r>
        <w:rPr>
          <w:sz w:val="20"/>
        </w:rPr>
        <w:t>de</w:t>
      </w:r>
      <w:r>
        <w:rPr>
          <w:spacing w:val="42"/>
          <w:sz w:val="20"/>
        </w:rPr>
        <w:t> </w:t>
      </w:r>
      <w:r>
        <w:rPr>
          <w:sz w:val="20"/>
        </w:rPr>
        <w:t>10</w:t>
      </w:r>
      <w:r>
        <w:rPr>
          <w:spacing w:val="41"/>
          <w:sz w:val="20"/>
        </w:rPr>
        <w:t> </w:t>
      </w:r>
      <w:r>
        <w:rPr>
          <w:sz w:val="20"/>
        </w:rPr>
        <w:t>de</w:t>
      </w:r>
      <w:r>
        <w:rPr>
          <w:spacing w:val="41"/>
          <w:sz w:val="20"/>
        </w:rPr>
        <w:t> </w:t>
      </w:r>
      <w:r>
        <w:rPr>
          <w:sz w:val="20"/>
        </w:rPr>
        <w:t>marzo</w:t>
      </w:r>
      <w:r>
        <w:rPr>
          <w:spacing w:val="41"/>
          <w:sz w:val="20"/>
        </w:rPr>
        <w:t> </w:t>
      </w:r>
      <w:r>
        <w:rPr>
          <w:sz w:val="20"/>
        </w:rPr>
        <w:t>de</w:t>
      </w:r>
      <w:r>
        <w:rPr>
          <w:spacing w:val="41"/>
          <w:sz w:val="20"/>
        </w:rPr>
        <w:t> </w:t>
      </w:r>
      <w:r>
        <w:rPr>
          <w:sz w:val="20"/>
        </w:rPr>
        <w:t>2010,</w:t>
      </w:r>
      <w:r>
        <w:rPr>
          <w:spacing w:val="41"/>
          <w:sz w:val="20"/>
        </w:rPr>
        <w:t> </w:t>
      </w:r>
      <w:r>
        <w:rPr>
          <w:sz w:val="20"/>
        </w:rPr>
        <w:t>sobre</w:t>
      </w:r>
      <w:r>
        <w:rPr>
          <w:spacing w:val="42"/>
          <w:sz w:val="20"/>
        </w:rPr>
        <w:t> </w:t>
      </w:r>
      <w:r>
        <w:rPr>
          <w:sz w:val="20"/>
        </w:rPr>
        <w:t>la</w:t>
      </w:r>
      <w:r>
        <w:rPr>
          <w:spacing w:val="41"/>
          <w:sz w:val="20"/>
        </w:rPr>
        <w:t> </w:t>
      </w:r>
      <w:r>
        <w:rPr>
          <w:sz w:val="20"/>
        </w:rPr>
        <w:t>coordinación</w:t>
      </w:r>
      <w:r>
        <w:rPr>
          <w:spacing w:val="41"/>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determinadas disposiciones legales, reglamentarias y administrativas de los Estado miembros relativas a la prestación de servicios de comunicación audiovisual.</w:t>
      </w:r>
      <w:r>
        <w:rPr>
          <w:spacing w:val="13"/>
        </w:rPr>
        <w:t> </w:t>
      </w:r>
      <w:r>
        <w:rPr/>
        <w:t>Por</w:t>
      </w:r>
    </w:p>
    <w:p>
      <w:pPr>
        <w:pStyle w:val="BodyText"/>
        <w:spacing w:line="249" w:lineRule="auto" w:before="1"/>
        <w:ind w:right="1274" w:hanging="1"/>
      </w:pPr>
      <w:r>
        <w:rPr/>
        <w:t>«programa» se entenderá lo mismo que en el artículo 1, apartado 1, letra b), de dicha Directiva, si bien se incluirán también los programas radiofónicos y los contenidos de los programas radiofónicos. Además, a efectos de la presente disposición, «contenidos del programa» tendrá el mismo significado que «programa».</w:t>
      </w:r>
    </w:p>
    <w:p>
      <w:pPr>
        <w:pStyle w:val="ListParagraph"/>
        <w:numPr>
          <w:ilvl w:val="0"/>
          <w:numId w:val="42"/>
        </w:numPr>
        <w:tabs>
          <w:tab w:pos="1622" w:val="left" w:leader="none"/>
        </w:tabs>
        <w:spacing w:line="249" w:lineRule="auto" w:before="4" w:after="0"/>
        <w:ind w:left="1074" w:right="1274" w:firstLine="340"/>
        <w:jc w:val="both"/>
        <w:rPr>
          <w:sz w:val="20"/>
        </w:rPr>
      </w:pPr>
      <w:r>
        <w:rPr>
          <w:sz w:val="20"/>
        </w:rPr>
        <w:t>Los servicios de investigación y desarrollo, excepto aquellos que además de estar incluidos en los códigos CPV 73000000-2 a 73120000-9, 73300000-5, 73420000-2 y 73430000-5 cumplan las dos condiciones</w:t>
      </w:r>
      <w:r>
        <w:rPr>
          <w:spacing w:val="-4"/>
          <w:sz w:val="20"/>
        </w:rPr>
        <w:t> </w:t>
      </w:r>
      <w:r>
        <w:rPr>
          <w:sz w:val="20"/>
        </w:rPr>
        <w:t>siguientes:</w:t>
      </w:r>
    </w:p>
    <w:p>
      <w:pPr>
        <w:pStyle w:val="ListParagraph"/>
        <w:numPr>
          <w:ilvl w:val="0"/>
          <w:numId w:val="44"/>
        </w:numPr>
        <w:tabs>
          <w:tab w:pos="1736" w:val="left" w:leader="none"/>
        </w:tabs>
        <w:spacing w:line="249" w:lineRule="auto" w:before="122" w:after="0"/>
        <w:ind w:left="1074" w:right="1274" w:firstLine="340"/>
        <w:jc w:val="both"/>
        <w:rPr>
          <w:sz w:val="20"/>
        </w:rPr>
      </w:pPr>
      <w:r>
        <w:rPr>
          <w:sz w:val="20"/>
        </w:rPr>
        <w:t>Que los beneficios pertenezcan exclusivamente al poder adjudicador para su utilización en el ejercicio de su propia</w:t>
      </w:r>
      <w:r>
        <w:rPr>
          <w:spacing w:val="-10"/>
          <w:sz w:val="20"/>
        </w:rPr>
        <w:t> </w:t>
      </w:r>
      <w:r>
        <w:rPr>
          <w:sz w:val="20"/>
        </w:rPr>
        <w:t>actividad.</w:t>
      </w:r>
    </w:p>
    <w:p>
      <w:pPr>
        <w:pStyle w:val="ListParagraph"/>
        <w:numPr>
          <w:ilvl w:val="0"/>
          <w:numId w:val="44"/>
        </w:numPr>
        <w:tabs>
          <w:tab w:pos="1648" w:val="left" w:leader="none"/>
        </w:tabs>
        <w:spacing w:line="240" w:lineRule="auto" w:before="2" w:after="0"/>
        <w:ind w:left="1647" w:right="0" w:hanging="234"/>
        <w:jc w:val="left"/>
        <w:rPr>
          <w:sz w:val="20"/>
        </w:rPr>
      </w:pPr>
      <w:r>
        <w:rPr>
          <w:sz w:val="20"/>
        </w:rPr>
        <w:t>Que el servicio prestado sea remunerado íntegramente por el poder</w:t>
      </w:r>
      <w:r>
        <w:rPr>
          <w:spacing w:val="-12"/>
          <w:sz w:val="20"/>
        </w:rPr>
        <w:t> </w:t>
      </w:r>
      <w:r>
        <w:rPr>
          <w:sz w:val="20"/>
        </w:rPr>
        <w:t>adjudicador.</w:t>
      </w:r>
    </w:p>
    <w:p>
      <w:pPr>
        <w:pStyle w:val="ListParagraph"/>
        <w:numPr>
          <w:ilvl w:val="0"/>
          <w:numId w:val="45"/>
        </w:numPr>
        <w:tabs>
          <w:tab w:pos="1681" w:val="left" w:leader="none"/>
        </w:tabs>
        <w:spacing w:line="249" w:lineRule="auto" w:before="130" w:after="0"/>
        <w:ind w:left="1074" w:right="1272" w:firstLine="340"/>
        <w:jc w:val="both"/>
        <w:rPr>
          <w:sz w:val="20"/>
        </w:rPr>
      </w:pPr>
      <w:r>
        <w:rPr>
          <w:sz w:val="20"/>
        </w:rPr>
        <w:t>Los contratos de servicios que tengan por objeto la realización de actividades de compra centralizada siempre y cuando el contrato sea adjudicado por una entidad contratante a una central de compras; pudiendo incluir también la realización de actividades de compra auxiliares en el sentido definido en el artículo</w:t>
      </w:r>
      <w:r>
        <w:rPr>
          <w:spacing w:val="-14"/>
          <w:sz w:val="20"/>
        </w:rPr>
        <w:t> </w:t>
      </w:r>
      <w:r>
        <w:rPr>
          <w:sz w:val="20"/>
        </w:rPr>
        <w:t>2.n).</w:t>
      </w:r>
    </w:p>
    <w:p>
      <w:pPr>
        <w:pStyle w:val="ListParagraph"/>
        <w:numPr>
          <w:ilvl w:val="0"/>
          <w:numId w:val="45"/>
        </w:numPr>
        <w:tabs>
          <w:tab w:pos="1606" w:val="left" w:leader="none"/>
        </w:tabs>
        <w:spacing w:line="249" w:lineRule="auto" w:before="3" w:after="0"/>
        <w:ind w:left="1074" w:right="1273" w:firstLine="340"/>
        <w:jc w:val="both"/>
        <w:rPr>
          <w:sz w:val="20"/>
        </w:rPr>
      </w:pPr>
      <w:r>
        <w:rPr>
          <w:sz w:val="20"/>
        </w:rPr>
        <w:t>Aquellos contratos de concesiones cuyo objeto principal sea permitir a las entidades contratantes la puesta a disposición o la explotación de redes públicas de comunicaciones o la prestación al público de uno o varios servicios de comunicaciones electrónicas. A efectos del presente apartado «red pública de comunicaciones» y «servicios de comunicaciones electrónicas» tendrán el mismo significado que el que figura en la Directiva 2002/21/CE del Parlamento Europeo y del Consejo, de 7 de marzo de 2002, relativa a un marco regulador común de las redes y los servicios de comunicaciones</w:t>
      </w:r>
      <w:r>
        <w:rPr>
          <w:spacing w:val="-8"/>
          <w:sz w:val="20"/>
        </w:rPr>
        <w:t> </w:t>
      </w:r>
      <w:r>
        <w:rPr>
          <w:sz w:val="20"/>
        </w:rPr>
        <w:t>electrónicas.</w:t>
      </w:r>
    </w:p>
    <w:p>
      <w:pPr>
        <w:pStyle w:val="BodyText"/>
        <w:spacing w:before="8"/>
        <w:ind w:left="0" w:firstLine="0"/>
        <w:jc w:val="left"/>
      </w:pPr>
    </w:p>
    <w:p>
      <w:pPr>
        <w:spacing w:before="0"/>
        <w:ind w:left="1074" w:right="0" w:firstLine="0"/>
        <w:jc w:val="both"/>
        <w:rPr>
          <w:i/>
          <w:sz w:val="20"/>
        </w:rPr>
      </w:pPr>
      <w:bookmarkStart w:name="Artículo 21. Contratos y concurso de pro" w:id="42"/>
      <w:bookmarkEnd w:id="42"/>
      <w:r>
        <w:rPr/>
      </w:r>
      <w:r>
        <w:rPr>
          <w:b/>
          <w:sz w:val="20"/>
        </w:rPr>
        <w:t>Artículo 21. </w:t>
      </w:r>
      <w:r>
        <w:rPr>
          <w:i/>
          <w:sz w:val="20"/>
        </w:rPr>
        <w:t>Contratos y concurso de proyectos relacionados con el ámbito internacional.</w:t>
      </w:r>
    </w:p>
    <w:p>
      <w:pPr>
        <w:pStyle w:val="BodyText"/>
        <w:spacing w:line="249" w:lineRule="auto" w:before="118"/>
        <w:ind w:right="1272"/>
      </w:pPr>
      <w:r>
        <w:rPr/>
        <w:t>El presente real decreto-ley no se aplicará a los siguientes contratos y concursos de proyectos:</w:t>
      </w:r>
    </w:p>
    <w:p>
      <w:pPr>
        <w:pStyle w:val="ListParagraph"/>
        <w:numPr>
          <w:ilvl w:val="0"/>
          <w:numId w:val="46"/>
        </w:numPr>
        <w:tabs>
          <w:tab w:pos="1680" w:val="left" w:leader="none"/>
        </w:tabs>
        <w:spacing w:line="249" w:lineRule="auto" w:before="122" w:after="0"/>
        <w:ind w:left="1074" w:right="1271" w:firstLine="340"/>
        <w:jc w:val="both"/>
        <w:rPr>
          <w:sz w:val="20"/>
        </w:rPr>
      </w:pPr>
      <w:r>
        <w:rPr>
          <w:sz w:val="20"/>
        </w:rPr>
        <w:t>Aquellos que deban adjudicarse de conformidad con un procedimiento de licitación específico que haya sido establecido en virtud de un instrumento jurídico, celebrado de conformidad con el Tratado de Funcionamiento de la Unión Europea con uno o</w:t>
      </w:r>
      <w:r>
        <w:rPr>
          <w:spacing w:val="6"/>
          <w:sz w:val="20"/>
        </w:rPr>
        <w:t> </w:t>
      </w:r>
      <w:r>
        <w:rPr>
          <w:sz w:val="20"/>
        </w:rPr>
        <w:t>varios Estados no signatarios de este último, que cree obligaciones de derecho internacional relativo a las obras, suministros o servicios que resulten necesarios para la ejecución o la realización conjunta de un proyecto por sus</w:t>
      </w:r>
      <w:r>
        <w:rPr>
          <w:spacing w:val="-6"/>
          <w:sz w:val="20"/>
        </w:rPr>
        <w:t> </w:t>
      </w:r>
      <w:r>
        <w:rPr>
          <w:sz w:val="20"/>
        </w:rPr>
        <w:t>signatarios.</w:t>
      </w:r>
    </w:p>
    <w:p>
      <w:pPr>
        <w:pStyle w:val="ListParagraph"/>
        <w:numPr>
          <w:ilvl w:val="0"/>
          <w:numId w:val="46"/>
        </w:numPr>
        <w:tabs>
          <w:tab w:pos="1680" w:val="left" w:leader="none"/>
        </w:tabs>
        <w:spacing w:line="249" w:lineRule="auto" w:before="4" w:after="0"/>
        <w:ind w:left="1074" w:right="1273" w:firstLine="340"/>
        <w:jc w:val="both"/>
        <w:rPr>
          <w:sz w:val="20"/>
        </w:rPr>
      </w:pPr>
      <w:r>
        <w:rPr>
          <w:sz w:val="20"/>
        </w:rPr>
        <w:t>Aquellos que deban adjudicarse de conformidad con un procedimiento de licitación específico que haya sido establecido en virtud de las normas de contratación aprobadas por una organización internacional o por una institución financiera internacional, siempre y cuando estén financiados íntegramente o mayoritariamente por esa</w:t>
      </w:r>
      <w:r>
        <w:rPr>
          <w:spacing w:val="-10"/>
          <w:sz w:val="20"/>
        </w:rPr>
        <w:t> </w:t>
      </w:r>
      <w:r>
        <w:rPr>
          <w:sz w:val="20"/>
        </w:rPr>
        <w:t>institución.</w:t>
      </w:r>
    </w:p>
    <w:p>
      <w:pPr>
        <w:pStyle w:val="BodyText"/>
        <w:spacing w:before="6"/>
        <w:ind w:left="0" w:firstLine="0"/>
        <w:jc w:val="left"/>
      </w:pPr>
    </w:p>
    <w:p>
      <w:pPr>
        <w:spacing w:before="0"/>
        <w:ind w:left="1074" w:right="0" w:firstLine="0"/>
        <w:jc w:val="both"/>
        <w:rPr>
          <w:i/>
          <w:sz w:val="20"/>
        </w:rPr>
      </w:pPr>
      <w:bookmarkStart w:name="Artículo 22. Contratos de servicios adju" w:id="43"/>
      <w:bookmarkEnd w:id="43"/>
      <w:r>
        <w:rPr/>
      </w:r>
      <w:r>
        <w:rPr>
          <w:b/>
          <w:sz w:val="20"/>
        </w:rPr>
        <w:t>Artículo 22. </w:t>
      </w:r>
      <w:r>
        <w:rPr>
          <w:i/>
          <w:sz w:val="20"/>
        </w:rPr>
        <w:t>Contratos de servicios adjudicados sobre la base de un derecho exclusivo.</w:t>
      </w:r>
    </w:p>
    <w:p>
      <w:pPr>
        <w:pStyle w:val="BodyText"/>
        <w:spacing w:line="249" w:lineRule="auto" w:before="118"/>
        <w:ind w:right="1273"/>
      </w:pPr>
      <w:r>
        <w:rPr/>
        <w:t>El presente real decreto-ley no se aplicará a los contratos de servicios que se adjudiquen a una entidad que sea a su vez un poder adjudicador, o a una asociación de dichas entidades, basándose en un derecho exclusivo del que goce en virtud de disposiciones legales, reglamentarias o administrativas publicadas, siempre que dichas disposiciones sean compatibles con el Tratado de Funcionamiento de la Unión Europea.</w:t>
      </w:r>
    </w:p>
    <w:p>
      <w:pPr>
        <w:pStyle w:val="BodyText"/>
        <w:spacing w:before="6"/>
        <w:ind w:left="0" w:firstLine="0"/>
        <w:jc w:val="left"/>
      </w:pPr>
    </w:p>
    <w:p>
      <w:pPr>
        <w:spacing w:before="1"/>
        <w:ind w:left="1074" w:right="0" w:firstLine="0"/>
        <w:jc w:val="both"/>
        <w:rPr>
          <w:i/>
          <w:sz w:val="20"/>
        </w:rPr>
      </w:pPr>
      <w:bookmarkStart w:name="Artículo 23. Contratos en los ámbitos de" w:id="44"/>
      <w:bookmarkEnd w:id="44"/>
      <w:r>
        <w:rPr/>
      </w:r>
      <w:r>
        <w:rPr>
          <w:b/>
          <w:sz w:val="20"/>
        </w:rPr>
        <w:t>Artículo 23. </w:t>
      </w:r>
      <w:r>
        <w:rPr>
          <w:i/>
          <w:sz w:val="20"/>
        </w:rPr>
        <w:t>Contratos en los ámbitos de la defensa y de la seguridad.</w:t>
      </w:r>
    </w:p>
    <w:p>
      <w:pPr>
        <w:pStyle w:val="BodyText"/>
        <w:spacing w:line="249" w:lineRule="auto" w:before="117"/>
        <w:ind w:right="1275"/>
      </w:pPr>
      <w:r>
        <w:rPr/>
        <w:t>1. El presente real decreto-ley no es aplicable a los siguientes contratos y concursos de proyectos:</w:t>
      </w:r>
    </w:p>
    <w:p>
      <w:pPr>
        <w:pStyle w:val="ListParagraph"/>
        <w:numPr>
          <w:ilvl w:val="0"/>
          <w:numId w:val="47"/>
        </w:numPr>
        <w:tabs>
          <w:tab w:pos="1689" w:val="left" w:leader="none"/>
        </w:tabs>
        <w:spacing w:line="249" w:lineRule="auto" w:before="122" w:after="0"/>
        <w:ind w:left="1074" w:right="1274" w:firstLine="340"/>
        <w:jc w:val="both"/>
        <w:rPr>
          <w:sz w:val="20"/>
        </w:rPr>
      </w:pPr>
      <w:r>
        <w:rPr>
          <w:sz w:val="20"/>
        </w:rPr>
        <w:t>Los declarados secretos o reservados por el órgano competente, o aquellos cuya ejecución deba ir acompañada de medidas de seguridad especiales conforme a la legislación vigente, o en los que lo exija la protección de intereses esenciales para la seguridad del Estado, cuando la protección de los intereses esenciales de que se trate no pueda garantizarse mediante la aplicación de este real</w:t>
      </w:r>
      <w:r>
        <w:rPr>
          <w:spacing w:val="-13"/>
          <w:sz w:val="20"/>
        </w:rPr>
        <w:t> </w:t>
      </w:r>
      <w:r>
        <w:rPr>
          <w:sz w:val="20"/>
        </w:rPr>
        <w:t>decreto-ley.</w:t>
      </w:r>
    </w:p>
    <w:p>
      <w:pPr>
        <w:pStyle w:val="ListParagraph"/>
        <w:numPr>
          <w:ilvl w:val="0"/>
          <w:numId w:val="47"/>
        </w:numPr>
        <w:tabs>
          <w:tab w:pos="1678" w:val="left" w:leader="none"/>
        </w:tabs>
        <w:spacing w:line="249" w:lineRule="auto" w:before="4" w:after="0"/>
        <w:ind w:left="1074" w:right="1273" w:firstLine="340"/>
        <w:jc w:val="both"/>
        <w:rPr>
          <w:sz w:val="20"/>
        </w:rPr>
      </w:pPr>
      <w:r>
        <w:rPr>
          <w:sz w:val="20"/>
        </w:rPr>
        <w:t>Los contratos de obras, suministros y servicios que se celebren en el ámbito de la seguridad o de la defensa que estén comprendidos dentro del ámbito de aplicación de la</w:t>
      </w:r>
      <w:r>
        <w:rPr>
          <w:spacing w:val="-9"/>
          <w:sz w:val="20"/>
        </w:rPr>
        <w:t> </w:t>
      </w:r>
      <w:r>
        <w:rPr>
          <w:sz w:val="20"/>
        </w:rPr>
        <w:t>Ley</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firstLine="0"/>
      </w:pPr>
      <w:r>
        <w:rPr/>
        <w:t>24/2011, de 1 de agosto, de contratos del Sector Público en los ámbitos de la defensa y de la seguridad; así como los contratos a los que no resulte de aplicación la citada ley en virtud de su artículo</w:t>
      </w:r>
      <w:r>
        <w:rPr>
          <w:spacing w:val="-3"/>
        </w:rPr>
        <w:t> </w:t>
      </w:r>
      <w:r>
        <w:rPr/>
        <w:t>7.</w:t>
      </w:r>
    </w:p>
    <w:p>
      <w:pPr>
        <w:pStyle w:val="BodyText"/>
        <w:spacing w:line="249" w:lineRule="auto"/>
        <w:ind w:right="1274"/>
      </w:pPr>
      <w:r>
        <w:rPr/>
        <w:t>Los contratos de concesiones de obras y concesiones de servicios que se celebren en el ámbito de la seguridad o de la defensa en los que concurra alguna de las circunstancias siguientes:</w:t>
      </w:r>
    </w:p>
    <w:p>
      <w:pPr>
        <w:pStyle w:val="ListParagraph"/>
        <w:numPr>
          <w:ilvl w:val="0"/>
          <w:numId w:val="48"/>
        </w:numPr>
        <w:tabs>
          <w:tab w:pos="1583" w:val="left" w:leader="none"/>
        </w:tabs>
        <w:spacing w:line="249" w:lineRule="auto" w:before="123" w:after="0"/>
        <w:ind w:left="1074" w:right="1273" w:firstLine="340"/>
        <w:jc w:val="both"/>
        <w:rPr>
          <w:sz w:val="20"/>
        </w:rPr>
      </w:pPr>
      <w:r>
        <w:rPr>
          <w:sz w:val="20"/>
        </w:rPr>
        <w:t>º Que sean adjudicados en el marco de un programa de cooperación basado en la investigación y el desarrollo de un nuevo producto y, en su caso, también relacionados con  el ciclo de vida del mismo o partes de dicho ciclo, siempre que participen en el programa al menos dos Estados miembros de la Unión</w:t>
      </w:r>
      <w:r>
        <w:rPr>
          <w:spacing w:val="-5"/>
          <w:sz w:val="20"/>
        </w:rPr>
        <w:t> </w:t>
      </w:r>
      <w:r>
        <w:rPr>
          <w:sz w:val="20"/>
        </w:rPr>
        <w:t>Europea.</w:t>
      </w:r>
    </w:p>
    <w:p>
      <w:pPr>
        <w:pStyle w:val="ListParagraph"/>
        <w:numPr>
          <w:ilvl w:val="0"/>
          <w:numId w:val="48"/>
        </w:numPr>
        <w:tabs>
          <w:tab w:pos="1583" w:val="left" w:leader="none"/>
        </w:tabs>
        <w:spacing w:line="249" w:lineRule="auto" w:before="3" w:after="0"/>
        <w:ind w:left="1074" w:right="1273" w:firstLine="340"/>
        <w:jc w:val="both"/>
        <w:rPr>
          <w:sz w:val="20"/>
        </w:rPr>
      </w:pPr>
      <w:r>
        <w:rPr>
          <w:sz w:val="20"/>
        </w:rPr>
        <w:t>º Los que se adjudiquen en un tercer Estado no miembro de la Unión Europea para efectuar compras, incluidas las de carácter civil, cuando las Fuerzas Armadas estén desplegadas fuera del territorio de la Unión y las necesidades operativas hagan necesario que estos contratos se concluyan con empresarios situados en la zona de operaciones. A los efectos de este real decreto-ley, se entenderán incluidos en la zona de operaciones los territorios de influencia de esta y las bases logísticas</w:t>
      </w:r>
      <w:r>
        <w:rPr>
          <w:spacing w:val="-14"/>
          <w:sz w:val="20"/>
        </w:rPr>
        <w:t> </w:t>
      </w:r>
      <w:r>
        <w:rPr>
          <w:sz w:val="20"/>
        </w:rPr>
        <w:t>avanzadas.</w:t>
      </w:r>
    </w:p>
    <w:p>
      <w:pPr>
        <w:pStyle w:val="ListParagraph"/>
        <w:numPr>
          <w:ilvl w:val="0"/>
          <w:numId w:val="48"/>
        </w:numPr>
        <w:tabs>
          <w:tab w:pos="1583" w:val="left" w:leader="none"/>
        </w:tabs>
        <w:spacing w:line="249" w:lineRule="auto" w:before="5" w:after="0"/>
        <w:ind w:left="1074" w:right="1272" w:firstLine="340"/>
        <w:jc w:val="both"/>
        <w:rPr>
          <w:sz w:val="20"/>
        </w:rPr>
      </w:pPr>
      <w:r>
        <w:rPr>
          <w:sz w:val="20"/>
        </w:rPr>
        <w:t>º Las concesiones que se adjudiquen a otro Estado en relación con obras y servicios directamente relacionados con el equipo militar sensible, u obras y servicios específicamente con fines militares, u obras y servicios</w:t>
      </w:r>
      <w:r>
        <w:rPr>
          <w:spacing w:val="-3"/>
          <w:sz w:val="20"/>
        </w:rPr>
        <w:t> </w:t>
      </w:r>
      <w:r>
        <w:rPr>
          <w:sz w:val="20"/>
        </w:rPr>
        <w:t>sensibles.</w:t>
      </w:r>
    </w:p>
    <w:p>
      <w:pPr>
        <w:pStyle w:val="ListParagraph"/>
        <w:numPr>
          <w:ilvl w:val="0"/>
          <w:numId w:val="47"/>
        </w:numPr>
        <w:tabs>
          <w:tab w:pos="1660" w:val="left" w:leader="none"/>
        </w:tabs>
        <w:spacing w:line="249" w:lineRule="auto" w:before="122" w:after="0"/>
        <w:ind w:left="1074" w:right="1274" w:firstLine="340"/>
        <w:jc w:val="both"/>
        <w:rPr>
          <w:sz w:val="20"/>
        </w:rPr>
      </w:pPr>
      <w:r>
        <w:rPr>
          <w:sz w:val="20"/>
        </w:rPr>
        <w:t>Los contratos incluidos dentro del ámbito definido por el artículo 346 del Tratado de Funcionamiento de la Unión Europea que se concluyan en el sector de la</w:t>
      </w:r>
      <w:r>
        <w:rPr>
          <w:spacing w:val="-17"/>
          <w:sz w:val="20"/>
        </w:rPr>
        <w:t> </w:t>
      </w:r>
      <w:r>
        <w:rPr>
          <w:sz w:val="20"/>
        </w:rPr>
        <w:t>defensa.</w:t>
      </w:r>
    </w:p>
    <w:p>
      <w:pPr>
        <w:pStyle w:val="ListParagraph"/>
        <w:numPr>
          <w:ilvl w:val="0"/>
          <w:numId w:val="47"/>
        </w:numPr>
        <w:tabs>
          <w:tab w:pos="1670" w:val="left" w:leader="none"/>
        </w:tabs>
        <w:spacing w:line="249" w:lineRule="auto" w:before="2" w:after="0"/>
        <w:ind w:left="1074" w:right="1273" w:firstLine="340"/>
        <w:jc w:val="both"/>
        <w:rPr>
          <w:sz w:val="20"/>
        </w:rPr>
      </w:pPr>
      <w:r>
        <w:rPr>
          <w:sz w:val="20"/>
        </w:rPr>
        <w:t>Los contratos de obras, suministro o servicios que se celebren en los ámbitos de la defensa o de la seguridad y que deban adjudicarse de conformidad con un procedimiento de contratación específico que haya sido establecido de alguna de las siguientes</w:t>
      </w:r>
      <w:r>
        <w:rPr>
          <w:spacing w:val="-26"/>
          <w:sz w:val="20"/>
        </w:rPr>
        <w:t> </w:t>
      </w:r>
      <w:r>
        <w:rPr>
          <w:sz w:val="20"/>
        </w:rPr>
        <w:t>maneras:</w:t>
      </w:r>
    </w:p>
    <w:p>
      <w:pPr>
        <w:pStyle w:val="ListParagraph"/>
        <w:numPr>
          <w:ilvl w:val="0"/>
          <w:numId w:val="49"/>
        </w:numPr>
        <w:tabs>
          <w:tab w:pos="1582" w:val="left" w:leader="none"/>
        </w:tabs>
        <w:spacing w:line="249" w:lineRule="auto" w:before="122" w:after="0"/>
        <w:ind w:left="1074" w:right="1270" w:firstLine="340"/>
        <w:jc w:val="both"/>
        <w:rPr>
          <w:sz w:val="20"/>
        </w:rPr>
      </w:pPr>
      <w:r>
        <w:rPr>
          <w:sz w:val="20"/>
        </w:rPr>
        <w:t>º En virtud de un acuerdo o convenio internacional celebrado de conformidad con el Tratado de Funcionamiento de la Unión Europea con uno o varios Estados no signatarios de este último, relativo a las obras, suministros o servicios que resulten necesarios para la explotación o el desarrollo conjunto de un proyecto por los Estados</w:t>
      </w:r>
      <w:r>
        <w:rPr>
          <w:spacing w:val="-19"/>
          <w:sz w:val="20"/>
        </w:rPr>
        <w:t> </w:t>
      </w:r>
      <w:r>
        <w:rPr>
          <w:sz w:val="20"/>
        </w:rPr>
        <w:t>firmantes.</w:t>
      </w:r>
    </w:p>
    <w:p>
      <w:pPr>
        <w:pStyle w:val="ListParagraph"/>
        <w:numPr>
          <w:ilvl w:val="0"/>
          <w:numId w:val="49"/>
        </w:numPr>
        <w:tabs>
          <w:tab w:pos="1583" w:val="left" w:leader="none"/>
        </w:tabs>
        <w:spacing w:line="249" w:lineRule="auto" w:before="4" w:after="0"/>
        <w:ind w:left="1074" w:right="1273" w:firstLine="340"/>
        <w:jc w:val="both"/>
        <w:rPr>
          <w:sz w:val="20"/>
        </w:rPr>
      </w:pPr>
      <w:r>
        <w:rPr>
          <w:sz w:val="20"/>
        </w:rPr>
        <w:t>º En virtud de un acuerdo o convenio internacional relativo al estacionamiento de tropas y que se refiera a las empresas de un Estado Miembro de la Unión Europea o de un tercer Estado.</w:t>
      </w:r>
    </w:p>
    <w:p>
      <w:pPr>
        <w:pStyle w:val="ListParagraph"/>
        <w:numPr>
          <w:ilvl w:val="0"/>
          <w:numId w:val="49"/>
        </w:numPr>
        <w:tabs>
          <w:tab w:pos="1582" w:val="left" w:leader="none"/>
        </w:tabs>
        <w:spacing w:line="249" w:lineRule="auto" w:before="2" w:after="0"/>
        <w:ind w:left="1074" w:right="1271" w:firstLine="340"/>
        <w:jc w:val="both"/>
        <w:rPr>
          <w:sz w:val="20"/>
        </w:rPr>
      </w:pPr>
      <w:r>
        <w:rPr>
          <w:sz w:val="20"/>
        </w:rPr>
        <w:t>º En virtud de las normas de contratación establecidas por una organización internacional o por una institución financiera internacional, cuando además los contratos que se adjudiquen estén financiados íntegramente o en su mayor parte por esa organización o institución.</w:t>
      </w:r>
    </w:p>
    <w:p>
      <w:pPr>
        <w:pStyle w:val="BodyText"/>
        <w:spacing w:line="249" w:lineRule="auto" w:before="123"/>
        <w:ind w:right="1274"/>
      </w:pPr>
      <w:r>
        <w:rPr/>
        <w:t>2. Las exclusiones que establece el apartado anterior en sus letras b) y c) se aplicarán igualmente en los siguientes casos:</w:t>
      </w:r>
    </w:p>
    <w:p>
      <w:pPr>
        <w:pStyle w:val="ListParagraph"/>
        <w:numPr>
          <w:ilvl w:val="0"/>
          <w:numId w:val="50"/>
        </w:numPr>
        <w:tabs>
          <w:tab w:pos="1649" w:val="left" w:leader="none"/>
        </w:tabs>
        <w:spacing w:line="249" w:lineRule="auto" w:before="122" w:after="0"/>
        <w:ind w:left="1074" w:right="1272" w:firstLine="340"/>
        <w:jc w:val="both"/>
        <w:rPr>
          <w:sz w:val="20"/>
        </w:rPr>
      </w:pPr>
      <w:r>
        <w:rPr>
          <w:sz w:val="20"/>
        </w:rPr>
        <w:t>En el caso de un contrato que tenga por objeto, por una parte, prestaciones propias de contratos sujetos a este real decreto-ley y, por otra parte, prestaciones propias de contratos sujetos bien a la Ley 24/2011, de 1 de agosto, de Contratos del Sector Público en los ámbitos de la defensa y de la seguridad, bien al artículo 346 del Tratado de Funcionamiento de la Unión Europea o bien a la referida Ley 24/2011 y al artículo 346 del citado</w:t>
      </w:r>
      <w:r>
        <w:rPr>
          <w:spacing w:val="-33"/>
          <w:sz w:val="20"/>
        </w:rPr>
        <w:t> </w:t>
      </w:r>
      <w:r>
        <w:rPr>
          <w:sz w:val="20"/>
        </w:rPr>
        <w:t>tratado.</w:t>
      </w:r>
    </w:p>
    <w:p>
      <w:pPr>
        <w:pStyle w:val="ListParagraph"/>
        <w:numPr>
          <w:ilvl w:val="0"/>
          <w:numId w:val="50"/>
        </w:numPr>
        <w:tabs>
          <w:tab w:pos="1664" w:val="left" w:leader="none"/>
        </w:tabs>
        <w:spacing w:line="249" w:lineRule="auto" w:before="4" w:after="0"/>
        <w:ind w:left="1074" w:right="1274" w:firstLine="340"/>
        <w:jc w:val="both"/>
        <w:rPr>
          <w:sz w:val="20"/>
        </w:rPr>
      </w:pPr>
      <w:r>
        <w:rPr>
          <w:sz w:val="20"/>
        </w:rPr>
        <w:t>En el caso de un contrato que esté destinado, por una parte, a la realización de una actividad que esté sujeta al presente real decreto-ley y, por otra parte, a la realización de una actividad o actividades que estén sujetas bien a la Ley 24/2011, de 1 de agosto, de Contratos del Sector Público en los ámbitos de la defensa y de la seguridad, bien al artículo 346 del Tratado de Funcionamiento de la Unión Europea o bien a la referida Ley 24/2011 y al artículo 346 del citado</w:t>
      </w:r>
      <w:r>
        <w:rPr>
          <w:spacing w:val="-4"/>
          <w:sz w:val="20"/>
        </w:rPr>
        <w:t> </w:t>
      </w:r>
      <w:r>
        <w:rPr>
          <w:sz w:val="20"/>
        </w:rPr>
        <w:t>Tratado.</w:t>
      </w:r>
    </w:p>
    <w:p>
      <w:pPr>
        <w:pStyle w:val="BodyText"/>
        <w:spacing w:line="249" w:lineRule="auto" w:before="5"/>
        <w:ind w:right="1272"/>
      </w:pPr>
      <w:r>
        <w:rPr/>
        <w:t>Con carácter previo a la aplicación de lo establecido en los dos párrafos anteriores la entidad contratante deberá justificar con razones objetivas la adjudicación de un solo contrato. Esta decisión en ningún caso podrá tomarse con el fin de excluir los contratos de la aplicación del presente real decreto-ley.</w:t>
      </w:r>
    </w:p>
    <w:p>
      <w:pPr>
        <w:pStyle w:val="BodyText"/>
        <w:spacing w:before="6"/>
        <w:ind w:left="0" w:firstLine="0"/>
        <w:jc w:val="left"/>
      </w:pPr>
    </w:p>
    <w:p>
      <w:pPr>
        <w:spacing w:before="0"/>
        <w:ind w:left="1074" w:right="0" w:firstLine="0"/>
        <w:jc w:val="both"/>
        <w:rPr>
          <w:i/>
          <w:sz w:val="20"/>
        </w:rPr>
      </w:pPr>
      <w:bookmarkStart w:name="Artículo 24. Contratos con empresas asoc" w:id="45"/>
      <w:bookmarkEnd w:id="45"/>
      <w:r>
        <w:rPr/>
      </w:r>
      <w:r>
        <w:rPr>
          <w:b/>
          <w:sz w:val="20"/>
        </w:rPr>
        <w:t>Artículo 24. </w:t>
      </w:r>
      <w:r>
        <w:rPr>
          <w:i/>
          <w:sz w:val="20"/>
        </w:rPr>
        <w:t>Contratos con empresas asociadas y con empresas conjuntas.</w:t>
      </w:r>
    </w:p>
    <w:p>
      <w:pPr>
        <w:pStyle w:val="ListParagraph"/>
        <w:numPr>
          <w:ilvl w:val="0"/>
          <w:numId w:val="51"/>
        </w:numPr>
        <w:tabs>
          <w:tab w:pos="1637" w:val="left" w:leader="none"/>
        </w:tabs>
        <w:spacing w:line="240" w:lineRule="auto" w:before="117" w:after="0"/>
        <w:ind w:left="1636" w:right="0" w:hanging="223"/>
        <w:jc w:val="left"/>
        <w:rPr>
          <w:sz w:val="20"/>
        </w:rPr>
      </w:pPr>
      <w:r>
        <w:rPr>
          <w:sz w:val="20"/>
        </w:rPr>
        <w:t>El presente real decreto-ley no se aplicará a los contratos</w:t>
      </w:r>
      <w:r>
        <w:rPr>
          <w:spacing w:val="-13"/>
          <w:sz w:val="20"/>
        </w:rPr>
        <w:t> </w:t>
      </w:r>
      <w:r>
        <w:rPr>
          <w:sz w:val="20"/>
        </w:rPr>
        <w:t>adjudicados:</w:t>
      </w:r>
    </w:p>
    <w:p>
      <w:pPr>
        <w:spacing w:after="0" w:line="240"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52"/>
        </w:numPr>
        <w:tabs>
          <w:tab w:pos="1669" w:val="left" w:leader="none"/>
        </w:tabs>
        <w:spacing w:line="249" w:lineRule="auto" w:before="126" w:after="0"/>
        <w:ind w:left="1074" w:right="1272" w:firstLine="340"/>
        <w:jc w:val="both"/>
        <w:rPr>
          <w:sz w:val="20"/>
        </w:rPr>
      </w:pPr>
      <w:r>
        <w:rPr>
          <w:sz w:val="20"/>
        </w:rPr>
        <w:t>Por una entidad contratante a una empresa asociada, entendiéndose como tal a los efectos de este real decreto-ley la empresa que, en virtud del artículo 42 del Código de Comercio presente cuentas anuales consolidadas con las de la entidad contratante. Se entenderá, asimismo, como empresa asociada, en el supuesto de entidades que no estén obligadas a presentar cuentas consolidadas, aquella sobre la cual la entidad contratante que no sea poder adjudicador pueda ejercer, directa o indirectamente, una influencia dominante, según se define en el artículo 5.2. letra c), o que pueda ejercer una influencia dominante sobre la entidad contratante, o que, como la entidad contratante, esté sometida a la influencia dominante de otra empresa por razón de propiedad o participación financiera o en virtud de las normas que las</w:t>
      </w:r>
      <w:r>
        <w:rPr>
          <w:spacing w:val="-6"/>
          <w:sz w:val="20"/>
        </w:rPr>
        <w:t> </w:t>
      </w:r>
      <w:r>
        <w:rPr>
          <w:sz w:val="20"/>
        </w:rPr>
        <w:t>rigen.</w:t>
      </w:r>
    </w:p>
    <w:p>
      <w:pPr>
        <w:pStyle w:val="ListParagraph"/>
        <w:numPr>
          <w:ilvl w:val="0"/>
          <w:numId w:val="52"/>
        </w:numPr>
        <w:tabs>
          <w:tab w:pos="1759" w:val="left" w:leader="none"/>
        </w:tabs>
        <w:spacing w:line="249" w:lineRule="auto" w:before="8" w:after="0"/>
        <w:ind w:left="1074" w:right="1275" w:firstLine="340"/>
        <w:jc w:val="both"/>
        <w:rPr>
          <w:sz w:val="20"/>
        </w:rPr>
      </w:pPr>
      <w:r>
        <w:rPr>
          <w:sz w:val="20"/>
        </w:rPr>
        <w:t>Por una empresa conjunta, constituida exclusivamente por varias entidades contratantes con el fin de desarrollar las actividades contempladas en los artículos 8 a 14, a una empresa asociada a una de dichas entidades</w:t>
      </w:r>
      <w:r>
        <w:rPr>
          <w:spacing w:val="-13"/>
          <w:sz w:val="20"/>
        </w:rPr>
        <w:t> </w:t>
      </w:r>
      <w:r>
        <w:rPr>
          <w:sz w:val="20"/>
        </w:rPr>
        <w:t>contratantes.</w:t>
      </w:r>
    </w:p>
    <w:p>
      <w:pPr>
        <w:pStyle w:val="ListParagraph"/>
        <w:numPr>
          <w:ilvl w:val="0"/>
          <w:numId w:val="51"/>
        </w:numPr>
        <w:tabs>
          <w:tab w:pos="1637" w:val="left" w:leader="none"/>
        </w:tabs>
        <w:spacing w:line="240" w:lineRule="auto" w:before="123" w:after="0"/>
        <w:ind w:left="1636" w:right="0" w:hanging="223"/>
        <w:jc w:val="both"/>
        <w:rPr>
          <w:sz w:val="20"/>
        </w:rPr>
      </w:pPr>
      <w:r>
        <w:rPr>
          <w:sz w:val="20"/>
        </w:rPr>
        <w:t>El apartado anterior será de</w:t>
      </w:r>
      <w:r>
        <w:rPr>
          <w:spacing w:val="-5"/>
          <w:sz w:val="20"/>
        </w:rPr>
        <w:t> </w:t>
      </w:r>
      <w:r>
        <w:rPr>
          <w:sz w:val="20"/>
        </w:rPr>
        <w:t>aplicación:</w:t>
      </w:r>
    </w:p>
    <w:p>
      <w:pPr>
        <w:pStyle w:val="ListParagraph"/>
        <w:numPr>
          <w:ilvl w:val="0"/>
          <w:numId w:val="53"/>
        </w:numPr>
        <w:tabs>
          <w:tab w:pos="1658" w:val="left" w:leader="none"/>
        </w:tabs>
        <w:spacing w:line="249" w:lineRule="auto" w:before="130" w:after="0"/>
        <w:ind w:left="1074" w:right="1271" w:firstLine="340"/>
        <w:jc w:val="both"/>
        <w:rPr>
          <w:sz w:val="20"/>
        </w:rPr>
      </w:pPr>
      <w:r>
        <w:rPr>
          <w:sz w:val="20"/>
        </w:rPr>
        <w:t>A los contratos de servicios y contratos de concesión de servicios, siempre que como mínimo el 80 por 100 del promedio del volumen de negocios que la empresa asociada haya efectuado en los últimos tres años en materia de servicios provenga de la prestación de estos servicios a las empresas con las que esté</w:t>
      </w:r>
      <w:r>
        <w:rPr>
          <w:spacing w:val="-11"/>
          <w:sz w:val="20"/>
        </w:rPr>
        <w:t> </w:t>
      </w:r>
      <w:r>
        <w:rPr>
          <w:sz w:val="20"/>
        </w:rPr>
        <w:t>asociada.</w:t>
      </w:r>
    </w:p>
    <w:p>
      <w:pPr>
        <w:pStyle w:val="ListParagraph"/>
        <w:numPr>
          <w:ilvl w:val="0"/>
          <w:numId w:val="53"/>
        </w:numPr>
        <w:tabs>
          <w:tab w:pos="1664" w:val="left" w:leader="none"/>
        </w:tabs>
        <w:spacing w:line="249" w:lineRule="auto" w:before="3" w:after="0"/>
        <w:ind w:left="1074" w:right="1272" w:firstLine="340"/>
        <w:jc w:val="both"/>
        <w:rPr>
          <w:sz w:val="20"/>
        </w:rPr>
      </w:pPr>
      <w:r>
        <w:rPr>
          <w:sz w:val="20"/>
        </w:rPr>
        <w:t>A los contratos de suministro, siempre que como mínimo el 80 por 100 del promedio del volumen de negocios que la empresa asociada haya efectuado en los últimos tres años en materia de suministros provenga de la prestación de estos suministros a las empresas con las que esté</w:t>
      </w:r>
      <w:r>
        <w:rPr>
          <w:spacing w:val="-4"/>
          <w:sz w:val="20"/>
        </w:rPr>
        <w:t> </w:t>
      </w:r>
      <w:r>
        <w:rPr>
          <w:sz w:val="20"/>
        </w:rPr>
        <w:t>asociada.</w:t>
      </w:r>
    </w:p>
    <w:p>
      <w:pPr>
        <w:pStyle w:val="ListParagraph"/>
        <w:numPr>
          <w:ilvl w:val="0"/>
          <w:numId w:val="53"/>
        </w:numPr>
        <w:tabs>
          <w:tab w:pos="1643" w:val="left" w:leader="none"/>
        </w:tabs>
        <w:spacing w:line="249" w:lineRule="auto" w:before="3" w:after="0"/>
        <w:ind w:left="1074" w:right="1271" w:firstLine="340"/>
        <w:jc w:val="both"/>
        <w:rPr>
          <w:sz w:val="20"/>
        </w:rPr>
      </w:pPr>
      <w:r>
        <w:rPr>
          <w:sz w:val="20"/>
        </w:rPr>
        <w:t>A los contratos de obras y contratos de concesión de obra, siempre que como mínimo el 80 por 100 del promedio del volumen de negocios que la empresa asociada haya efectuado en los últimos tres años en materia de obras provenga de la prestación de estas obras a las empresas con las que esté</w:t>
      </w:r>
      <w:r>
        <w:rPr>
          <w:spacing w:val="-10"/>
          <w:sz w:val="20"/>
        </w:rPr>
        <w:t> </w:t>
      </w:r>
      <w:r>
        <w:rPr>
          <w:sz w:val="20"/>
        </w:rPr>
        <w:t>asociada.</w:t>
      </w:r>
    </w:p>
    <w:p>
      <w:pPr>
        <w:pStyle w:val="BodyText"/>
        <w:spacing w:line="249" w:lineRule="auto" w:before="124"/>
        <w:ind w:right="1273"/>
      </w:pPr>
      <w:r>
        <w:rPr/>
        <w:t>Cuando no se disponga del volumen de negocios de los tres últimos años, debido a la fecha de creación o de inicio de las actividades de la empresa asociada, será suficiente que dicha empresa demuestre que la realización del volumen de negocios exigidos sea verosímil, en especial mediante proyecciones de actividades.</w:t>
      </w:r>
    </w:p>
    <w:p>
      <w:pPr>
        <w:pStyle w:val="BodyText"/>
        <w:spacing w:line="249" w:lineRule="auto" w:before="3"/>
        <w:ind w:right="1272"/>
      </w:pPr>
      <w:r>
        <w:rPr/>
        <w:t>Cuando más de una empresa asociada a la entidad contratante preste obras, servicios o suministros, idénticos o similares, los porcentajes mencionados se calcularán teniendo en cuenta el volumen de negocios total resultante respectivamente de la realización de obras, prestación de servicios o suministros por dichas empresas asociadas.</w:t>
      </w:r>
    </w:p>
    <w:p>
      <w:pPr>
        <w:pStyle w:val="BodyText"/>
        <w:spacing w:line="249" w:lineRule="auto" w:before="3"/>
        <w:ind w:right="1275"/>
      </w:pPr>
      <w:r>
        <w:rPr/>
        <w:t>El cumplimiento del requisito establecido en las letras a), b) y c) anteriores deberá quedar reflejado en la Memoria integrante de las Cuentas Anuales de la empresa asociada y, cuando la empresa tenga obligación de auditarse, el mismo será objeto de valoración en el informe de</w:t>
      </w:r>
      <w:r>
        <w:rPr>
          <w:spacing w:val="-3"/>
        </w:rPr>
        <w:t> </w:t>
      </w:r>
      <w:r>
        <w:rPr/>
        <w:t>auditoría.</w:t>
      </w:r>
    </w:p>
    <w:p>
      <w:pPr>
        <w:pStyle w:val="ListParagraph"/>
        <w:numPr>
          <w:ilvl w:val="0"/>
          <w:numId w:val="51"/>
        </w:numPr>
        <w:tabs>
          <w:tab w:pos="1637" w:val="left" w:leader="none"/>
        </w:tabs>
        <w:spacing w:line="240" w:lineRule="auto" w:before="3" w:after="0"/>
        <w:ind w:left="1636" w:right="0" w:hanging="223"/>
        <w:jc w:val="both"/>
        <w:rPr>
          <w:sz w:val="20"/>
        </w:rPr>
      </w:pPr>
      <w:r>
        <w:rPr>
          <w:sz w:val="20"/>
        </w:rPr>
        <w:t>El presente real decreto-ley no se aplicará a los contratos</w:t>
      </w:r>
      <w:r>
        <w:rPr>
          <w:spacing w:val="-13"/>
          <w:sz w:val="20"/>
        </w:rPr>
        <w:t> </w:t>
      </w:r>
      <w:r>
        <w:rPr>
          <w:sz w:val="20"/>
        </w:rPr>
        <w:t>adjudicados:</w:t>
      </w:r>
    </w:p>
    <w:p>
      <w:pPr>
        <w:pStyle w:val="ListParagraph"/>
        <w:numPr>
          <w:ilvl w:val="0"/>
          <w:numId w:val="54"/>
        </w:numPr>
        <w:tabs>
          <w:tab w:pos="1759" w:val="left" w:leader="none"/>
        </w:tabs>
        <w:spacing w:line="249" w:lineRule="auto" w:before="131" w:after="0"/>
        <w:ind w:left="1074" w:right="1274" w:firstLine="340"/>
        <w:jc w:val="both"/>
        <w:rPr>
          <w:sz w:val="20"/>
        </w:rPr>
      </w:pPr>
      <w:r>
        <w:rPr>
          <w:sz w:val="20"/>
        </w:rPr>
        <w:t>Por una empresa conjunta, constituida exclusivamente por varias entidades contratantes con el fin de desarrollar las actividades contempladas en los artículos 8 a 14, a una de dichas entidades</w:t>
      </w:r>
      <w:r>
        <w:rPr>
          <w:spacing w:val="-5"/>
          <w:sz w:val="20"/>
        </w:rPr>
        <w:t> </w:t>
      </w:r>
      <w:r>
        <w:rPr>
          <w:sz w:val="20"/>
        </w:rPr>
        <w:t>contratantes.</w:t>
      </w:r>
    </w:p>
    <w:p>
      <w:pPr>
        <w:pStyle w:val="ListParagraph"/>
        <w:numPr>
          <w:ilvl w:val="0"/>
          <w:numId w:val="54"/>
        </w:numPr>
        <w:tabs>
          <w:tab w:pos="1666" w:val="left" w:leader="none"/>
        </w:tabs>
        <w:spacing w:line="249" w:lineRule="auto" w:before="2" w:after="0"/>
        <w:ind w:left="1074" w:right="1273" w:firstLine="340"/>
        <w:jc w:val="both"/>
        <w:rPr>
          <w:sz w:val="20"/>
        </w:rPr>
      </w:pPr>
      <w:r>
        <w:rPr>
          <w:sz w:val="20"/>
        </w:rPr>
        <w:t>Por una entidad contratante a una empresa conjunta de la que forme parte, siempre que la empresa conjunta se haya constituido para desarrollar la actividad de que se trate durante un período mínimo de tres años y que el instrumento por el que se haya constituido la empresa conjunta estipule que las entidades contratantes que la constituyen serán parte de la misma al menos durante el mismo</w:t>
      </w:r>
      <w:r>
        <w:rPr>
          <w:spacing w:val="-7"/>
          <w:sz w:val="20"/>
        </w:rPr>
        <w:t> </w:t>
      </w:r>
      <w:r>
        <w:rPr>
          <w:sz w:val="20"/>
        </w:rPr>
        <w:t>período.</w:t>
      </w:r>
    </w:p>
    <w:p>
      <w:pPr>
        <w:pStyle w:val="ListParagraph"/>
        <w:numPr>
          <w:ilvl w:val="0"/>
          <w:numId w:val="51"/>
        </w:numPr>
        <w:tabs>
          <w:tab w:pos="1674" w:val="left" w:leader="none"/>
        </w:tabs>
        <w:spacing w:line="249" w:lineRule="auto" w:before="124" w:after="0"/>
        <w:ind w:left="1074" w:right="1273" w:firstLine="340"/>
        <w:jc w:val="both"/>
        <w:rPr>
          <w:sz w:val="20"/>
        </w:rPr>
      </w:pPr>
      <w:r>
        <w:rPr>
          <w:sz w:val="20"/>
        </w:rPr>
        <w:t>Cuando las entidades contratantes apliquen alguno de los supuestos a que hacen referencia los apartados 1, 2 y 3 comunicarán a la Comisión Europea, a petición de esta, las siguientes</w:t>
      </w:r>
      <w:r>
        <w:rPr>
          <w:spacing w:val="-1"/>
          <w:sz w:val="20"/>
        </w:rPr>
        <w:t> </w:t>
      </w:r>
      <w:r>
        <w:rPr>
          <w:sz w:val="20"/>
        </w:rPr>
        <w:t>informaciones:</w:t>
      </w:r>
    </w:p>
    <w:p>
      <w:pPr>
        <w:pStyle w:val="ListParagraph"/>
        <w:numPr>
          <w:ilvl w:val="0"/>
          <w:numId w:val="55"/>
        </w:numPr>
        <w:tabs>
          <w:tab w:pos="1648" w:val="left" w:leader="none"/>
        </w:tabs>
        <w:spacing w:line="240" w:lineRule="auto" w:before="123" w:after="0"/>
        <w:ind w:left="1647" w:right="0" w:hanging="234"/>
        <w:jc w:val="both"/>
        <w:rPr>
          <w:sz w:val="20"/>
        </w:rPr>
      </w:pPr>
      <w:r>
        <w:rPr>
          <w:sz w:val="20"/>
        </w:rPr>
        <w:t>El nombre de las empresas o empresas conjuntas de que se</w:t>
      </w:r>
      <w:r>
        <w:rPr>
          <w:spacing w:val="-13"/>
          <w:sz w:val="20"/>
        </w:rPr>
        <w:t> </w:t>
      </w:r>
      <w:r>
        <w:rPr>
          <w:sz w:val="20"/>
        </w:rPr>
        <w:t>trate.</w:t>
      </w:r>
    </w:p>
    <w:p>
      <w:pPr>
        <w:pStyle w:val="ListParagraph"/>
        <w:numPr>
          <w:ilvl w:val="0"/>
          <w:numId w:val="55"/>
        </w:numPr>
        <w:tabs>
          <w:tab w:pos="1648" w:val="left" w:leader="none"/>
        </w:tabs>
        <w:spacing w:line="240" w:lineRule="auto" w:before="10" w:after="0"/>
        <w:ind w:left="1647" w:right="0" w:hanging="234"/>
        <w:jc w:val="both"/>
        <w:rPr>
          <w:sz w:val="20"/>
        </w:rPr>
      </w:pPr>
      <w:r>
        <w:rPr>
          <w:sz w:val="20"/>
        </w:rPr>
        <w:t>La naturaleza y el valor de los contratos de que se</w:t>
      </w:r>
      <w:r>
        <w:rPr>
          <w:spacing w:val="-10"/>
          <w:sz w:val="20"/>
        </w:rPr>
        <w:t> </w:t>
      </w:r>
      <w:r>
        <w:rPr>
          <w:sz w:val="20"/>
        </w:rPr>
        <w:t>trate.</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55"/>
        </w:numPr>
        <w:tabs>
          <w:tab w:pos="1668" w:val="left" w:leader="none"/>
        </w:tabs>
        <w:spacing w:line="249" w:lineRule="auto" w:before="127" w:after="0"/>
        <w:ind w:left="1074" w:right="1273" w:firstLine="340"/>
        <w:jc w:val="both"/>
        <w:rPr>
          <w:sz w:val="20"/>
        </w:rPr>
      </w:pPr>
      <w:r>
        <w:rPr>
          <w:sz w:val="20"/>
        </w:rPr>
        <w:t>Los elementos que la Comisión Europea considere necesarios para probar que las relaciones entre la entidad contratante y la empresa o la empresa conjunta a la que se adjudiquen los contratos cumplen los requisitos del presente</w:t>
      </w:r>
      <w:r>
        <w:rPr>
          <w:spacing w:val="-11"/>
          <w:sz w:val="20"/>
        </w:rPr>
        <w:t> </w:t>
      </w:r>
      <w:r>
        <w:rPr>
          <w:sz w:val="20"/>
        </w:rPr>
        <w:t>artículo.</w:t>
      </w:r>
    </w:p>
    <w:p>
      <w:pPr>
        <w:pStyle w:val="ListParagraph"/>
        <w:numPr>
          <w:ilvl w:val="0"/>
          <w:numId w:val="51"/>
        </w:numPr>
        <w:tabs>
          <w:tab w:pos="1716" w:val="left" w:leader="none"/>
        </w:tabs>
        <w:spacing w:line="249" w:lineRule="auto" w:before="122" w:after="0"/>
        <w:ind w:left="1074" w:right="1274" w:firstLine="340"/>
        <w:jc w:val="both"/>
        <w:rPr>
          <w:sz w:val="20"/>
        </w:rPr>
      </w:pPr>
      <w:r>
        <w:rPr>
          <w:sz w:val="20"/>
        </w:rPr>
        <w:t>Los negocios jurídicos que las empresas asociadas celebren en ejecución de contratos adjudicados de conformidad con lo dispuesto en los apartados 1 y 3 de este artículo, quedarán sometidos a este real decreto-ley, en los términos que sean procedentes, de acuerdo con la naturaleza de la entidad que los celebre y el tipo y valor estimado de los mismos.</w:t>
      </w:r>
    </w:p>
    <w:p>
      <w:pPr>
        <w:pStyle w:val="ListParagraph"/>
        <w:numPr>
          <w:ilvl w:val="0"/>
          <w:numId w:val="51"/>
        </w:numPr>
        <w:tabs>
          <w:tab w:pos="1660" w:val="left" w:leader="none"/>
        </w:tabs>
        <w:spacing w:line="249" w:lineRule="auto" w:before="4" w:after="0"/>
        <w:ind w:left="1074" w:right="1274" w:firstLine="340"/>
        <w:jc w:val="both"/>
        <w:rPr>
          <w:sz w:val="20"/>
        </w:rPr>
      </w:pPr>
      <w:r>
        <w:rPr>
          <w:sz w:val="20"/>
        </w:rPr>
        <w:t>Las entidades contratantes que no sean poder adjudicador fijarán los precios de los contratos a que se refieren los apartados 1, 2 y 3 del presente artículo, previa estimación del importe de la prestación o prestaciones objeto del mismo atendiendo a su precio general de mercado.</w:t>
      </w:r>
    </w:p>
    <w:p>
      <w:pPr>
        <w:pStyle w:val="BodyText"/>
        <w:spacing w:before="5"/>
        <w:ind w:left="0" w:firstLine="0"/>
        <w:jc w:val="left"/>
        <w:rPr>
          <w:sz w:val="25"/>
        </w:rPr>
      </w:pPr>
    </w:p>
    <w:p>
      <w:pPr>
        <w:pStyle w:val="BodyText"/>
        <w:spacing w:before="0"/>
        <w:ind w:left="1414" w:right="1612" w:firstLine="0"/>
        <w:jc w:val="center"/>
      </w:pPr>
      <w:bookmarkStart w:name="Subsección 3.ª Sistemas de cooperación p" w:id="46"/>
      <w:bookmarkEnd w:id="46"/>
      <w:r>
        <w:rPr/>
      </w:r>
      <w:bookmarkStart w:name="_bookmark10" w:id="47"/>
      <w:bookmarkEnd w:id="47"/>
      <w:r>
        <w:rPr/>
      </w:r>
      <w:r>
        <w:rPr/>
        <w:t>Subsección 3.ª Sistemas de cooperación pública excluidos</w:t>
      </w:r>
    </w:p>
    <w:p>
      <w:pPr>
        <w:pStyle w:val="BodyText"/>
        <w:spacing w:before="5"/>
        <w:ind w:left="0" w:firstLine="0"/>
        <w:jc w:val="left"/>
        <w:rPr>
          <w:sz w:val="30"/>
        </w:rPr>
      </w:pPr>
    </w:p>
    <w:p>
      <w:pPr>
        <w:spacing w:before="0"/>
        <w:ind w:left="1074" w:right="0" w:firstLine="0"/>
        <w:jc w:val="both"/>
        <w:rPr>
          <w:i/>
          <w:sz w:val="20"/>
        </w:rPr>
      </w:pPr>
      <w:bookmarkStart w:name="Artículo 25. Encargos a medios propios p" w:id="48"/>
      <w:bookmarkEnd w:id="48"/>
      <w:r>
        <w:rPr/>
      </w:r>
      <w:r>
        <w:rPr>
          <w:b/>
          <w:sz w:val="20"/>
        </w:rPr>
        <w:t>Artículo 25. </w:t>
      </w:r>
      <w:r>
        <w:rPr>
          <w:i/>
          <w:sz w:val="20"/>
        </w:rPr>
        <w:t>Encargos a medios propios personificados.</w:t>
      </w:r>
    </w:p>
    <w:p>
      <w:pPr>
        <w:pStyle w:val="BodyText"/>
        <w:spacing w:line="249" w:lineRule="auto" w:before="118"/>
        <w:ind w:right="1273"/>
      </w:pPr>
      <w:r>
        <w:rPr/>
        <w:t>Las entidades contratantes que sean poderes adjudicadores podrán organizarse ejecutando de manera directa prestaciones propias de los contratos de obras, suministros, servicios, concesión de obras y concesión de servicios que no impliquen el ejercicio de una potestad pública, a cambio de una compensación tarifaria, valiéndose de otra persona jurídica distinta a ellos, ya sea de derecho público o de derecho privado, previo encargo a esta,</w:t>
      </w:r>
      <w:r>
        <w:rPr>
          <w:spacing w:val="-3"/>
        </w:rPr>
        <w:t> </w:t>
      </w:r>
      <w:r>
        <w:rPr/>
        <w:t>con</w:t>
      </w:r>
      <w:r>
        <w:rPr>
          <w:spacing w:val="-2"/>
        </w:rPr>
        <w:t> </w:t>
      </w:r>
      <w:r>
        <w:rPr/>
        <w:t>sujeción</w:t>
      </w:r>
      <w:r>
        <w:rPr>
          <w:spacing w:val="-1"/>
        </w:rPr>
        <w:t> </w:t>
      </w:r>
      <w:r>
        <w:rPr/>
        <w:t>a</w:t>
      </w:r>
      <w:r>
        <w:rPr>
          <w:spacing w:val="-3"/>
        </w:rPr>
        <w:t> </w:t>
      </w:r>
      <w:r>
        <w:rPr/>
        <w:t>lo</w:t>
      </w:r>
      <w:r>
        <w:rPr>
          <w:spacing w:val="-2"/>
        </w:rPr>
        <w:t> </w:t>
      </w:r>
      <w:r>
        <w:rPr/>
        <w:t>dispuesto</w:t>
      </w:r>
      <w:r>
        <w:rPr>
          <w:spacing w:val="-3"/>
        </w:rPr>
        <w:t> </w:t>
      </w:r>
      <w:r>
        <w:rPr/>
        <w:t>en</w:t>
      </w:r>
      <w:r>
        <w:rPr>
          <w:spacing w:val="-3"/>
        </w:rPr>
        <w:t> </w:t>
      </w:r>
      <w:r>
        <w:rPr/>
        <w:t>el</w:t>
      </w:r>
      <w:r>
        <w:rPr>
          <w:spacing w:val="-2"/>
        </w:rPr>
        <w:t> </w:t>
      </w:r>
      <w:r>
        <w:rPr/>
        <w:t>artículo</w:t>
      </w:r>
      <w:r>
        <w:rPr>
          <w:spacing w:val="-3"/>
        </w:rPr>
        <w:t> </w:t>
      </w:r>
      <w:r>
        <w:rPr/>
        <w:t>32</w:t>
      </w:r>
      <w:r>
        <w:rPr>
          <w:spacing w:val="-2"/>
        </w:rPr>
        <w:t> </w:t>
      </w:r>
      <w:r>
        <w:rPr/>
        <w:t>de</w:t>
      </w:r>
      <w:r>
        <w:rPr>
          <w:spacing w:val="-3"/>
        </w:rPr>
        <w:t> </w:t>
      </w:r>
      <w:r>
        <w:rPr/>
        <w:t>la</w:t>
      </w:r>
      <w:r>
        <w:rPr>
          <w:spacing w:val="-3"/>
        </w:rPr>
        <w:t> </w:t>
      </w:r>
      <w:r>
        <w:rPr/>
        <w:t>Ley</w:t>
      </w:r>
      <w:r>
        <w:rPr>
          <w:spacing w:val="-2"/>
        </w:rPr>
        <w:t> </w:t>
      </w:r>
      <w:r>
        <w:rPr/>
        <w:t>9/2017,</w:t>
      </w:r>
      <w:r>
        <w:rPr>
          <w:spacing w:val="-3"/>
        </w:rPr>
        <w:t> </w:t>
      </w:r>
      <w:r>
        <w:rPr/>
        <w:t>de</w:t>
      </w:r>
      <w:r>
        <w:rPr>
          <w:spacing w:val="-2"/>
        </w:rPr>
        <w:t> </w:t>
      </w:r>
      <w:r>
        <w:rPr/>
        <w:t>8</w:t>
      </w:r>
      <w:r>
        <w:rPr>
          <w:spacing w:val="-3"/>
        </w:rPr>
        <w:t> </w:t>
      </w:r>
      <w:r>
        <w:rPr/>
        <w:t>de</w:t>
      </w:r>
      <w:r>
        <w:rPr>
          <w:spacing w:val="-3"/>
        </w:rPr>
        <w:t> </w:t>
      </w:r>
      <w:r>
        <w:rPr/>
        <w:t>noviembre.</w:t>
      </w:r>
    </w:p>
    <w:p>
      <w:pPr>
        <w:pStyle w:val="BodyText"/>
        <w:spacing w:before="7"/>
        <w:ind w:left="0" w:firstLine="0"/>
        <w:jc w:val="left"/>
      </w:pPr>
    </w:p>
    <w:p>
      <w:pPr>
        <w:spacing w:before="1"/>
        <w:ind w:left="1074" w:right="0" w:firstLine="0"/>
        <w:jc w:val="both"/>
        <w:rPr>
          <w:i/>
          <w:sz w:val="20"/>
        </w:rPr>
      </w:pPr>
      <w:bookmarkStart w:name="Artículo 26. Convenios." w:id="49"/>
      <w:bookmarkEnd w:id="49"/>
      <w:r>
        <w:rPr/>
      </w:r>
      <w:r>
        <w:rPr>
          <w:b/>
          <w:sz w:val="20"/>
        </w:rPr>
        <w:t>Artículo 26.</w:t>
      </w:r>
      <w:r>
        <w:rPr>
          <w:b/>
          <w:spacing w:val="54"/>
          <w:sz w:val="20"/>
        </w:rPr>
        <w:t> </w:t>
      </w:r>
      <w:r>
        <w:rPr>
          <w:i/>
          <w:sz w:val="20"/>
        </w:rPr>
        <w:t>Convenios.</w:t>
      </w:r>
    </w:p>
    <w:p>
      <w:pPr>
        <w:pStyle w:val="BodyText"/>
        <w:spacing w:line="249" w:lineRule="auto" w:before="117"/>
        <w:ind w:right="1273"/>
      </w:pPr>
      <w:r>
        <w:rPr/>
        <w:t>Los convenios que se celebren entre entidades contratantes que sean poder adjudicador y que sean independientes entre sí por no existir entre ellos relación alguna de control directo o indirecto, quedan excluidos del ámbito de aplicación de este real decreto-ley siempre que su contenido no esté comprendido en el de los contratos regulados en este real decreto-ley o en normas administrativas</w:t>
      </w:r>
      <w:r>
        <w:rPr>
          <w:spacing w:val="-8"/>
        </w:rPr>
        <w:t> </w:t>
      </w:r>
      <w:r>
        <w:rPr/>
        <w:t>especiales.</w:t>
      </w:r>
    </w:p>
    <w:p>
      <w:pPr>
        <w:pStyle w:val="BodyText"/>
        <w:spacing w:line="249" w:lineRule="auto" w:before="4"/>
        <w:ind w:right="1272"/>
      </w:pPr>
      <w:r>
        <w:rPr/>
        <w:t>La exclusión a que se refiere el párrafo anterior requerirá el cumplimiento de todas y cada una de las siguientes</w:t>
      </w:r>
      <w:r>
        <w:rPr>
          <w:spacing w:val="-4"/>
        </w:rPr>
        <w:t> </w:t>
      </w:r>
      <w:r>
        <w:rPr/>
        <w:t>condiciones:</w:t>
      </w:r>
    </w:p>
    <w:p>
      <w:pPr>
        <w:pStyle w:val="ListParagraph"/>
        <w:numPr>
          <w:ilvl w:val="0"/>
          <w:numId w:val="56"/>
        </w:numPr>
        <w:tabs>
          <w:tab w:pos="1727" w:val="left" w:leader="none"/>
        </w:tabs>
        <w:spacing w:line="249" w:lineRule="auto" w:before="122" w:after="0"/>
        <w:ind w:left="1074" w:right="1273" w:firstLine="340"/>
        <w:jc w:val="both"/>
        <w:rPr>
          <w:sz w:val="20"/>
        </w:rPr>
      </w:pPr>
      <w:r>
        <w:rPr>
          <w:sz w:val="20"/>
        </w:rPr>
        <w:t>Que el convenio establezca o desarrolle una cooperación entre las entidades contratantes con el objetivo de garantizar que los servicios públicos que les competen se prestan de modo que se logren los objetivos que tienen en</w:t>
      </w:r>
      <w:r>
        <w:rPr>
          <w:spacing w:val="-14"/>
          <w:sz w:val="20"/>
        </w:rPr>
        <w:t> </w:t>
      </w:r>
      <w:r>
        <w:rPr>
          <w:sz w:val="20"/>
        </w:rPr>
        <w:t>común;</w:t>
      </w:r>
    </w:p>
    <w:p>
      <w:pPr>
        <w:pStyle w:val="ListParagraph"/>
        <w:numPr>
          <w:ilvl w:val="0"/>
          <w:numId w:val="56"/>
        </w:numPr>
        <w:tabs>
          <w:tab w:pos="1700" w:val="left" w:leader="none"/>
        </w:tabs>
        <w:spacing w:line="249" w:lineRule="auto" w:before="2" w:after="0"/>
        <w:ind w:left="1074" w:right="1274" w:firstLine="340"/>
        <w:jc w:val="both"/>
        <w:rPr>
          <w:sz w:val="20"/>
        </w:rPr>
      </w:pPr>
      <w:r>
        <w:rPr>
          <w:sz w:val="20"/>
        </w:rPr>
        <w:t>Que el desarrollo de dicha cooperación se guíe únicamente por consideraciones relacionadas con el interés</w:t>
      </w:r>
      <w:r>
        <w:rPr>
          <w:spacing w:val="-3"/>
          <w:sz w:val="20"/>
        </w:rPr>
        <w:t> </w:t>
      </w:r>
      <w:r>
        <w:rPr>
          <w:sz w:val="20"/>
        </w:rPr>
        <w:t>público;</w:t>
      </w:r>
    </w:p>
    <w:p>
      <w:pPr>
        <w:pStyle w:val="ListParagraph"/>
        <w:numPr>
          <w:ilvl w:val="0"/>
          <w:numId w:val="56"/>
        </w:numPr>
        <w:tabs>
          <w:tab w:pos="1684" w:val="left" w:leader="none"/>
        </w:tabs>
        <w:spacing w:line="249" w:lineRule="auto" w:before="2" w:after="0"/>
        <w:ind w:left="1074" w:right="1272" w:firstLine="340"/>
        <w:jc w:val="both"/>
        <w:rPr>
          <w:sz w:val="20"/>
        </w:rPr>
      </w:pPr>
      <w:r>
        <w:rPr>
          <w:sz w:val="20"/>
        </w:rPr>
        <w:t>Que las citadas entidades no tengan vocación de mercado, la cual se presumirá cuando realicen en el mercado abierto un porcentaje igual o superior al 20 por ciento de las actividades objeto de la colaboración. El cálculo de este porcentaje se hará de conformidad con lo establecido en el artículo 6.1, segundo párrafo, letra a) de la Ley 9/2017, de 8 de noviembre.</w:t>
      </w:r>
    </w:p>
    <w:p>
      <w:pPr>
        <w:pStyle w:val="BodyText"/>
        <w:spacing w:line="249" w:lineRule="auto" w:before="124"/>
        <w:ind w:right="1274"/>
      </w:pPr>
      <w:r>
        <w:rPr/>
        <w:t>A efectos de lo dispuesto en la letra c) del párrafo anterior, las entidades contratantes pertenecientes al Sector Público participantes en el convenio efectuarán una declaración responsable que formará parte de la documentación del convenio a suscribir.</w:t>
      </w:r>
    </w:p>
    <w:p>
      <w:pPr>
        <w:pStyle w:val="BodyText"/>
        <w:spacing w:before="3"/>
        <w:ind w:left="0" w:firstLine="0"/>
        <w:jc w:val="left"/>
        <w:rPr>
          <w:sz w:val="30"/>
        </w:rPr>
      </w:pPr>
    </w:p>
    <w:p>
      <w:pPr>
        <w:pStyle w:val="BodyText"/>
        <w:spacing w:before="1"/>
        <w:ind w:left="2929" w:right="3127" w:firstLine="0"/>
        <w:jc w:val="center"/>
      </w:pPr>
      <w:bookmarkStart w:name="CAPÍTULO IV. Principios de contratación " w:id="50"/>
      <w:bookmarkEnd w:id="50"/>
      <w:r>
        <w:rPr/>
      </w:r>
      <w:bookmarkStart w:name="_bookmark11" w:id="51"/>
      <w:bookmarkEnd w:id="51"/>
      <w:r>
        <w:rPr/>
      </w:r>
      <w:r>
        <w:rPr/>
        <w:t>CAPÍTULO IV</w:t>
      </w:r>
    </w:p>
    <w:p>
      <w:pPr>
        <w:pStyle w:val="Heading1"/>
        <w:ind w:left="2929"/>
      </w:pPr>
      <w:r>
        <w:rPr/>
        <w:t>Principios de contratación y confidencialidad</w:t>
      </w:r>
    </w:p>
    <w:p>
      <w:pPr>
        <w:pStyle w:val="BodyText"/>
        <w:spacing w:before="7"/>
        <w:ind w:left="0" w:firstLine="0"/>
        <w:jc w:val="left"/>
        <w:rPr>
          <w:b/>
        </w:rPr>
      </w:pPr>
    </w:p>
    <w:p>
      <w:pPr>
        <w:spacing w:before="0"/>
        <w:ind w:left="1074" w:right="0" w:firstLine="0"/>
        <w:jc w:val="both"/>
        <w:rPr>
          <w:i/>
          <w:sz w:val="20"/>
        </w:rPr>
      </w:pPr>
      <w:bookmarkStart w:name="Artículo 27. Principios de la contrataci" w:id="52"/>
      <w:bookmarkEnd w:id="52"/>
      <w:r>
        <w:rPr/>
      </w:r>
      <w:r>
        <w:rPr>
          <w:b/>
          <w:sz w:val="20"/>
        </w:rPr>
        <w:t>Artículo 27. </w:t>
      </w:r>
      <w:r>
        <w:rPr>
          <w:i/>
          <w:sz w:val="20"/>
        </w:rPr>
        <w:t>Principios de la contratación.</w:t>
      </w:r>
    </w:p>
    <w:p>
      <w:pPr>
        <w:pStyle w:val="ListParagraph"/>
        <w:numPr>
          <w:ilvl w:val="0"/>
          <w:numId w:val="57"/>
        </w:numPr>
        <w:tabs>
          <w:tab w:pos="1650" w:val="left" w:leader="none"/>
        </w:tabs>
        <w:spacing w:line="249" w:lineRule="auto" w:before="117" w:after="0"/>
        <w:ind w:left="1074" w:right="1274" w:firstLine="340"/>
        <w:jc w:val="both"/>
        <w:rPr>
          <w:sz w:val="20"/>
        </w:rPr>
      </w:pPr>
      <w:r>
        <w:rPr>
          <w:sz w:val="20"/>
        </w:rPr>
        <w:t>Los contratos que se adjudiquen y ejecuten en virtud del presente real decreto-ley se ajustarán a los principios de no discriminación, de reconocimiento mutuo, de proporcionalidad, de igualdad de trato, así como al principio de transparencia y de libre competencia.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En ningún caso podrá limitarse la participación por la forma jurídica o el ánimo de lucro en la contratación, salvo en los contratos reservados para entidades recogidas en el artículo 65, apartados 1 y</w:t>
      </w:r>
      <w:r>
        <w:rPr>
          <w:spacing w:val="-4"/>
        </w:rPr>
        <w:t> </w:t>
      </w:r>
      <w:r>
        <w:rPr/>
        <w:t>2.</w:t>
      </w:r>
    </w:p>
    <w:p>
      <w:pPr>
        <w:pStyle w:val="ListParagraph"/>
        <w:numPr>
          <w:ilvl w:val="0"/>
          <w:numId w:val="57"/>
        </w:numPr>
        <w:tabs>
          <w:tab w:pos="1704" w:val="left" w:leader="none"/>
        </w:tabs>
        <w:spacing w:line="249" w:lineRule="auto" w:before="2" w:after="0"/>
        <w:ind w:left="1074" w:right="1272" w:firstLine="340"/>
        <w:jc w:val="both"/>
        <w:rPr>
          <w:sz w:val="20"/>
        </w:rPr>
      </w:pPr>
      <w:r>
        <w:rPr>
          <w:sz w:val="20"/>
        </w:rPr>
        <w:t>En toda contratación sujeta a este real decreto-ley se incorporarán de manera transversal y preceptiva criterios sociales y medioambientales siempre que guarde relación con el objeto del contrato, en la convicción de que su inclusión proporciona una mejor relación calidad-precio en la prestación contractual, así como, en su caso, una mayor y mejor eficiencia en la utilización de los fondos públicos. Igualmente se facilitará el acceso a la contratación pública de las pequeñas y medianas empresas, así como de las empresas de economía</w:t>
      </w:r>
      <w:r>
        <w:rPr>
          <w:spacing w:val="-2"/>
          <w:sz w:val="20"/>
        </w:rPr>
        <w:t> </w:t>
      </w:r>
      <w:r>
        <w:rPr>
          <w:sz w:val="20"/>
        </w:rPr>
        <w:t>social.</w:t>
      </w:r>
    </w:p>
    <w:p>
      <w:pPr>
        <w:pStyle w:val="ListParagraph"/>
        <w:numPr>
          <w:ilvl w:val="0"/>
          <w:numId w:val="57"/>
        </w:numPr>
        <w:tabs>
          <w:tab w:pos="1681" w:val="left" w:leader="none"/>
        </w:tabs>
        <w:spacing w:line="249" w:lineRule="auto" w:before="6" w:after="0"/>
        <w:ind w:left="1074" w:right="1272" w:firstLine="340"/>
        <w:jc w:val="both"/>
        <w:rPr>
          <w:sz w:val="20"/>
        </w:rPr>
      </w:pPr>
      <w:r>
        <w:rPr>
          <w:sz w:val="20"/>
        </w:rPr>
        <w:t>Se evitará en la contratación cualquier práctica que tenga por objeto, produzca o pueda producir el efecto de impedir, restringir o falsear la competencia en el proceso de contratación.</w:t>
      </w:r>
    </w:p>
    <w:p>
      <w:pPr>
        <w:pStyle w:val="BodyText"/>
        <w:spacing w:line="249" w:lineRule="auto"/>
        <w:ind w:right="1275"/>
      </w:pPr>
      <w:r>
        <w:rPr/>
        <w:t>La contratación no será concebida con la intención de inaplicar las previsiones de este decreto-ley ni de restringir artificialmente la competencia. Se considerará que la competencia está artificialmente restringida cuando la contratación se haya concebido con la intención de favorecer o perjudicar indebidamente a determinados operadores económicos.</w:t>
      </w:r>
    </w:p>
    <w:p>
      <w:pPr>
        <w:pStyle w:val="ListParagraph"/>
        <w:numPr>
          <w:ilvl w:val="0"/>
          <w:numId w:val="57"/>
        </w:numPr>
        <w:tabs>
          <w:tab w:pos="1639" w:val="left" w:leader="none"/>
        </w:tabs>
        <w:spacing w:line="249" w:lineRule="auto" w:before="4" w:after="0"/>
        <w:ind w:left="1074" w:right="1273" w:firstLine="340"/>
        <w:jc w:val="both"/>
        <w:rPr>
          <w:sz w:val="20"/>
        </w:rPr>
      </w:pPr>
      <w:r>
        <w:rPr>
          <w:sz w:val="20"/>
        </w:rPr>
        <w:t>Las entidades contratantes tomarán las medidas apropiadas para garantizar que, en la ejecución de sus contratos, los operadores económicos cumplen las obligaciones aplicables en materia medioambiental, social o laboral establecidas en el Derecho de la Unión Europea, en el Derecho nacional, en los convenios colectivos o por las disposiciones de Derecho internacional medioambiental, social y laboral que vinculen a España y, en particular, las establecidas en el anexo</w:t>
      </w:r>
      <w:r>
        <w:rPr>
          <w:spacing w:val="-5"/>
          <w:sz w:val="20"/>
        </w:rPr>
        <w:t> </w:t>
      </w:r>
      <w:r>
        <w:rPr>
          <w:sz w:val="20"/>
        </w:rPr>
        <w:t>XI.</w:t>
      </w:r>
    </w:p>
    <w:p>
      <w:pPr>
        <w:pStyle w:val="BodyText"/>
        <w:spacing w:line="249" w:lineRule="auto" w:before="4"/>
        <w:ind w:right="1274"/>
      </w:pPr>
      <w:r>
        <w:rPr/>
        <w:t>Lo indicado en el párrafo anterior se establece sin perjuicio de la potestad de las entidades contratantes de tomar las oportunas medidas para comprobar, durante el procedimiento de licitación, que los candidatos y licitadores cumplen las obligaciones a que se refiere el citado párrafo.</w:t>
      </w:r>
    </w:p>
    <w:p>
      <w:pPr>
        <w:pStyle w:val="BodyText"/>
        <w:spacing w:line="249" w:lineRule="auto" w:before="4"/>
        <w:ind w:right="1274"/>
      </w:pPr>
      <w:r>
        <w:rPr/>
        <w:t>El incumplimiento de las obligaciones referidas en el primer párrafo y, en especial, los incumplimientos o los retrasos reiterados en el pago de los salarios o la aplicación de condiciones salariales inferiores derivadas de los convenios colectivos que sea grave y dolosa, dará lugar a la imposición de penalidades.</w:t>
      </w:r>
    </w:p>
    <w:p>
      <w:pPr>
        <w:pStyle w:val="ListParagraph"/>
        <w:numPr>
          <w:ilvl w:val="0"/>
          <w:numId w:val="57"/>
        </w:numPr>
        <w:tabs>
          <w:tab w:pos="1768" w:val="left" w:leader="none"/>
        </w:tabs>
        <w:spacing w:line="249" w:lineRule="auto" w:before="3" w:after="0"/>
        <w:ind w:left="1074" w:right="1273" w:firstLine="340"/>
        <w:jc w:val="both"/>
        <w:rPr>
          <w:sz w:val="20"/>
        </w:rPr>
      </w:pPr>
      <w:r>
        <w:rPr>
          <w:sz w:val="20"/>
        </w:rPr>
        <w:t>La entidad contratante documentará adecuadamente todas las etapas del procedimiento de licitación en la forma establecida en el artículo</w:t>
      </w:r>
      <w:r>
        <w:rPr>
          <w:spacing w:val="-20"/>
          <w:sz w:val="20"/>
        </w:rPr>
        <w:t> </w:t>
      </w:r>
      <w:r>
        <w:rPr>
          <w:sz w:val="20"/>
        </w:rPr>
        <w:t>124.2.</w:t>
      </w:r>
    </w:p>
    <w:p>
      <w:pPr>
        <w:pStyle w:val="BodyText"/>
        <w:spacing w:before="4"/>
        <w:ind w:left="0" w:firstLine="0"/>
        <w:jc w:val="left"/>
      </w:pPr>
    </w:p>
    <w:p>
      <w:pPr>
        <w:spacing w:before="0"/>
        <w:ind w:left="1074" w:right="0" w:firstLine="0"/>
        <w:jc w:val="both"/>
        <w:rPr>
          <w:i/>
          <w:sz w:val="20"/>
        </w:rPr>
      </w:pPr>
      <w:bookmarkStart w:name="Artículo 28. Confidencialidad." w:id="53"/>
      <w:bookmarkEnd w:id="53"/>
      <w:r>
        <w:rPr/>
      </w:r>
      <w:r>
        <w:rPr>
          <w:b/>
          <w:sz w:val="20"/>
        </w:rPr>
        <w:t>Artículo 28.</w:t>
      </w:r>
      <w:r>
        <w:rPr>
          <w:b/>
          <w:spacing w:val="53"/>
          <w:sz w:val="20"/>
        </w:rPr>
        <w:t> </w:t>
      </w:r>
      <w:r>
        <w:rPr>
          <w:i/>
          <w:sz w:val="20"/>
        </w:rPr>
        <w:t>Confidencialidad.</w:t>
      </w:r>
    </w:p>
    <w:p>
      <w:pPr>
        <w:pStyle w:val="ListParagraph"/>
        <w:numPr>
          <w:ilvl w:val="0"/>
          <w:numId w:val="58"/>
        </w:numPr>
        <w:tabs>
          <w:tab w:pos="1646" w:val="left" w:leader="none"/>
        </w:tabs>
        <w:spacing w:line="249" w:lineRule="auto" w:before="118" w:after="0"/>
        <w:ind w:left="1074" w:right="1272" w:firstLine="340"/>
        <w:jc w:val="both"/>
        <w:rPr>
          <w:sz w:val="20"/>
        </w:rPr>
      </w:pPr>
      <w:r>
        <w:rPr>
          <w:sz w:val="20"/>
        </w:rPr>
        <w:t>En el momento de comunicar las prescripciones técnicas a las empresas interesadas, de clasificar y seleccionar a las mismas y de adjudicar los contratos, las entidades contratantes podrán imponer requisitos destinados a proteger el carácter confidencial de la información que comuniquen, incluida la información facilitada en relación con el funcionamiento de un sistema de clasificación, con independencia de que el mismo hubiera sido objeto de un anuncio sobre su existencia que se hubiera utilizado como medio de convocatoria de</w:t>
      </w:r>
      <w:r>
        <w:rPr>
          <w:spacing w:val="-2"/>
          <w:sz w:val="20"/>
        </w:rPr>
        <w:t> </w:t>
      </w:r>
      <w:r>
        <w:rPr>
          <w:sz w:val="20"/>
        </w:rPr>
        <w:t>licitación.</w:t>
      </w:r>
    </w:p>
    <w:p>
      <w:pPr>
        <w:pStyle w:val="ListParagraph"/>
        <w:numPr>
          <w:ilvl w:val="0"/>
          <w:numId w:val="58"/>
        </w:numPr>
        <w:tabs>
          <w:tab w:pos="1684" w:val="left" w:leader="none"/>
        </w:tabs>
        <w:spacing w:line="249" w:lineRule="auto" w:before="6" w:after="0"/>
        <w:ind w:left="1074" w:right="1271" w:firstLine="340"/>
        <w:jc w:val="both"/>
        <w:rPr>
          <w:sz w:val="20"/>
        </w:rPr>
      </w:pPr>
      <w:r>
        <w:rPr>
          <w:sz w:val="20"/>
        </w:rPr>
        <w:t>Sin perjuicio de lo dispuesto en la legislación vigente en materia de acceso a la información pública y de las disposiciones del presente real decreto-ley, en particular las relativas a las obligaciones en materia de publicidad de los contratos adjudicados y de información a los candidatos y a los licitadores, la entidad contratante no divulgará la información facilitada por los operadores económicos que estos hayan designado como confidencial en el momento de presentar su oferta. Dicha información incluye, en particular, los secretos técnicos o comerciales, los aspectos confidenciales de las ofertas y cualesquiera otras informaciones cuyo contenido pueda ser utilizado para falsear la competencia, ya sea en ese procedimiento de licitación o en otros</w:t>
      </w:r>
      <w:r>
        <w:rPr>
          <w:spacing w:val="-21"/>
          <w:sz w:val="20"/>
        </w:rPr>
        <w:t> </w:t>
      </w:r>
      <w:r>
        <w:rPr>
          <w:sz w:val="20"/>
        </w:rPr>
        <w:t>posteriores.</w:t>
      </w:r>
    </w:p>
    <w:p>
      <w:pPr>
        <w:pStyle w:val="ListParagraph"/>
        <w:numPr>
          <w:ilvl w:val="0"/>
          <w:numId w:val="58"/>
        </w:numPr>
        <w:tabs>
          <w:tab w:pos="1649" w:val="left" w:leader="none"/>
        </w:tabs>
        <w:spacing w:line="249" w:lineRule="auto" w:before="7" w:after="0"/>
        <w:ind w:left="1074" w:right="1273" w:firstLine="340"/>
        <w:jc w:val="both"/>
        <w:rPr>
          <w:sz w:val="20"/>
        </w:rPr>
      </w:pPr>
      <w:r>
        <w:rPr>
          <w:sz w:val="20"/>
        </w:rPr>
        <w:t>El contratista deberá respetar el carácter confidencial de aquella información a la que tenga acceso con ocasión de la ejecución del contrato a la que se le hubiese dado el referido carácter en los pliegos de condiciones o en el contrato, o que por su propia naturaleza deba ser tratada como tal.</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29. Conflictos de intereses." w:id="54"/>
      <w:bookmarkEnd w:id="54"/>
      <w:r>
        <w:rPr/>
      </w:r>
      <w:r>
        <w:rPr>
          <w:b/>
          <w:sz w:val="20"/>
        </w:rPr>
        <w:t>Artículo 29. </w:t>
      </w:r>
      <w:r>
        <w:rPr>
          <w:i/>
          <w:sz w:val="20"/>
        </w:rPr>
        <w:t>Conflictos de intereses.</w:t>
      </w:r>
    </w:p>
    <w:p>
      <w:pPr>
        <w:pStyle w:val="BodyText"/>
        <w:spacing w:line="249" w:lineRule="auto" w:before="118"/>
        <w:ind w:right="1273"/>
      </w:pPr>
      <w:r>
        <w:rPr/>
        <w:t>Las entidades contratantes adoptarán las medidas adecuadas para luchar contra el fraude, el favoritismo y la corrupción, y prevenir, detectar y solucionar de modo efectivo los conflictos de intereses que puedan surgir en los procedimientos de licitación, en los términos señalados en el artículo 64 de la Ley 9/2017, de 8 de noviembre.</w:t>
      </w:r>
    </w:p>
    <w:p>
      <w:pPr>
        <w:pStyle w:val="BodyText"/>
        <w:spacing w:before="0"/>
        <w:ind w:left="0" w:firstLine="0"/>
        <w:jc w:val="left"/>
        <w:rPr>
          <w:sz w:val="26"/>
        </w:rPr>
      </w:pPr>
    </w:p>
    <w:p>
      <w:pPr>
        <w:pStyle w:val="BodyText"/>
        <w:spacing w:before="163"/>
        <w:ind w:left="2930" w:right="3127" w:firstLine="0"/>
        <w:jc w:val="center"/>
      </w:pPr>
      <w:bookmarkStart w:name="TÍTULO II. Capacidad y clasificación de " w:id="55"/>
      <w:bookmarkEnd w:id="55"/>
      <w:r>
        <w:rPr/>
      </w:r>
      <w:bookmarkStart w:name="_bookmark12" w:id="56"/>
      <w:bookmarkEnd w:id="56"/>
      <w:r>
        <w:rPr/>
      </w:r>
      <w:r>
        <w:rPr/>
        <w:t>TÍTULO II</w:t>
      </w:r>
    </w:p>
    <w:p>
      <w:pPr>
        <w:pStyle w:val="Heading1"/>
        <w:spacing w:before="124"/>
        <w:ind w:right="1612"/>
      </w:pPr>
      <w:r>
        <w:rPr/>
        <w:t>Capacidad y clasificación de los operadores económicos</w:t>
      </w:r>
    </w:p>
    <w:p>
      <w:pPr>
        <w:pStyle w:val="BodyText"/>
        <w:spacing w:before="0"/>
        <w:ind w:left="0" w:firstLine="0"/>
        <w:jc w:val="left"/>
        <w:rPr>
          <w:b/>
          <w:sz w:val="22"/>
        </w:rPr>
      </w:pPr>
    </w:p>
    <w:p>
      <w:pPr>
        <w:pStyle w:val="BodyText"/>
        <w:spacing w:before="3"/>
        <w:ind w:left="0" w:firstLine="0"/>
        <w:jc w:val="left"/>
        <w:rPr>
          <w:b/>
          <w:sz w:val="18"/>
        </w:rPr>
      </w:pPr>
    </w:p>
    <w:p>
      <w:pPr>
        <w:pStyle w:val="BodyText"/>
        <w:spacing w:before="0"/>
        <w:ind w:left="2929" w:right="3127" w:firstLine="0"/>
        <w:jc w:val="center"/>
      </w:pPr>
      <w:bookmarkStart w:name="CAPÍTULO I. Capacidad y solvencia de los" w:id="57"/>
      <w:bookmarkEnd w:id="57"/>
      <w:r>
        <w:rPr/>
      </w:r>
      <w:bookmarkStart w:name="_bookmark13" w:id="58"/>
      <w:bookmarkEnd w:id="58"/>
      <w:r>
        <w:rPr/>
      </w:r>
      <w:r>
        <w:rPr/>
        <w:t>CAPÍTULO I</w:t>
      </w:r>
    </w:p>
    <w:p>
      <w:pPr>
        <w:pStyle w:val="Heading1"/>
        <w:spacing w:before="124"/>
        <w:ind w:left="2929"/>
      </w:pPr>
      <w:r>
        <w:rPr/>
        <w:t>Capacidad y solvencia de los licitadores</w:t>
      </w:r>
    </w:p>
    <w:p>
      <w:pPr>
        <w:pStyle w:val="BodyText"/>
        <w:spacing w:before="7"/>
        <w:ind w:left="0" w:firstLine="0"/>
        <w:jc w:val="left"/>
        <w:rPr>
          <w:b/>
        </w:rPr>
      </w:pPr>
    </w:p>
    <w:p>
      <w:pPr>
        <w:spacing w:line="249" w:lineRule="auto" w:before="0"/>
        <w:ind w:left="1074" w:right="1274" w:firstLine="0"/>
        <w:jc w:val="both"/>
        <w:rPr>
          <w:i/>
          <w:sz w:val="20"/>
        </w:rPr>
      </w:pPr>
      <w:bookmarkStart w:name="Artículo 30. Capacidad de los operadores" w:id="59"/>
      <w:bookmarkEnd w:id="59"/>
      <w:r>
        <w:rPr/>
      </w:r>
      <w:r>
        <w:rPr>
          <w:b/>
          <w:sz w:val="20"/>
        </w:rPr>
        <w:t>Artículo 30. </w:t>
      </w:r>
      <w:r>
        <w:rPr>
          <w:i/>
          <w:sz w:val="20"/>
        </w:rPr>
        <w:t>Capacidad de los operadores económicos y demás condiciones de </w:t>
      </w:r>
      <w:r>
        <w:rPr>
          <w:i/>
          <w:sz w:val="20"/>
        </w:rPr>
        <w:t>participación.</w:t>
      </w:r>
    </w:p>
    <w:p>
      <w:pPr>
        <w:pStyle w:val="ListParagraph"/>
        <w:numPr>
          <w:ilvl w:val="0"/>
          <w:numId w:val="59"/>
        </w:numPr>
        <w:tabs>
          <w:tab w:pos="1694" w:val="left" w:leader="none"/>
        </w:tabs>
        <w:spacing w:line="249" w:lineRule="auto" w:before="109" w:after="0"/>
        <w:ind w:left="1074" w:right="1272" w:firstLine="340"/>
        <w:jc w:val="both"/>
        <w:rPr>
          <w:sz w:val="20"/>
        </w:rPr>
      </w:pPr>
      <w:r>
        <w:rPr>
          <w:sz w:val="20"/>
        </w:rPr>
        <w:t>Podrán contratar con las entidades contratantes las personas físicas o jurídicas, españolas o extranjeras, que tengan plena capacidad de obrar, no estén incursas en alguna de la prohibiciones para contratar que establece la Ley 9/2017, de 8 de noviembre, acrediten el cumplimiento de los criterios de selección cualitativa que hubiera determinado la entidad contratante o, en su caso, la correspondiente clasificación a la que se refieren los artículos 77 a 83 de la Ley 9/2017, de 8 de noviembre, sin perjuicio de la posibilidad de que se exija la clasificación en un sistema creado de conformidad con el Capítulo II de este Título cuando como medio de convocatoria de la licitación se hubiere utilizado un anuncio sobre la existencia de un sistema de</w:t>
      </w:r>
      <w:r>
        <w:rPr>
          <w:spacing w:val="-5"/>
          <w:sz w:val="20"/>
        </w:rPr>
        <w:t> </w:t>
      </w:r>
      <w:r>
        <w:rPr>
          <w:sz w:val="20"/>
        </w:rPr>
        <w:t>clasificación.</w:t>
      </w:r>
    </w:p>
    <w:p>
      <w:pPr>
        <w:pStyle w:val="BodyText"/>
        <w:spacing w:line="249" w:lineRule="auto" w:before="7"/>
        <w:ind w:right="1273"/>
      </w:pPr>
      <w:r>
        <w:rPr/>
        <w:t>Cuando, por así determinarlo la normativa aplicable, se le requirieran al contratista determinados requisitos relativos a su organización, destino de sus beneficios, sistema de financiación u otros para poder participar en el correspondiente procedimiento de adjudicación, estos deberán ser acreditados por el licitador al concurrir en el mismo.</w:t>
      </w:r>
    </w:p>
    <w:p>
      <w:pPr>
        <w:pStyle w:val="ListParagraph"/>
        <w:numPr>
          <w:ilvl w:val="0"/>
          <w:numId w:val="59"/>
        </w:numPr>
        <w:tabs>
          <w:tab w:pos="1645" w:val="left" w:leader="none"/>
        </w:tabs>
        <w:spacing w:line="249" w:lineRule="auto" w:before="4" w:after="0"/>
        <w:ind w:left="1074" w:right="1275" w:firstLine="340"/>
        <w:jc w:val="both"/>
        <w:rPr>
          <w:sz w:val="20"/>
        </w:rPr>
      </w:pPr>
      <w:r>
        <w:rPr>
          <w:sz w:val="20"/>
        </w:rPr>
        <w:t>Los candidatos o licitadores deberán contar, asimismo, con la habilitación empresarial o profesional que, en su caso, sea exigible para la realización de la actividad o prestación que constituya el objeto del</w:t>
      </w:r>
      <w:r>
        <w:rPr>
          <w:spacing w:val="-5"/>
          <w:sz w:val="20"/>
        </w:rPr>
        <w:t> </w:t>
      </w:r>
      <w:r>
        <w:rPr>
          <w:sz w:val="20"/>
        </w:rPr>
        <w:t>contrato.</w:t>
      </w:r>
    </w:p>
    <w:p>
      <w:pPr>
        <w:pStyle w:val="ListParagraph"/>
        <w:numPr>
          <w:ilvl w:val="0"/>
          <w:numId w:val="59"/>
        </w:numPr>
        <w:tabs>
          <w:tab w:pos="1672" w:val="left" w:leader="none"/>
        </w:tabs>
        <w:spacing w:line="249" w:lineRule="auto" w:before="2" w:after="0"/>
        <w:ind w:left="1074" w:right="1274" w:firstLine="340"/>
        <w:jc w:val="both"/>
        <w:rPr>
          <w:sz w:val="20"/>
        </w:rPr>
      </w:pPr>
      <w:r>
        <w:rPr>
          <w:sz w:val="20"/>
        </w:rPr>
        <w:t>Cuando en la licitación o ejecución de un contrato sujeto a este real decreto-ley y celebrado por una entidad contratante se den las circunstancias previstas en el artículo 71, apartado primero, letra e) o apartado segundo de la Ley 9/2017, de 8 de noviembre, se estará a las siguientes</w:t>
      </w:r>
      <w:r>
        <w:rPr>
          <w:spacing w:val="-4"/>
          <w:sz w:val="20"/>
        </w:rPr>
        <w:t> </w:t>
      </w:r>
      <w:r>
        <w:rPr>
          <w:sz w:val="20"/>
        </w:rPr>
        <w:t>reglas:</w:t>
      </w:r>
    </w:p>
    <w:p>
      <w:pPr>
        <w:pStyle w:val="ListParagraph"/>
        <w:numPr>
          <w:ilvl w:val="0"/>
          <w:numId w:val="60"/>
        </w:numPr>
        <w:tabs>
          <w:tab w:pos="1686" w:val="left" w:leader="none"/>
        </w:tabs>
        <w:spacing w:line="249" w:lineRule="auto" w:before="123" w:after="0"/>
        <w:ind w:left="1074" w:right="1275" w:firstLine="340"/>
        <w:jc w:val="both"/>
        <w:rPr>
          <w:sz w:val="20"/>
        </w:rPr>
      </w:pPr>
      <w:r>
        <w:rPr>
          <w:sz w:val="20"/>
        </w:rPr>
        <w:t>Se aplicará lo dispuesto en los artículos 72 y 73 de la citada ley en lo relativo al procedimiento y efectos de la declaración de las prohibiciones para</w:t>
      </w:r>
      <w:r>
        <w:rPr>
          <w:spacing w:val="-22"/>
          <w:sz w:val="20"/>
        </w:rPr>
        <w:t> </w:t>
      </w:r>
      <w:r>
        <w:rPr>
          <w:sz w:val="20"/>
        </w:rPr>
        <w:t>contratar.</w:t>
      </w:r>
    </w:p>
    <w:p>
      <w:pPr>
        <w:pStyle w:val="ListParagraph"/>
        <w:numPr>
          <w:ilvl w:val="0"/>
          <w:numId w:val="60"/>
        </w:numPr>
        <w:tabs>
          <w:tab w:pos="1698" w:val="left" w:leader="none"/>
        </w:tabs>
        <w:spacing w:line="249" w:lineRule="auto" w:before="2" w:after="0"/>
        <w:ind w:left="1074" w:right="1273" w:firstLine="340"/>
        <w:jc w:val="both"/>
        <w:rPr>
          <w:sz w:val="20"/>
        </w:rPr>
      </w:pPr>
      <w:r>
        <w:rPr>
          <w:sz w:val="20"/>
        </w:rPr>
        <w:t>En lo que respecta a la competencia para declarar la prohibición para contratar, cuando la entidad contratante pertenezca al Sector Público esta se determinará de conformidad con lo dispuesto en el artículo 72 apartado 4 de la Ley 9/2017, de 8 de noviembre.</w:t>
      </w:r>
    </w:p>
    <w:p>
      <w:pPr>
        <w:pStyle w:val="BodyText"/>
        <w:spacing w:line="249" w:lineRule="auto" w:before="123"/>
        <w:ind w:right="1272"/>
      </w:pPr>
      <w:r>
        <w:rPr/>
        <w:t>En los casos en que la entidad contratante sea una empresa que tenga derechos especiales o exclusivos, según se indica en el artículo 6 de este real decreto-ley, y sin perjuicio de lo que para el ámbito de las Comunidades Autónomas establezcan sus normas respectivas en cuanto a qué órgano administrativo será el competente, la competencia para declarar la prohibición de contratar le corresponderá al titular del departamento, presidente o director del organismo que le hubiera concedido estos derechos.</w:t>
      </w:r>
    </w:p>
    <w:p>
      <w:pPr>
        <w:pStyle w:val="ListParagraph"/>
        <w:numPr>
          <w:ilvl w:val="0"/>
          <w:numId w:val="59"/>
        </w:numPr>
        <w:tabs>
          <w:tab w:pos="1685" w:val="left" w:leader="none"/>
        </w:tabs>
        <w:spacing w:line="249" w:lineRule="auto" w:before="5" w:after="0"/>
        <w:ind w:left="1074" w:right="1273" w:firstLine="340"/>
        <w:jc w:val="both"/>
        <w:rPr>
          <w:sz w:val="20"/>
        </w:rPr>
      </w:pPr>
      <w:r>
        <w:rPr>
          <w:sz w:val="20"/>
        </w:rPr>
        <w:t>Las condiciones de participación guardarán una relación y una proporción con la necesidad de garantizar la capacidad de la empresa para ejecutar el contrato, teniendo en cuenta el objeto del mismo y la necesidad de garantizar una competencia</w:t>
      </w:r>
      <w:r>
        <w:rPr>
          <w:spacing w:val="-18"/>
          <w:sz w:val="20"/>
        </w:rPr>
        <w:t> </w:t>
      </w:r>
      <w:r>
        <w:rPr>
          <w:sz w:val="20"/>
        </w:rPr>
        <w:t>real.</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31. Agrupaciones de empresarios" w:id="60"/>
      <w:bookmarkEnd w:id="60"/>
      <w:r>
        <w:rPr/>
      </w:r>
      <w:r>
        <w:rPr>
          <w:b/>
          <w:sz w:val="20"/>
        </w:rPr>
        <w:t>Artículo 31. </w:t>
      </w:r>
      <w:r>
        <w:rPr>
          <w:i/>
          <w:sz w:val="20"/>
        </w:rPr>
        <w:t>Agrupaciones de empresarios.</w:t>
      </w:r>
    </w:p>
    <w:p>
      <w:pPr>
        <w:pStyle w:val="ListParagraph"/>
        <w:numPr>
          <w:ilvl w:val="0"/>
          <w:numId w:val="61"/>
        </w:numPr>
        <w:tabs>
          <w:tab w:pos="1693" w:val="left" w:leader="none"/>
        </w:tabs>
        <w:spacing w:line="249" w:lineRule="auto" w:before="118" w:after="0"/>
        <w:ind w:left="1074" w:right="1272" w:firstLine="340"/>
        <w:jc w:val="both"/>
        <w:rPr>
          <w:sz w:val="20"/>
        </w:rPr>
      </w:pPr>
      <w:r>
        <w:rPr>
          <w:sz w:val="20"/>
        </w:rPr>
        <w:t>Estarán autorizadas a licitar o a presentarse como candidatos o licitadores a la adjudicación de un contrato las agrupaciones de empresarios, incluidas las empresas que concurran en una unión temporal. Para la presentación de una oferta o de una solicitud de participación, las entidades contratantes no podrán exigir que las agrupaciones de operadores económicos, incluidas las agrupaciones temporales, tengan una forma jurídica determinada; no obstante, la agrupación seleccionada podrá estar obligada por las mismas a revestir una forma jurídica determinada cuando se le haya adjudicado el contrato, en la medida en que dicha transformación sea necesaria para la correcta ejecución del mismo. Dicha obligación deberá contemplarse en los pliegos de</w:t>
      </w:r>
      <w:r>
        <w:rPr>
          <w:spacing w:val="-12"/>
          <w:sz w:val="20"/>
        </w:rPr>
        <w:t> </w:t>
      </w:r>
      <w:r>
        <w:rPr>
          <w:sz w:val="20"/>
        </w:rPr>
        <w:t>condiciones.</w:t>
      </w:r>
    </w:p>
    <w:p>
      <w:pPr>
        <w:pStyle w:val="ListParagraph"/>
        <w:numPr>
          <w:ilvl w:val="0"/>
          <w:numId w:val="61"/>
        </w:numPr>
        <w:tabs>
          <w:tab w:pos="1667" w:val="left" w:leader="none"/>
        </w:tabs>
        <w:spacing w:line="249" w:lineRule="auto" w:before="7" w:after="0"/>
        <w:ind w:left="1074" w:right="1272" w:firstLine="340"/>
        <w:jc w:val="both"/>
        <w:rPr>
          <w:sz w:val="20"/>
        </w:rPr>
      </w:pPr>
      <w:r>
        <w:rPr>
          <w:sz w:val="20"/>
        </w:rPr>
        <w:t>Cuando sea necesario, las entidades contratantes podrán aclarar en los pliegos de condiciones cómo deberán las empresas que concurran agrupadas en una unión temporal acreditar el cumplimiento de los requisitos de capacidad y solvencia económica, financiera, técnica y profesional que se exijan, siempre que ello esté justificado por razones que sean objetivas y proporcionales al fin</w:t>
      </w:r>
      <w:r>
        <w:rPr>
          <w:spacing w:val="-5"/>
          <w:sz w:val="20"/>
        </w:rPr>
        <w:t> </w:t>
      </w:r>
      <w:r>
        <w:rPr>
          <w:sz w:val="20"/>
        </w:rPr>
        <w:t>perseguido.</w:t>
      </w:r>
    </w:p>
    <w:p>
      <w:pPr>
        <w:pStyle w:val="ListParagraph"/>
        <w:numPr>
          <w:ilvl w:val="0"/>
          <w:numId w:val="61"/>
        </w:numPr>
        <w:tabs>
          <w:tab w:pos="1646" w:val="left" w:leader="none"/>
        </w:tabs>
        <w:spacing w:line="249" w:lineRule="auto" w:before="4" w:after="0"/>
        <w:ind w:left="1074" w:right="1273" w:firstLine="340"/>
        <w:jc w:val="both"/>
        <w:rPr>
          <w:sz w:val="20"/>
        </w:rPr>
      </w:pPr>
      <w:r>
        <w:rPr>
          <w:sz w:val="20"/>
        </w:rPr>
        <w:t>Igualmente, previa previsión en los pliegos de condiciones, las entidades contratantes podrán exigir a las empresas que concurran agrupadas en una unión temporal condiciones de ejecución del contrato que sean diferentes a las que se exigirían a empresarios individuales, siempre y cuando su exigencia venga justificada por motivos objetivos y proporcionales al fin</w:t>
      </w:r>
      <w:r>
        <w:rPr>
          <w:spacing w:val="-3"/>
          <w:sz w:val="20"/>
        </w:rPr>
        <w:t> </w:t>
      </w:r>
      <w:r>
        <w:rPr>
          <w:sz w:val="20"/>
        </w:rPr>
        <w:t>perseguido.</w:t>
      </w:r>
    </w:p>
    <w:p>
      <w:pPr>
        <w:pStyle w:val="ListParagraph"/>
        <w:numPr>
          <w:ilvl w:val="0"/>
          <w:numId w:val="61"/>
        </w:numPr>
        <w:tabs>
          <w:tab w:pos="1672" w:val="left" w:leader="none"/>
        </w:tabs>
        <w:spacing w:line="249" w:lineRule="auto" w:before="4" w:after="0"/>
        <w:ind w:left="1074" w:right="1274" w:firstLine="340"/>
        <w:jc w:val="both"/>
        <w:rPr>
          <w:sz w:val="20"/>
        </w:rPr>
      </w:pPr>
      <w:r>
        <w:rPr>
          <w:sz w:val="20"/>
        </w:rPr>
        <w:t>A efectos de la licitación, los empresarios que deseen concurrir integrados en una unión temporal de empresarios deberán indicar los nombres y circunstancias de los que la constituyan y la participación de cada uno, así como que asumen el compromiso de constituirse formalmente en unión temporal en caso de resultar adjudicatarios del</w:t>
      </w:r>
      <w:r>
        <w:rPr>
          <w:spacing w:val="-22"/>
          <w:sz w:val="20"/>
        </w:rPr>
        <w:t> </w:t>
      </w:r>
      <w:r>
        <w:rPr>
          <w:sz w:val="20"/>
        </w:rPr>
        <w:t>contrato.</w:t>
      </w:r>
    </w:p>
    <w:p>
      <w:pPr>
        <w:pStyle w:val="ListParagraph"/>
        <w:numPr>
          <w:ilvl w:val="0"/>
          <w:numId w:val="61"/>
        </w:numPr>
        <w:tabs>
          <w:tab w:pos="1680" w:val="left" w:leader="none"/>
        </w:tabs>
        <w:spacing w:line="249" w:lineRule="auto" w:before="4" w:after="0"/>
        <w:ind w:left="1074" w:right="1272" w:firstLine="340"/>
        <w:jc w:val="both"/>
        <w:rPr>
          <w:sz w:val="20"/>
        </w:rPr>
      </w:pPr>
      <w:r>
        <w:rPr>
          <w:sz w:val="20"/>
        </w:rPr>
        <w:t>Cuando en el ejercicio de sus funciones la entidad contratante apreciara posibles indicios de colusión entre empresas que concurran agrupadas en una unión temporal, la misma requerirá a estas empresas para que, dándoles plazo suficiente, justifiquen de forma expresa y motivada las razones para concurrir</w:t>
      </w:r>
      <w:r>
        <w:rPr>
          <w:spacing w:val="-6"/>
          <w:sz w:val="20"/>
        </w:rPr>
        <w:t> </w:t>
      </w:r>
      <w:r>
        <w:rPr>
          <w:sz w:val="20"/>
        </w:rPr>
        <w:t>agrupadas.</w:t>
      </w:r>
    </w:p>
    <w:p>
      <w:pPr>
        <w:pStyle w:val="BodyText"/>
        <w:spacing w:line="249" w:lineRule="auto" w:before="3"/>
        <w:ind w:right="1273"/>
      </w:pPr>
      <w:r>
        <w:rPr/>
        <w:t>Cuando la entidad contratante, considerando la justificación efectuada por las empresas, estimase que existen indicios fundados de colusión entre ellas, los trasladará a la Comisión Nacional de los Mercados y la Competencia o, en su caso, a la autoridad de competencia autonómica correspondiente, a efectos de que, previa sustanciación del procedimiento sumarísimo a que se refiere el artículo 72.2, se pronuncie sobre aquellos.</w:t>
      </w:r>
    </w:p>
    <w:p>
      <w:pPr>
        <w:pStyle w:val="ListParagraph"/>
        <w:numPr>
          <w:ilvl w:val="0"/>
          <w:numId w:val="61"/>
        </w:numPr>
        <w:tabs>
          <w:tab w:pos="1693" w:val="left" w:leader="none"/>
        </w:tabs>
        <w:spacing w:line="249" w:lineRule="auto" w:before="4" w:after="0"/>
        <w:ind w:left="1074" w:right="1274" w:firstLine="340"/>
        <w:jc w:val="both"/>
        <w:rPr>
          <w:sz w:val="20"/>
        </w:rPr>
      </w:pPr>
      <w:r>
        <w:rPr>
          <w:sz w:val="20"/>
        </w:rPr>
        <w:t>La información pública de los contratos adjudicados a estas uniones incluirá los nombres de las empresas participantes y la participación porcentual de cada una de ellas en la agrupación de empresarios, sin perjuicio de la publicación en el Registro Especial de Uniones Temporales de</w:t>
      </w:r>
      <w:r>
        <w:rPr>
          <w:spacing w:val="-3"/>
          <w:sz w:val="20"/>
        </w:rPr>
        <w:t> </w:t>
      </w:r>
      <w:r>
        <w:rPr>
          <w:sz w:val="20"/>
        </w:rPr>
        <w:t>Empresas.</w:t>
      </w:r>
    </w:p>
    <w:p>
      <w:pPr>
        <w:pStyle w:val="BodyText"/>
        <w:spacing w:before="4"/>
        <w:ind w:left="0" w:firstLine="0"/>
        <w:jc w:val="left"/>
        <w:rPr>
          <w:sz w:val="30"/>
        </w:rPr>
      </w:pPr>
    </w:p>
    <w:p>
      <w:pPr>
        <w:pStyle w:val="BodyText"/>
        <w:spacing w:before="0"/>
        <w:ind w:left="2929" w:right="3127" w:firstLine="0"/>
        <w:jc w:val="center"/>
      </w:pPr>
      <w:bookmarkStart w:name="CAPÍTULO II. Clasificación de las empres" w:id="61"/>
      <w:bookmarkEnd w:id="61"/>
      <w:r>
        <w:rPr/>
      </w:r>
      <w:bookmarkStart w:name="_bookmark14" w:id="62"/>
      <w:bookmarkEnd w:id="62"/>
      <w:r>
        <w:rPr/>
      </w:r>
      <w:r>
        <w:rPr/>
        <w:t>CAPÍTULO II</w:t>
      </w:r>
    </w:p>
    <w:p>
      <w:pPr>
        <w:pStyle w:val="Heading1"/>
        <w:spacing w:before="124"/>
        <w:ind w:left="2929"/>
      </w:pPr>
      <w:r>
        <w:rPr/>
        <w:t>Clasificación de las empresas</w:t>
      </w:r>
    </w:p>
    <w:p>
      <w:pPr>
        <w:pStyle w:val="BodyText"/>
        <w:spacing w:before="6"/>
        <w:ind w:left="0" w:firstLine="0"/>
        <w:jc w:val="left"/>
        <w:rPr>
          <w:b/>
        </w:rPr>
      </w:pPr>
    </w:p>
    <w:p>
      <w:pPr>
        <w:spacing w:before="1"/>
        <w:ind w:left="1074" w:right="0" w:firstLine="0"/>
        <w:jc w:val="both"/>
        <w:rPr>
          <w:i/>
          <w:sz w:val="20"/>
        </w:rPr>
      </w:pPr>
      <w:bookmarkStart w:name="Artículo 32. Régimen de clasificación." w:id="63"/>
      <w:bookmarkEnd w:id="63"/>
      <w:r>
        <w:rPr/>
      </w:r>
      <w:r>
        <w:rPr>
          <w:b/>
          <w:sz w:val="20"/>
        </w:rPr>
        <w:t>Artículo 32. </w:t>
      </w:r>
      <w:r>
        <w:rPr>
          <w:i/>
          <w:sz w:val="20"/>
        </w:rPr>
        <w:t>Régimen de clasificación.</w:t>
      </w:r>
    </w:p>
    <w:p>
      <w:pPr>
        <w:pStyle w:val="ListParagraph"/>
        <w:numPr>
          <w:ilvl w:val="0"/>
          <w:numId w:val="62"/>
        </w:numPr>
        <w:tabs>
          <w:tab w:pos="1667" w:val="left" w:leader="none"/>
        </w:tabs>
        <w:spacing w:line="249" w:lineRule="auto" w:before="117" w:after="0"/>
        <w:ind w:left="1074" w:right="1275" w:firstLine="340"/>
        <w:jc w:val="both"/>
        <w:rPr>
          <w:sz w:val="20"/>
        </w:rPr>
      </w:pPr>
      <w:r>
        <w:rPr>
          <w:sz w:val="20"/>
        </w:rPr>
        <w:t>Las entidades contratantes podrán, si lo desean, establecer y gestionar un sistema propio de clasificación de operadores económicos o remitirse a cualquiera otro que estimen responde a sus</w:t>
      </w:r>
      <w:r>
        <w:rPr>
          <w:spacing w:val="-2"/>
          <w:sz w:val="20"/>
        </w:rPr>
        <w:t> </w:t>
      </w:r>
      <w:r>
        <w:rPr>
          <w:sz w:val="20"/>
        </w:rPr>
        <w:t>exigencias.</w:t>
      </w:r>
    </w:p>
    <w:p>
      <w:pPr>
        <w:pStyle w:val="ListParagraph"/>
        <w:numPr>
          <w:ilvl w:val="0"/>
          <w:numId w:val="62"/>
        </w:numPr>
        <w:tabs>
          <w:tab w:pos="1645" w:val="left" w:leader="none"/>
        </w:tabs>
        <w:spacing w:line="249" w:lineRule="auto" w:before="3" w:after="0"/>
        <w:ind w:left="1074" w:right="1274" w:firstLine="340"/>
        <w:jc w:val="both"/>
        <w:rPr>
          <w:sz w:val="20"/>
        </w:rPr>
      </w:pPr>
      <w:r>
        <w:rPr>
          <w:sz w:val="20"/>
        </w:rPr>
        <w:t>Cuando las entidades contratantes establezcan un sistema de clasificación propio, las mismas permitirán que los operadores económicos puedan solicitar su clasificación en cualquier momento.</w:t>
      </w:r>
    </w:p>
    <w:p>
      <w:pPr>
        <w:pStyle w:val="BodyText"/>
        <w:spacing w:before="4"/>
        <w:ind w:left="0" w:firstLine="0"/>
        <w:jc w:val="left"/>
      </w:pPr>
    </w:p>
    <w:p>
      <w:pPr>
        <w:spacing w:before="1"/>
        <w:ind w:left="1074" w:right="0" w:firstLine="0"/>
        <w:jc w:val="left"/>
        <w:rPr>
          <w:i/>
          <w:sz w:val="20"/>
        </w:rPr>
      </w:pPr>
      <w:bookmarkStart w:name="Artículo 33. Sistema de clasificación pr" w:id="64"/>
      <w:bookmarkEnd w:id="64"/>
      <w:r>
        <w:rPr/>
      </w:r>
      <w:r>
        <w:rPr>
          <w:b/>
          <w:sz w:val="20"/>
        </w:rPr>
        <w:t>Artículo 33. </w:t>
      </w:r>
      <w:r>
        <w:rPr>
          <w:i/>
          <w:sz w:val="20"/>
        </w:rPr>
        <w:t>Sistema de clasificación propio.</w:t>
      </w:r>
    </w:p>
    <w:p>
      <w:pPr>
        <w:pStyle w:val="ListParagraph"/>
        <w:numPr>
          <w:ilvl w:val="0"/>
          <w:numId w:val="63"/>
        </w:numPr>
        <w:tabs>
          <w:tab w:pos="1713" w:val="left" w:leader="none"/>
        </w:tabs>
        <w:spacing w:line="249" w:lineRule="auto" w:before="117" w:after="0"/>
        <w:ind w:left="1074" w:right="1275" w:firstLine="340"/>
        <w:jc w:val="left"/>
        <w:rPr>
          <w:sz w:val="20"/>
        </w:rPr>
      </w:pPr>
      <w:r>
        <w:rPr>
          <w:sz w:val="20"/>
        </w:rPr>
        <w:t>Cuando las entidades contratantes opten por establecer un sistema propio de clasificación, el mismo deberá gestionarse con arreglo a criterios y normas</w:t>
      </w:r>
      <w:r>
        <w:rPr>
          <w:spacing w:val="-22"/>
          <w:sz w:val="20"/>
        </w:rPr>
        <w:t> </w:t>
      </w:r>
      <w:r>
        <w:rPr>
          <w:sz w:val="20"/>
        </w:rPr>
        <w:t>objetivas.</w:t>
      </w:r>
    </w:p>
    <w:p>
      <w:pPr>
        <w:pStyle w:val="ListParagraph"/>
        <w:numPr>
          <w:ilvl w:val="0"/>
          <w:numId w:val="63"/>
        </w:numPr>
        <w:tabs>
          <w:tab w:pos="1668" w:val="left" w:leader="none"/>
        </w:tabs>
        <w:spacing w:line="249" w:lineRule="auto" w:before="2" w:after="0"/>
        <w:ind w:left="1074" w:right="1275" w:firstLine="340"/>
        <w:jc w:val="left"/>
        <w:rPr>
          <w:sz w:val="20"/>
        </w:rPr>
      </w:pPr>
      <w:r>
        <w:rPr>
          <w:sz w:val="20"/>
        </w:rPr>
        <w:t>Las entidades contratantes deberán establecer normas y criterios objetivos para: la exclusión y la selección de los operadores económicos que soliciten la clasificación; y para</w:t>
      </w:r>
      <w:r>
        <w:rPr>
          <w:spacing w:val="-22"/>
          <w:sz w:val="20"/>
        </w:rPr>
        <w:t> </w:t>
      </w:r>
      <w:r>
        <w:rPr>
          <w:sz w:val="20"/>
        </w:rPr>
        <w:t>la</w:t>
      </w:r>
    </w:p>
    <w:p>
      <w:pPr>
        <w:spacing w:after="0" w:line="249"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gestión del sistema de clasificación, tales como la inscripción en el sistema, la actualización periódica de las clasificaciones, en su caso, y la duración del sistema.</w:t>
      </w:r>
    </w:p>
    <w:p>
      <w:pPr>
        <w:pStyle w:val="ListParagraph"/>
        <w:numPr>
          <w:ilvl w:val="0"/>
          <w:numId w:val="63"/>
        </w:numPr>
        <w:tabs>
          <w:tab w:pos="1658" w:val="left" w:leader="none"/>
        </w:tabs>
        <w:spacing w:line="249" w:lineRule="auto" w:before="1" w:after="0"/>
        <w:ind w:left="1074" w:right="1272" w:firstLine="340"/>
        <w:jc w:val="both"/>
        <w:rPr>
          <w:sz w:val="20"/>
        </w:rPr>
      </w:pPr>
      <w:r>
        <w:rPr>
          <w:sz w:val="20"/>
        </w:rPr>
        <w:t>Cuando tales criterios y normas comporten prescripciones técnicas, serán aplicables las disposiciones específicas contenidas en este real</w:t>
      </w:r>
      <w:r>
        <w:rPr>
          <w:spacing w:val="-11"/>
          <w:sz w:val="20"/>
        </w:rPr>
        <w:t> </w:t>
      </w:r>
      <w:r>
        <w:rPr>
          <w:sz w:val="20"/>
        </w:rPr>
        <w:t>decreto-ley.</w:t>
      </w:r>
    </w:p>
    <w:p>
      <w:pPr>
        <w:pStyle w:val="ListParagraph"/>
        <w:numPr>
          <w:ilvl w:val="0"/>
          <w:numId w:val="63"/>
        </w:numPr>
        <w:tabs>
          <w:tab w:pos="1637" w:val="left" w:leader="none"/>
        </w:tabs>
        <w:spacing w:line="240" w:lineRule="auto" w:before="2" w:after="0"/>
        <w:ind w:left="1636" w:right="0" w:hanging="223"/>
        <w:jc w:val="both"/>
        <w:rPr>
          <w:sz w:val="20"/>
        </w:rPr>
      </w:pPr>
      <w:r>
        <w:rPr>
          <w:sz w:val="20"/>
        </w:rPr>
        <w:t>Dichos criterios y normas podrán actualizarse en caso</w:t>
      </w:r>
      <w:r>
        <w:rPr>
          <w:spacing w:val="-10"/>
          <w:sz w:val="20"/>
        </w:rPr>
        <w:t> </w:t>
      </w:r>
      <w:r>
        <w:rPr>
          <w:sz w:val="20"/>
        </w:rPr>
        <w:t>necesario.</w:t>
      </w:r>
    </w:p>
    <w:p>
      <w:pPr>
        <w:pStyle w:val="ListParagraph"/>
        <w:numPr>
          <w:ilvl w:val="0"/>
          <w:numId w:val="63"/>
        </w:numPr>
        <w:tabs>
          <w:tab w:pos="1696" w:val="left" w:leader="none"/>
        </w:tabs>
        <w:spacing w:line="249" w:lineRule="auto" w:before="10" w:after="0"/>
        <w:ind w:left="1074" w:right="1273" w:firstLine="340"/>
        <w:jc w:val="both"/>
        <w:rPr>
          <w:sz w:val="20"/>
        </w:rPr>
      </w:pPr>
      <w:r>
        <w:rPr>
          <w:sz w:val="20"/>
        </w:rPr>
        <w:t>Todo gasto que se facture en relación con solicitudes de clasificación o con la actualización o mantenimiento de una clasificación ya obtenida de conformidad con el sistema deberá ser proporcional a los costes</w:t>
      </w:r>
      <w:r>
        <w:rPr>
          <w:spacing w:val="-7"/>
          <w:sz w:val="20"/>
        </w:rPr>
        <w:t> </w:t>
      </w:r>
      <w:r>
        <w:rPr>
          <w:sz w:val="20"/>
        </w:rPr>
        <w:t>generados.</w:t>
      </w:r>
    </w:p>
    <w:p>
      <w:pPr>
        <w:pStyle w:val="BodyText"/>
        <w:spacing w:before="5"/>
        <w:ind w:left="0" w:firstLine="0"/>
        <w:jc w:val="left"/>
      </w:pPr>
    </w:p>
    <w:p>
      <w:pPr>
        <w:spacing w:before="0"/>
        <w:ind w:left="1074" w:right="0" w:firstLine="0"/>
        <w:jc w:val="both"/>
        <w:rPr>
          <w:i/>
          <w:sz w:val="20"/>
        </w:rPr>
      </w:pPr>
      <w:bookmarkStart w:name="Artículo 34. Publicidad del sistema de c" w:id="65"/>
      <w:bookmarkEnd w:id="65"/>
      <w:r>
        <w:rPr/>
      </w:r>
      <w:r>
        <w:rPr>
          <w:b/>
          <w:sz w:val="20"/>
        </w:rPr>
        <w:t>Artículo 34. </w:t>
      </w:r>
      <w:r>
        <w:rPr>
          <w:i/>
          <w:sz w:val="20"/>
        </w:rPr>
        <w:t>Publicidad del sistema de clasificación propio de las entidades contratantes.</w:t>
      </w:r>
    </w:p>
    <w:p>
      <w:pPr>
        <w:pStyle w:val="ListParagraph"/>
        <w:numPr>
          <w:ilvl w:val="0"/>
          <w:numId w:val="64"/>
        </w:numPr>
        <w:tabs>
          <w:tab w:pos="1646" w:val="left" w:leader="none"/>
        </w:tabs>
        <w:spacing w:line="249" w:lineRule="auto" w:before="118" w:after="0"/>
        <w:ind w:left="1074" w:right="1274" w:firstLine="340"/>
        <w:jc w:val="both"/>
        <w:rPr>
          <w:sz w:val="20"/>
        </w:rPr>
      </w:pPr>
      <w:r>
        <w:rPr>
          <w:sz w:val="20"/>
        </w:rPr>
        <w:t>El sistema de clasificación propio que adopte la entidad contratante deberá ser objeto de un anuncio, con arreglo al anexo III, en el «Diario Oficial de la Unión Europea», y en el perfil de contratante de la citada</w:t>
      </w:r>
      <w:r>
        <w:rPr>
          <w:spacing w:val="-6"/>
          <w:sz w:val="20"/>
        </w:rPr>
        <w:t> </w:t>
      </w:r>
      <w:r>
        <w:rPr>
          <w:sz w:val="20"/>
        </w:rPr>
        <w:t>entidad.</w:t>
      </w:r>
    </w:p>
    <w:p>
      <w:pPr>
        <w:pStyle w:val="ListParagraph"/>
        <w:numPr>
          <w:ilvl w:val="0"/>
          <w:numId w:val="64"/>
        </w:numPr>
        <w:tabs>
          <w:tab w:pos="1687" w:val="left" w:leader="none"/>
        </w:tabs>
        <w:spacing w:line="249" w:lineRule="auto" w:before="2" w:after="0"/>
        <w:ind w:left="1074" w:right="1274" w:firstLine="340"/>
        <w:jc w:val="both"/>
        <w:rPr>
          <w:sz w:val="20"/>
        </w:rPr>
      </w:pPr>
      <w:r>
        <w:rPr>
          <w:sz w:val="20"/>
        </w:rPr>
        <w:t>El anuncio indicará el objetivo del sistema de clasificación y las modalidades de acceso a las normas que lo</w:t>
      </w:r>
      <w:r>
        <w:rPr>
          <w:spacing w:val="-7"/>
          <w:sz w:val="20"/>
        </w:rPr>
        <w:t> </w:t>
      </w:r>
      <w:r>
        <w:rPr>
          <w:sz w:val="20"/>
        </w:rPr>
        <w:t>rigen.</w:t>
      </w:r>
    </w:p>
    <w:p>
      <w:pPr>
        <w:pStyle w:val="ListParagraph"/>
        <w:numPr>
          <w:ilvl w:val="0"/>
          <w:numId w:val="64"/>
        </w:numPr>
        <w:tabs>
          <w:tab w:pos="1659" w:val="left" w:leader="none"/>
        </w:tabs>
        <w:spacing w:line="249" w:lineRule="auto" w:before="2" w:after="0"/>
        <w:ind w:left="1074" w:right="1273" w:firstLine="340"/>
        <w:jc w:val="both"/>
        <w:rPr>
          <w:sz w:val="20"/>
        </w:rPr>
      </w:pPr>
      <w:r>
        <w:rPr>
          <w:sz w:val="20"/>
        </w:rPr>
        <w:t>Las entidades contratantes indicarán el plazo de validez del sistema de clasificación en el anuncio sobre la existencia del mismo; e informarán a la Oficina de Publicaciones de la Unión Europea de cualquier cambio en su duración, utilizando los siguientes</w:t>
      </w:r>
      <w:r>
        <w:rPr>
          <w:spacing w:val="-17"/>
          <w:sz w:val="20"/>
        </w:rPr>
        <w:t> </w:t>
      </w:r>
      <w:r>
        <w:rPr>
          <w:sz w:val="20"/>
        </w:rPr>
        <w:t>medios:</w:t>
      </w:r>
    </w:p>
    <w:p>
      <w:pPr>
        <w:pStyle w:val="ListParagraph"/>
        <w:numPr>
          <w:ilvl w:val="0"/>
          <w:numId w:val="65"/>
        </w:numPr>
        <w:tabs>
          <w:tab w:pos="1661" w:val="left" w:leader="none"/>
        </w:tabs>
        <w:spacing w:line="249" w:lineRule="auto" w:before="122" w:after="0"/>
        <w:ind w:left="1074" w:right="1272" w:firstLine="340"/>
        <w:jc w:val="both"/>
        <w:rPr>
          <w:sz w:val="20"/>
        </w:rPr>
      </w:pPr>
      <w:r>
        <w:rPr>
          <w:sz w:val="20"/>
        </w:rPr>
        <w:t>Cuando el plazo de validez del sistema de clasificación se modifique estando vigente este último, deberá utilizarse el formulario de anuncios sobre la existencia de sistemas de clasificación, con arreglo al anexo</w:t>
      </w:r>
      <w:r>
        <w:rPr>
          <w:spacing w:val="-4"/>
          <w:sz w:val="20"/>
        </w:rPr>
        <w:t> </w:t>
      </w:r>
      <w:r>
        <w:rPr>
          <w:sz w:val="20"/>
        </w:rPr>
        <w:t>III.</w:t>
      </w:r>
    </w:p>
    <w:p>
      <w:pPr>
        <w:pStyle w:val="ListParagraph"/>
        <w:numPr>
          <w:ilvl w:val="0"/>
          <w:numId w:val="65"/>
        </w:numPr>
        <w:tabs>
          <w:tab w:pos="1673" w:val="left" w:leader="none"/>
        </w:tabs>
        <w:spacing w:line="249" w:lineRule="auto" w:before="3" w:after="0"/>
        <w:ind w:left="1074" w:right="1272" w:firstLine="340"/>
        <w:jc w:val="both"/>
        <w:rPr>
          <w:sz w:val="20"/>
        </w:rPr>
      </w:pPr>
      <w:r>
        <w:rPr>
          <w:sz w:val="20"/>
        </w:rPr>
        <w:t>Cuando el plazo de validez se modifique una vez expirado el plazo de duración del sistema de clasificación, deberá utilizarse el formulario de anuncio de formalización, con arreglo al anexo</w:t>
      </w:r>
      <w:r>
        <w:rPr>
          <w:spacing w:val="-4"/>
          <w:sz w:val="20"/>
        </w:rPr>
        <w:t> </w:t>
      </w:r>
      <w:r>
        <w:rPr>
          <w:sz w:val="20"/>
        </w:rPr>
        <w:t>VIII.</w:t>
      </w:r>
    </w:p>
    <w:p>
      <w:pPr>
        <w:pStyle w:val="BodyText"/>
        <w:spacing w:before="4"/>
        <w:ind w:left="0" w:firstLine="0"/>
        <w:jc w:val="left"/>
      </w:pPr>
    </w:p>
    <w:p>
      <w:pPr>
        <w:spacing w:before="1"/>
        <w:ind w:left="1074" w:right="0" w:firstLine="0"/>
        <w:jc w:val="both"/>
        <w:rPr>
          <w:i/>
          <w:sz w:val="20"/>
        </w:rPr>
      </w:pPr>
      <w:bookmarkStart w:name="Artículo 35. Acuerdos de clasificación." w:id="66"/>
      <w:bookmarkEnd w:id="66"/>
      <w:r>
        <w:rPr/>
      </w:r>
      <w:r>
        <w:rPr>
          <w:b/>
          <w:sz w:val="20"/>
        </w:rPr>
        <w:t>Artículo 35. </w:t>
      </w:r>
      <w:r>
        <w:rPr>
          <w:i/>
          <w:sz w:val="20"/>
        </w:rPr>
        <w:t>Acuerdos de clasificación.</w:t>
      </w:r>
    </w:p>
    <w:p>
      <w:pPr>
        <w:pStyle w:val="BodyText"/>
        <w:spacing w:line="249" w:lineRule="auto" w:before="117"/>
        <w:ind w:right="1273"/>
      </w:pPr>
      <w:r>
        <w:rPr/>
        <w:t>Los acuerdos de clasificación inicial, revisión o denegación de clasificaciones deberán adoptarse motivadamente por la entidad contratante de conformidad con criterios objetivos, pudiendo remitirse las entidades contratantes a los establecidos en la Ley 9/2017, de 8 de noviembre. Igualmente, corresponderá a dichas entidades fijar el plazo de duración de la clasificación, que podrá ser definido de acuerdo con lo establecido en la citada legislación.</w:t>
      </w:r>
    </w:p>
    <w:p>
      <w:pPr>
        <w:pStyle w:val="BodyText"/>
        <w:spacing w:before="7"/>
        <w:ind w:left="0" w:firstLine="0"/>
        <w:jc w:val="left"/>
      </w:pPr>
    </w:p>
    <w:p>
      <w:pPr>
        <w:spacing w:before="0"/>
        <w:ind w:left="1074" w:right="0" w:firstLine="0"/>
        <w:jc w:val="both"/>
        <w:rPr>
          <w:i/>
          <w:sz w:val="20"/>
        </w:rPr>
      </w:pPr>
      <w:bookmarkStart w:name="Artículo 36. Requisitos relativos a capa" w:id="67"/>
      <w:bookmarkEnd w:id="67"/>
      <w:r>
        <w:rPr/>
      </w:r>
      <w:r>
        <w:rPr>
          <w:b/>
          <w:sz w:val="20"/>
        </w:rPr>
        <w:t>Artículo 36. </w:t>
      </w:r>
      <w:r>
        <w:rPr>
          <w:i/>
          <w:sz w:val="20"/>
        </w:rPr>
        <w:t>Requisitos relativos a capacidades de otras entidades.</w:t>
      </w:r>
    </w:p>
    <w:p>
      <w:pPr>
        <w:pStyle w:val="ListParagraph"/>
        <w:numPr>
          <w:ilvl w:val="0"/>
          <w:numId w:val="66"/>
        </w:numPr>
        <w:tabs>
          <w:tab w:pos="1649" w:val="left" w:leader="none"/>
        </w:tabs>
        <w:spacing w:line="249" w:lineRule="auto" w:before="118" w:after="0"/>
        <w:ind w:left="1074" w:right="1272" w:firstLine="340"/>
        <w:jc w:val="both"/>
        <w:rPr>
          <w:sz w:val="20"/>
        </w:rPr>
      </w:pPr>
      <w:r>
        <w:rPr>
          <w:sz w:val="20"/>
        </w:rPr>
        <w:t>Sin perjuicio de lo establecido en el apartado siguiente, cuando los criterios y normas objetivos aplicables a la selección y a la exclusión de operadores económicos que solicitan la clasificación incluyan requisitos relativos a la capacidad económica, financiera, técnica y profesional del operador económico, este podrá, si lo desea, basarse en las capacidades de otras entidades, independientemente del carácter jurídico de los vínculos que tenga con ellas. En tal caso, deberá demostrar ante la entidad contratante que dispondrá de los medios requeridos para la ejecución de los contratos durante la totalidad del período de validez del sistema de</w:t>
      </w:r>
      <w:r>
        <w:rPr>
          <w:spacing w:val="-2"/>
          <w:sz w:val="20"/>
        </w:rPr>
        <w:t> </w:t>
      </w:r>
      <w:r>
        <w:rPr>
          <w:sz w:val="20"/>
        </w:rPr>
        <w:t>clasificación.</w:t>
      </w:r>
    </w:p>
    <w:p>
      <w:pPr>
        <w:pStyle w:val="BodyText"/>
        <w:spacing w:line="249" w:lineRule="auto" w:before="6"/>
        <w:ind w:right="1274"/>
      </w:pPr>
      <w:r>
        <w:rPr/>
        <w:t>En las mismas condiciones, los empresarios que concurran agrupados podrán basarse en las capacidades de entidades ajenas a la</w:t>
      </w:r>
      <w:r>
        <w:rPr>
          <w:spacing w:val="-11"/>
        </w:rPr>
        <w:t> </w:t>
      </w:r>
      <w:r>
        <w:rPr/>
        <w:t>agrupación.</w:t>
      </w:r>
    </w:p>
    <w:p>
      <w:pPr>
        <w:pStyle w:val="ListParagraph"/>
        <w:numPr>
          <w:ilvl w:val="0"/>
          <w:numId w:val="66"/>
        </w:numPr>
        <w:tabs>
          <w:tab w:pos="1714" w:val="left" w:leader="none"/>
        </w:tabs>
        <w:spacing w:line="249" w:lineRule="auto" w:before="2" w:after="0"/>
        <w:ind w:left="1074" w:right="1272" w:firstLine="340"/>
        <w:jc w:val="both"/>
        <w:rPr>
          <w:sz w:val="20"/>
        </w:rPr>
      </w:pPr>
      <w:r>
        <w:rPr>
          <w:sz w:val="20"/>
        </w:rPr>
        <w:t>No obstante, con respecto a los criterios relativos a los títulos académicos y profesionales del empresario, o los del personal de dirección de la empresa, o a la experiencia profesional correspondiente, los operadores económicos únicamente podrán recurrir a las capacidades de otras entidades cuando estas vayan a ejecutar las obras o a prestar los servicios para los que son necesarios dichas</w:t>
      </w:r>
      <w:r>
        <w:rPr>
          <w:spacing w:val="-13"/>
          <w:sz w:val="20"/>
        </w:rPr>
        <w:t> </w:t>
      </w:r>
      <w:r>
        <w:rPr>
          <w:sz w:val="20"/>
        </w:rPr>
        <w:t>capacidades.</w:t>
      </w:r>
    </w:p>
    <w:p>
      <w:pPr>
        <w:pStyle w:val="ListParagraph"/>
        <w:numPr>
          <w:ilvl w:val="0"/>
          <w:numId w:val="66"/>
        </w:numPr>
        <w:tabs>
          <w:tab w:pos="1639" w:val="left" w:leader="none"/>
        </w:tabs>
        <w:spacing w:line="249" w:lineRule="auto" w:before="4" w:after="0"/>
        <w:ind w:left="1074" w:right="1274" w:firstLine="340"/>
        <w:jc w:val="both"/>
        <w:rPr>
          <w:sz w:val="20"/>
        </w:rPr>
      </w:pPr>
      <w:r>
        <w:rPr>
          <w:sz w:val="20"/>
        </w:rPr>
        <w:t>Cuando una empresa desee recurrir a las capacidades de otras entidades, demostrará a la entidad contratante que va a disponer de los recursos necesarios mediante la presentación a tal efecto del compromiso por escrito de dichas</w:t>
      </w:r>
      <w:r>
        <w:rPr>
          <w:spacing w:val="-18"/>
          <w:sz w:val="20"/>
        </w:rPr>
        <w:t> </w:t>
      </w:r>
      <w:r>
        <w:rPr>
          <w:sz w:val="20"/>
        </w:rPr>
        <w:t>entidades.</w:t>
      </w:r>
    </w:p>
    <w:p>
      <w:pPr>
        <w:pStyle w:val="ListParagraph"/>
        <w:numPr>
          <w:ilvl w:val="0"/>
          <w:numId w:val="66"/>
        </w:numPr>
        <w:tabs>
          <w:tab w:pos="1640" w:val="left" w:leader="none"/>
        </w:tabs>
        <w:spacing w:line="249" w:lineRule="auto" w:before="2" w:after="0"/>
        <w:ind w:left="1074" w:right="1272" w:firstLine="340"/>
        <w:jc w:val="both"/>
        <w:rPr>
          <w:sz w:val="20"/>
        </w:rPr>
      </w:pPr>
      <w:r>
        <w:rPr>
          <w:sz w:val="20"/>
        </w:rPr>
        <w:t>Cuando una empresa recurra a las capacidades de otras entidades en lo que respecta a los criterios relativos a la solvencia económica y financiera, la entidad contratante podrá exigir, mediante su previsión en los pliegos de condiciones, formas de responsabilidad conjunta entre aquella entidad y las otras en la ejecución del contrato, incluso con carácter solidario.</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66"/>
        </w:numPr>
        <w:tabs>
          <w:tab w:pos="1706" w:val="left" w:leader="none"/>
        </w:tabs>
        <w:spacing w:line="249" w:lineRule="auto" w:before="127" w:after="0"/>
        <w:ind w:left="1074" w:right="1274" w:firstLine="340"/>
        <w:jc w:val="both"/>
        <w:rPr>
          <w:sz w:val="20"/>
        </w:rPr>
      </w:pPr>
      <w:r>
        <w:rPr>
          <w:sz w:val="20"/>
        </w:rPr>
        <w:t>Las entidades contratantes verificarán si las empresas a cuyas capacidades el operador económico pretende recurrir cumplen los siguientes requisitos</w:t>
      </w:r>
      <w:r>
        <w:rPr>
          <w:spacing w:val="-13"/>
          <w:sz w:val="20"/>
        </w:rPr>
        <w:t> </w:t>
      </w:r>
      <w:r>
        <w:rPr>
          <w:sz w:val="20"/>
        </w:rPr>
        <w:t>cumulativos:</w:t>
      </w:r>
    </w:p>
    <w:p>
      <w:pPr>
        <w:pStyle w:val="ListParagraph"/>
        <w:numPr>
          <w:ilvl w:val="0"/>
          <w:numId w:val="67"/>
        </w:numPr>
        <w:tabs>
          <w:tab w:pos="1648" w:val="left" w:leader="none"/>
        </w:tabs>
        <w:spacing w:line="240" w:lineRule="auto" w:before="121" w:after="0"/>
        <w:ind w:left="1647" w:right="0" w:hanging="234"/>
        <w:jc w:val="left"/>
        <w:rPr>
          <w:sz w:val="20"/>
        </w:rPr>
      </w:pPr>
      <w:r>
        <w:rPr>
          <w:sz w:val="20"/>
        </w:rPr>
        <w:t>Los criterios de selección pertinentes establecidos en los pliegos de</w:t>
      </w:r>
      <w:r>
        <w:rPr>
          <w:spacing w:val="-16"/>
          <w:sz w:val="20"/>
        </w:rPr>
        <w:t> </w:t>
      </w:r>
      <w:r>
        <w:rPr>
          <w:sz w:val="20"/>
        </w:rPr>
        <w:t>condiciones.</w:t>
      </w:r>
    </w:p>
    <w:p>
      <w:pPr>
        <w:pStyle w:val="ListParagraph"/>
        <w:numPr>
          <w:ilvl w:val="0"/>
          <w:numId w:val="67"/>
        </w:numPr>
        <w:tabs>
          <w:tab w:pos="1665" w:val="left" w:leader="none"/>
        </w:tabs>
        <w:spacing w:line="249" w:lineRule="auto" w:before="10" w:after="0"/>
        <w:ind w:left="1074" w:right="1275" w:firstLine="339"/>
        <w:jc w:val="both"/>
        <w:rPr>
          <w:sz w:val="20"/>
        </w:rPr>
      </w:pPr>
      <w:r>
        <w:rPr>
          <w:sz w:val="20"/>
        </w:rPr>
        <w:t>Si están incursas en alguna de las prohibiciones para contratar que establece la Ley 9/2017, de 8 de</w:t>
      </w:r>
      <w:r>
        <w:rPr>
          <w:spacing w:val="-5"/>
          <w:sz w:val="20"/>
        </w:rPr>
        <w:t> </w:t>
      </w:r>
      <w:r>
        <w:rPr>
          <w:sz w:val="20"/>
        </w:rPr>
        <w:t>noviembre.</w:t>
      </w:r>
    </w:p>
    <w:p>
      <w:pPr>
        <w:pStyle w:val="BodyText"/>
        <w:spacing w:line="249" w:lineRule="auto" w:before="122"/>
        <w:ind w:right="1274"/>
      </w:pPr>
      <w:r>
        <w:rPr/>
        <w:t>Cuando la empresa no cumpla estos requisitos, la entidad contratante exigirá al operador económico que la sustituya por otra u otras que sí los cumplan.</w:t>
      </w:r>
    </w:p>
    <w:p>
      <w:pPr>
        <w:pStyle w:val="BodyText"/>
        <w:spacing w:before="4"/>
        <w:ind w:left="0" w:firstLine="0"/>
        <w:jc w:val="left"/>
      </w:pPr>
    </w:p>
    <w:p>
      <w:pPr>
        <w:spacing w:before="0"/>
        <w:ind w:left="1074" w:right="0" w:firstLine="0"/>
        <w:jc w:val="both"/>
        <w:rPr>
          <w:i/>
          <w:sz w:val="20"/>
        </w:rPr>
      </w:pPr>
      <w:bookmarkStart w:name="Artículo 37. Información a los candidato" w:id="68"/>
      <w:bookmarkEnd w:id="68"/>
      <w:r>
        <w:rPr/>
      </w:r>
      <w:r>
        <w:rPr>
          <w:b/>
          <w:sz w:val="20"/>
        </w:rPr>
        <w:t>Artículo 37. </w:t>
      </w:r>
      <w:r>
        <w:rPr>
          <w:i/>
          <w:sz w:val="20"/>
        </w:rPr>
        <w:t>Información a los candidatos.</w:t>
      </w:r>
    </w:p>
    <w:p>
      <w:pPr>
        <w:pStyle w:val="ListParagraph"/>
        <w:numPr>
          <w:ilvl w:val="0"/>
          <w:numId w:val="68"/>
        </w:numPr>
        <w:tabs>
          <w:tab w:pos="1694" w:val="left" w:leader="none"/>
        </w:tabs>
        <w:spacing w:line="249" w:lineRule="auto" w:before="118" w:after="0"/>
        <w:ind w:left="1074" w:right="1271" w:firstLine="340"/>
        <w:jc w:val="both"/>
        <w:rPr>
          <w:sz w:val="20"/>
        </w:rPr>
      </w:pPr>
      <w:r>
        <w:rPr>
          <w:sz w:val="20"/>
        </w:rPr>
        <w:t>Los criterios y normas de clasificación serán facilitados a las empresas que los soliciten, comunicándose su actualización a las empresas interesadas. Las entidades contratantes pondrán también en conocimiento de las mismas los nombres de las entidades u organismos terceros cuyo sistema de clasificación consideren que responde a sus exigencias.</w:t>
      </w:r>
    </w:p>
    <w:p>
      <w:pPr>
        <w:pStyle w:val="ListParagraph"/>
        <w:numPr>
          <w:ilvl w:val="0"/>
          <w:numId w:val="68"/>
        </w:numPr>
        <w:tabs>
          <w:tab w:pos="1650" w:val="left" w:leader="none"/>
        </w:tabs>
        <w:spacing w:line="249" w:lineRule="auto" w:before="4" w:after="0"/>
        <w:ind w:left="1074" w:right="1272" w:firstLine="340"/>
        <w:jc w:val="both"/>
        <w:rPr>
          <w:sz w:val="20"/>
        </w:rPr>
      </w:pPr>
      <w:r>
        <w:rPr>
          <w:sz w:val="20"/>
        </w:rPr>
        <w:t>Sin perjuicio de lo establecido en el apartado siguiente, la entidad contratante deberá notificar a los candidatos, en un plazo máximo de seis meses, contados desde la presentación de la solicitud de clasificación, la decisión adoptada sobre su clasificación. Cuando se deniegue la clasificación a un solicitante, esta decisión deberá informar motivadamente de las razones de rechazo, las cuales deberán basarse en los criterios de clasificación a que se refiere el artículo</w:t>
      </w:r>
      <w:r>
        <w:rPr>
          <w:spacing w:val="-6"/>
          <w:sz w:val="20"/>
        </w:rPr>
        <w:t> </w:t>
      </w:r>
      <w:r>
        <w:rPr>
          <w:sz w:val="20"/>
        </w:rPr>
        <w:t>33.</w:t>
      </w:r>
    </w:p>
    <w:p>
      <w:pPr>
        <w:pStyle w:val="ListParagraph"/>
        <w:numPr>
          <w:ilvl w:val="0"/>
          <w:numId w:val="68"/>
        </w:numPr>
        <w:tabs>
          <w:tab w:pos="1663" w:val="left" w:leader="none"/>
        </w:tabs>
        <w:spacing w:line="249" w:lineRule="auto" w:before="5" w:after="0"/>
        <w:ind w:left="1074" w:right="1272" w:firstLine="340"/>
        <w:jc w:val="both"/>
        <w:rPr>
          <w:sz w:val="20"/>
        </w:rPr>
      </w:pPr>
      <w:r>
        <w:rPr>
          <w:sz w:val="20"/>
        </w:rPr>
        <w:t>Si la decisión de clasificación requiriese un plazo superior a cuatro meses desde la presentación de la citada solicitud, la entidad competente deberá notificar al candidato, dentro de los dos meses siguientes a dicha presentación, las razones que justifican la prolongación del plazo y la fecha de resolución de su</w:t>
      </w:r>
      <w:r>
        <w:rPr>
          <w:spacing w:val="-10"/>
          <w:sz w:val="20"/>
        </w:rPr>
        <w:t> </w:t>
      </w:r>
      <w:r>
        <w:rPr>
          <w:sz w:val="20"/>
        </w:rPr>
        <w:t>solicitud.</w:t>
      </w:r>
    </w:p>
    <w:p>
      <w:pPr>
        <w:pStyle w:val="BodyText"/>
        <w:spacing w:before="5"/>
        <w:ind w:left="0" w:firstLine="0"/>
        <w:jc w:val="left"/>
      </w:pPr>
    </w:p>
    <w:p>
      <w:pPr>
        <w:spacing w:before="1"/>
        <w:ind w:left="1074" w:right="0" w:firstLine="0"/>
        <w:jc w:val="both"/>
        <w:rPr>
          <w:i/>
          <w:sz w:val="20"/>
        </w:rPr>
      </w:pPr>
      <w:bookmarkStart w:name="Artículo 38. Imparcialidad en la clasifi" w:id="69"/>
      <w:bookmarkEnd w:id="69"/>
      <w:r>
        <w:rPr/>
      </w:r>
      <w:r>
        <w:rPr>
          <w:b/>
          <w:sz w:val="20"/>
        </w:rPr>
        <w:t>Artículo 38. </w:t>
      </w:r>
      <w:r>
        <w:rPr>
          <w:i/>
          <w:sz w:val="20"/>
        </w:rPr>
        <w:t>Imparcialidad en la clasificación y relación de empresas clasificadas.</w:t>
      </w:r>
    </w:p>
    <w:p>
      <w:pPr>
        <w:pStyle w:val="ListParagraph"/>
        <w:numPr>
          <w:ilvl w:val="0"/>
          <w:numId w:val="69"/>
        </w:numPr>
        <w:tabs>
          <w:tab w:pos="1637" w:val="left" w:leader="none"/>
        </w:tabs>
        <w:spacing w:line="249" w:lineRule="auto" w:before="117" w:after="0"/>
        <w:ind w:left="1074" w:right="1274" w:firstLine="340"/>
        <w:jc w:val="both"/>
        <w:rPr>
          <w:sz w:val="20"/>
        </w:rPr>
      </w:pPr>
      <w:r>
        <w:rPr>
          <w:sz w:val="20"/>
        </w:rPr>
        <w:t>Al actualizar las normas y los criterios referentes a la clasificación de las empresas o al decidir sobre la clasificación, el órgano competente deberá abstenerse de: imponer a determinadas empresas condiciones administrativas, técnicas o financieras que no hayan sido impuestas a otras; y de exigir pruebas o justificantes que constituyan una repetición de pruebas objetivas ya</w:t>
      </w:r>
      <w:r>
        <w:rPr>
          <w:spacing w:val="-3"/>
          <w:sz w:val="20"/>
        </w:rPr>
        <w:t> </w:t>
      </w:r>
      <w:r>
        <w:rPr>
          <w:sz w:val="20"/>
        </w:rPr>
        <w:t>disponibles.</w:t>
      </w:r>
    </w:p>
    <w:p>
      <w:pPr>
        <w:pStyle w:val="ListParagraph"/>
        <w:numPr>
          <w:ilvl w:val="0"/>
          <w:numId w:val="69"/>
        </w:numPr>
        <w:tabs>
          <w:tab w:pos="1641" w:val="left" w:leader="none"/>
        </w:tabs>
        <w:spacing w:line="249" w:lineRule="auto" w:before="4" w:after="0"/>
        <w:ind w:left="1074" w:right="1274" w:firstLine="340"/>
        <w:jc w:val="both"/>
        <w:rPr>
          <w:sz w:val="20"/>
        </w:rPr>
      </w:pPr>
      <w:r>
        <w:rPr>
          <w:sz w:val="20"/>
        </w:rPr>
        <w:t>Se conservará una relación de las empresas clasificadas, mediante su incorporación a un registro escrito, pudiendo dividirse en categorías de empresas según el tipo de contratos para cuya realización sea válida la</w:t>
      </w:r>
      <w:r>
        <w:rPr>
          <w:spacing w:val="-3"/>
          <w:sz w:val="20"/>
        </w:rPr>
        <w:t> </w:t>
      </w:r>
      <w:r>
        <w:rPr>
          <w:sz w:val="20"/>
        </w:rPr>
        <w:t>clasificación.</w:t>
      </w:r>
    </w:p>
    <w:p>
      <w:pPr>
        <w:pStyle w:val="BodyText"/>
        <w:spacing w:line="249" w:lineRule="auto" w:before="3"/>
        <w:ind w:right="1272"/>
      </w:pPr>
      <w:r>
        <w:rPr/>
        <w:t>El acceso al registro a que se refiere el párrafo anterior no será público cuando el número de empresas clasificadas en determinadas categorías sea lo suficientemente reducido como para dar lugar a un riesgo de colusión entre</w:t>
      </w:r>
      <w:r>
        <w:rPr>
          <w:spacing w:val="-12"/>
        </w:rPr>
        <w:t> </w:t>
      </w:r>
      <w:r>
        <w:rPr/>
        <w:t>ellas.</w:t>
      </w:r>
    </w:p>
    <w:p>
      <w:pPr>
        <w:pStyle w:val="BodyText"/>
        <w:spacing w:before="5"/>
        <w:ind w:left="0" w:firstLine="0"/>
        <w:jc w:val="left"/>
      </w:pPr>
    </w:p>
    <w:p>
      <w:pPr>
        <w:spacing w:before="0"/>
        <w:ind w:left="1074" w:right="0" w:firstLine="0"/>
        <w:jc w:val="both"/>
        <w:rPr>
          <w:i/>
          <w:sz w:val="20"/>
        </w:rPr>
      </w:pPr>
      <w:bookmarkStart w:name="Artículo 39. Anulación de clasificacione" w:id="70"/>
      <w:bookmarkEnd w:id="70"/>
      <w:r>
        <w:rPr/>
      </w:r>
      <w:r>
        <w:rPr>
          <w:b/>
          <w:sz w:val="20"/>
        </w:rPr>
        <w:t>Artículo 39. </w:t>
      </w:r>
      <w:r>
        <w:rPr>
          <w:i/>
          <w:sz w:val="20"/>
        </w:rPr>
        <w:t>Anulación de clasificaciones.</w:t>
      </w:r>
    </w:p>
    <w:p>
      <w:pPr>
        <w:pStyle w:val="ListParagraph"/>
        <w:numPr>
          <w:ilvl w:val="0"/>
          <w:numId w:val="70"/>
        </w:numPr>
        <w:tabs>
          <w:tab w:pos="1649" w:val="left" w:leader="none"/>
        </w:tabs>
        <w:spacing w:line="249" w:lineRule="auto" w:before="117" w:after="0"/>
        <w:ind w:left="1074" w:right="1276" w:firstLine="340"/>
        <w:jc w:val="both"/>
        <w:rPr>
          <w:sz w:val="20"/>
        </w:rPr>
      </w:pPr>
      <w:r>
        <w:rPr>
          <w:sz w:val="20"/>
        </w:rPr>
        <w:t>Únicamente se podrá anular la clasificación de una empresa por razones basadas en los criterios aplicables en cada caso a que se refiere el artículo 33 de este</w:t>
      </w:r>
      <w:r>
        <w:rPr>
          <w:spacing w:val="-40"/>
          <w:sz w:val="20"/>
        </w:rPr>
        <w:t> </w:t>
      </w:r>
      <w:r>
        <w:rPr>
          <w:sz w:val="20"/>
        </w:rPr>
        <w:t>real decreto-ley.</w:t>
      </w:r>
    </w:p>
    <w:p>
      <w:pPr>
        <w:pStyle w:val="ListParagraph"/>
        <w:numPr>
          <w:ilvl w:val="0"/>
          <w:numId w:val="70"/>
        </w:numPr>
        <w:tabs>
          <w:tab w:pos="1675" w:val="left" w:leader="none"/>
        </w:tabs>
        <w:spacing w:line="249" w:lineRule="auto" w:before="2" w:after="0"/>
        <w:ind w:left="1074" w:right="1274" w:firstLine="340"/>
        <w:jc w:val="both"/>
        <w:rPr>
          <w:sz w:val="20"/>
        </w:rPr>
      </w:pPr>
      <w:r>
        <w:rPr>
          <w:sz w:val="20"/>
        </w:rPr>
        <w:t>Se deberá notificar por escrito a la empresa la intención de anular la clasificación como mínimo quince días antes a la fecha prevista para poner fin a la clasificación indicando la razón o razones que justifican dicha decisión, disponiendo aquella de un plazo de diez días para alegar y presentar los documentos y justificaciones que estime</w:t>
      </w:r>
      <w:r>
        <w:rPr>
          <w:spacing w:val="-36"/>
          <w:sz w:val="20"/>
        </w:rPr>
        <w:t> </w:t>
      </w:r>
      <w:r>
        <w:rPr>
          <w:sz w:val="20"/>
        </w:rPr>
        <w:t>pertinentes.</w:t>
      </w:r>
    </w:p>
    <w:p>
      <w:pPr>
        <w:pStyle w:val="BodyText"/>
        <w:spacing w:before="6"/>
        <w:ind w:left="0" w:firstLine="0"/>
        <w:jc w:val="left"/>
      </w:pPr>
    </w:p>
    <w:p>
      <w:pPr>
        <w:spacing w:line="249" w:lineRule="auto" w:before="0"/>
        <w:ind w:left="1074" w:right="1274" w:hanging="1"/>
        <w:jc w:val="both"/>
        <w:rPr>
          <w:i/>
          <w:sz w:val="20"/>
        </w:rPr>
      </w:pPr>
      <w:bookmarkStart w:name="Artículo 40. Convocatoria de licitación " w:id="71"/>
      <w:bookmarkEnd w:id="71"/>
      <w:r>
        <w:rPr/>
      </w:r>
      <w:r>
        <w:rPr>
          <w:b/>
          <w:sz w:val="20"/>
        </w:rPr>
        <w:t>Artículo 40. </w:t>
      </w:r>
      <w:r>
        <w:rPr>
          <w:i/>
          <w:sz w:val="20"/>
        </w:rPr>
        <w:t>Convocatoria de licitación por medio de un anuncio sobre la existencia de un </w:t>
      </w:r>
      <w:r>
        <w:rPr>
          <w:i/>
          <w:sz w:val="20"/>
        </w:rPr>
        <w:t>sistema de clasificación.</w:t>
      </w:r>
    </w:p>
    <w:p>
      <w:pPr>
        <w:pStyle w:val="BodyText"/>
        <w:spacing w:line="249" w:lineRule="auto" w:before="109"/>
        <w:ind w:right="1273"/>
      </w:pPr>
      <w:r>
        <w:rPr/>
        <w:t>Cuando se lleve a cabo una convocatoria de licitación por medio de un anuncio sobre la existencia de un sistema de clasificación creado por una entidad contratante de conformidad con lo dispuesto en el artículo 32.1, se seleccionará a los licitadores en procedimientos restringidos o a los participantes en un procedimiento de licitación con negociación, en un diálogo competitivo o en una asociación para la innovación, de entre los candidatos clasificados con arreglo a tal sistema.</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pPr>
    </w:p>
    <w:p>
      <w:pPr>
        <w:pStyle w:val="BodyText"/>
        <w:spacing w:before="8"/>
        <w:ind w:left="0" w:firstLine="0"/>
        <w:jc w:val="left"/>
      </w:pPr>
    </w:p>
    <w:p>
      <w:pPr>
        <w:pStyle w:val="BodyText"/>
        <w:spacing w:before="1"/>
        <w:ind w:left="2930" w:right="3127" w:firstLine="0"/>
        <w:jc w:val="center"/>
      </w:pPr>
      <w:bookmarkStart w:name="TÍTULO III. Preparación y documentación " w:id="72"/>
      <w:bookmarkEnd w:id="72"/>
      <w:r>
        <w:rPr/>
      </w:r>
      <w:bookmarkStart w:name="_bookmark15" w:id="73"/>
      <w:bookmarkEnd w:id="73"/>
      <w:r>
        <w:rPr/>
      </w:r>
      <w:r>
        <w:rPr/>
        <w:t>TÍTULO III</w:t>
      </w:r>
    </w:p>
    <w:p>
      <w:pPr>
        <w:pStyle w:val="Heading1"/>
        <w:ind w:left="2930"/>
      </w:pPr>
      <w:r>
        <w:rPr/>
        <w:t>Preparación y documentación del contrato</w:t>
      </w:r>
    </w:p>
    <w:p>
      <w:pPr>
        <w:pStyle w:val="BodyText"/>
        <w:spacing w:before="5"/>
        <w:ind w:left="0" w:firstLine="0"/>
        <w:jc w:val="left"/>
        <w:rPr>
          <w:b/>
          <w:sz w:val="30"/>
        </w:rPr>
      </w:pPr>
    </w:p>
    <w:p>
      <w:pPr>
        <w:spacing w:before="0"/>
        <w:ind w:left="1074" w:right="0" w:firstLine="0"/>
        <w:jc w:val="both"/>
        <w:rPr>
          <w:i/>
          <w:sz w:val="20"/>
        </w:rPr>
      </w:pPr>
      <w:bookmarkStart w:name="Artículo 41. Consultas preliminares del " w:id="74"/>
      <w:bookmarkEnd w:id="74"/>
      <w:r>
        <w:rPr/>
      </w:r>
      <w:r>
        <w:rPr>
          <w:b/>
          <w:sz w:val="20"/>
        </w:rPr>
        <w:t>Artículo 41. </w:t>
      </w:r>
      <w:r>
        <w:rPr>
          <w:i/>
          <w:sz w:val="20"/>
        </w:rPr>
        <w:t>Consultas preliminares del mercado.</w:t>
      </w:r>
    </w:p>
    <w:p>
      <w:pPr>
        <w:pStyle w:val="ListParagraph"/>
        <w:numPr>
          <w:ilvl w:val="0"/>
          <w:numId w:val="71"/>
        </w:numPr>
        <w:tabs>
          <w:tab w:pos="1657" w:val="left" w:leader="none"/>
        </w:tabs>
        <w:spacing w:line="249" w:lineRule="auto" w:before="118" w:after="0"/>
        <w:ind w:left="1074" w:right="1273" w:firstLine="340"/>
        <w:jc w:val="both"/>
        <w:rPr>
          <w:sz w:val="20"/>
        </w:rPr>
      </w:pPr>
      <w:r>
        <w:rPr>
          <w:sz w:val="20"/>
        </w:rPr>
        <w:t>Las entidades contratantes podrán realizar estudios de mercado y dirigir consultas a los operadores económicos que estuvieran activos en el mismo con la finalidad de preparar correctamente la licitación e informar a los citados operadores económicos acerca de sus planes y de los requisitos que exigirán para concurrir al procedimiento. Para ello las entidades contratantes podrán valerse del asesoramiento de terceros, que podrán ser expertos o autoridades independientes, colegios profesionales, representantes sectoriales o, incluso, con carácter excepcional, operadores económicos activos en el</w:t>
      </w:r>
      <w:r>
        <w:rPr>
          <w:spacing w:val="-21"/>
          <w:sz w:val="20"/>
        </w:rPr>
        <w:t> </w:t>
      </w:r>
      <w:r>
        <w:rPr>
          <w:sz w:val="20"/>
        </w:rPr>
        <w:t>mercado.</w:t>
      </w:r>
    </w:p>
    <w:p>
      <w:pPr>
        <w:pStyle w:val="BodyText"/>
        <w:spacing w:line="249" w:lineRule="auto" w:before="5"/>
        <w:ind w:right="1273"/>
      </w:pPr>
      <w:r>
        <w:rPr/>
        <w:t>Antes de iniciarse la consulta, la entidad contratante publicará en el perfil de contratante el objeto de la misma, cuándo se iniciará esta y las denominaciones de los terceros que vayan a participar en la consulta, a efectos de que puedan tener acceso y posibilidad de realizar aportaciones todos los posibles interesados. Asimismo, en el perfil del contratante se publicarán las razones que motiven la elección de los asesores externos que resulten seleccionados.</w:t>
      </w:r>
    </w:p>
    <w:p>
      <w:pPr>
        <w:pStyle w:val="ListParagraph"/>
        <w:numPr>
          <w:ilvl w:val="0"/>
          <w:numId w:val="71"/>
        </w:numPr>
        <w:tabs>
          <w:tab w:pos="1668" w:val="left" w:leader="none"/>
        </w:tabs>
        <w:spacing w:line="249" w:lineRule="auto" w:before="5" w:after="0"/>
        <w:ind w:left="1074" w:right="1272" w:firstLine="340"/>
        <w:jc w:val="both"/>
        <w:rPr>
          <w:sz w:val="20"/>
        </w:rPr>
      </w:pPr>
      <w:r>
        <w:rPr>
          <w:sz w:val="20"/>
        </w:rPr>
        <w:t>El asesoramiento a que se refiere el apartado anterior será utilizado por la entidad contratante para planificar el procedimiento de licitación y, también, durante la sustanciación del mismo, siempre y cuando ello no tenga el efecto de falsear la competencia o de vulnerar los principios de no discriminación y de</w:t>
      </w:r>
      <w:r>
        <w:rPr>
          <w:spacing w:val="-9"/>
          <w:sz w:val="20"/>
        </w:rPr>
        <w:t> </w:t>
      </w:r>
      <w:r>
        <w:rPr>
          <w:sz w:val="20"/>
        </w:rPr>
        <w:t>transparencia.</w:t>
      </w:r>
    </w:p>
    <w:p>
      <w:pPr>
        <w:pStyle w:val="BodyText"/>
        <w:spacing w:line="249" w:lineRule="auto" w:before="4"/>
        <w:ind w:right="1273"/>
      </w:pPr>
      <w:r>
        <w:rPr/>
        <w:t>De las consultas realizadas no podrá resultar un objeto contractual tan concreto y delimitado que únicamente se ajuste a las características técnicas de uno de los consultados. El resultado de los estudios y consultas debe, en su caso, concretarse en la introducción de características genéricas, exigencias generales o fórmulas abstractas que aseguren una mejor satisfacción de los intereses públicos, sin que en ningún caso, puedan las consultas realizadas comportar ventajas respecto de la adjudicación del contrato para las empresas participantes en</w:t>
      </w:r>
      <w:r>
        <w:rPr>
          <w:spacing w:val="-4"/>
        </w:rPr>
        <w:t> </w:t>
      </w:r>
      <w:r>
        <w:rPr/>
        <w:t>aquellas.</w:t>
      </w:r>
    </w:p>
    <w:p>
      <w:pPr>
        <w:pStyle w:val="ListParagraph"/>
        <w:numPr>
          <w:ilvl w:val="0"/>
          <w:numId w:val="71"/>
        </w:numPr>
        <w:tabs>
          <w:tab w:pos="1699" w:val="left" w:leader="none"/>
        </w:tabs>
        <w:spacing w:line="249" w:lineRule="auto" w:before="5" w:after="0"/>
        <w:ind w:left="1074" w:right="1272" w:firstLine="340"/>
        <w:jc w:val="both"/>
        <w:rPr>
          <w:sz w:val="20"/>
        </w:rPr>
      </w:pPr>
      <w:r>
        <w:rPr>
          <w:sz w:val="20"/>
        </w:rPr>
        <w:t>Cuando la entidad contratante haya realizado las consultas a que se refiere el presente artículo, la misma hará constar en un informe lo siguiente: las actuaciones acometidas, los estudios realizados y sus autores, las entidades consultadas, las cuestiones que se les han formulado y las respuestas a las mismas. Este informe estará motivado, formará parte del expediente de contratación y estará sujeto a las mismas obligaciones de publicidad que los pliegos de condiciones, publicándose en todo caso en el perfil del contratante de la entidad</w:t>
      </w:r>
      <w:r>
        <w:rPr>
          <w:spacing w:val="-4"/>
          <w:sz w:val="20"/>
        </w:rPr>
        <w:t> </w:t>
      </w:r>
      <w:r>
        <w:rPr>
          <w:sz w:val="20"/>
        </w:rPr>
        <w:t>contratante.</w:t>
      </w:r>
    </w:p>
    <w:p>
      <w:pPr>
        <w:pStyle w:val="BodyText"/>
        <w:spacing w:line="249" w:lineRule="auto" w:before="6"/>
        <w:ind w:right="1274"/>
      </w:pPr>
      <w:r>
        <w:rPr/>
        <w:t>En ningún caso durante el proceso de consultas al que se refiere el presente artículo la entidad contratante podrá revelar a los participantes en el mismo las soluciones propuestas por los otros participantes, siendo las mismas solo conocidas íntegramente por aquella.</w:t>
      </w:r>
    </w:p>
    <w:p>
      <w:pPr>
        <w:pStyle w:val="BodyText"/>
        <w:spacing w:line="249" w:lineRule="auto" w:before="3"/>
        <w:ind w:right="1273"/>
      </w:pPr>
      <w:r>
        <w:rPr/>
        <w:t>Con carácter general, la entidad contratante al elaborar los pliegos deberá tener en cuenta los resultados de las consultas realizadas; de no ser así deberá dejar constancia de los motivos en el informe a que se refiere el primer párrafo de este apartado.</w:t>
      </w:r>
    </w:p>
    <w:p>
      <w:pPr>
        <w:pStyle w:val="BodyText"/>
        <w:spacing w:line="249" w:lineRule="auto"/>
        <w:ind w:right="1276"/>
      </w:pPr>
      <w:r>
        <w:rPr/>
        <w:t>La participación en la consulta no impide la posterior intervención en el procedimiento de contratación que en su caso se tramite.</w:t>
      </w:r>
    </w:p>
    <w:p>
      <w:pPr>
        <w:pStyle w:val="BodyText"/>
        <w:spacing w:before="4"/>
        <w:ind w:left="0" w:firstLine="0"/>
        <w:jc w:val="left"/>
      </w:pPr>
    </w:p>
    <w:p>
      <w:pPr>
        <w:spacing w:before="0"/>
        <w:ind w:left="1074" w:right="0" w:firstLine="0"/>
        <w:jc w:val="both"/>
        <w:rPr>
          <w:i/>
          <w:sz w:val="20"/>
        </w:rPr>
      </w:pPr>
      <w:bookmarkStart w:name="Artículo 42. Delimitación del objeto del" w:id="75"/>
      <w:bookmarkEnd w:id="75"/>
      <w:r>
        <w:rPr/>
      </w:r>
      <w:r>
        <w:rPr>
          <w:b/>
          <w:sz w:val="20"/>
        </w:rPr>
        <w:t>Artículo 42. </w:t>
      </w:r>
      <w:r>
        <w:rPr>
          <w:i/>
          <w:sz w:val="20"/>
        </w:rPr>
        <w:t>Delimitación del objeto del contrato.</w:t>
      </w:r>
    </w:p>
    <w:p>
      <w:pPr>
        <w:pStyle w:val="BodyText"/>
        <w:spacing w:line="249" w:lineRule="auto" w:before="118"/>
        <w:ind w:right="1274"/>
      </w:pPr>
      <w:r>
        <w:rPr/>
        <w:t>La naturaleza y extensión de las necesidades que pretenden cubrirse mediante el contrato proyectado, así como la idoneidad de su objeto y contenido para satisfacerlas, deben ser determinadas con precisión, dejando constancia de ello en la documentación preparatoria, antes de iniciar el procedimiento encaminado a su adjudicación.</w:t>
      </w:r>
    </w:p>
    <w:p>
      <w:pPr>
        <w:pStyle w:val="BodyText"/>
        <w:spacing w:before="6"/>
        <w:ind w:left="0" w:firstLine="0"/>
        <w:jc w:val="left"/>
      </w:pPr>
    </w:p>
    <w:p>
      <w:pPr>
        <w:tabs>
          <w:tab w:pos="2420" w:val="left" w:leader="none"/>
        </w:tabs>
        <w:spacing w:line="249" w:lineRule="auto" w:before="0"/>
        <w:ind w:left="1074" w:right="1278" w:firstLine="0"/>
        <w:jc w:val="left"/>
        <w:rPr>
          <w:i/>
          <w:sz w:val="20"/>
        </w:rPr>
      </w:pPr>
      <w:bookmarkStart w:name="Artículo 43. Pliegos de condiciones, sub" w:id="76"/>
      <w:bookmarkEnd w:id="76"/>
      <w:r>
        <w:rPr/>
      </w:r>
      <w:r>
        <w:rPr>
          <w:b/>
          <w:sz w:val="20"/>
        </w:rPr>
        <w:t>Artículo</w:t>
      </w:r>
      <w:r>
        <w:rPr>
          <w:b/>
          <w:spacing w:val="44"/>
          <w:sz w:val="20"/>
        </w:rPr>
        <w:t> </w:t>
      </w:r>
      <w:r>
        <w:rPr>
          <w:b/>
          <w:sz w:val="20"/>
        </w:rPr>
        <w:t>43.</w:t>
        <w:tab/>
      </w:r>
      <w:r>
        <w:rPr>
          <w:i/>
          <w:sz w:val="20"/>
        </w:rPr>
        <w:t>Pliegos de condiciones, subrogación de trabajadores y presupuesto de la </w:t>
      </w:r>
      <w:r>
        <w:rPr>
          <w:i/>
          <w:sz w:val="20"/>
        </w:rPr>
        <w:t>licitación.</w:t>
      </w:r>
    </w:p>
    <w:p>
      <w:pPr>
        <w:pStyle w:val="ListParagraph"/>
        <w:numPr>
          <w:ilvl w:val="0"/>
          <w:numId w:val="72"/>
        </w:numPr>
        <w:tabs>
          <w:tab w:pos="1684" w:val="left" w:leader="none"/>
        </w:tabs>
        <w:spacing w:line="249" w:lineRule="auto" w:before="109" w:after="0"/>
        <w:ind w:left="1074" w:right="1273" w:firstLine="340"/>
        <w:jc w:val="both"/>
        <w:rPr>
          <w:sz w:val="20"/>
        </w:rPr>
      </w:pPr>
      <w:r>
        <w:rPr>
          <w:sz w:val="20"/>
        </w:rPr>
        <w:t>Las entidades contratantes incluirán en el pliego de condiciones propias de cada contrato</w:t>
      </w:r>
      <w:r>
        <w:rPr>
          <w:spacing w:val="7"/>
          <w:sz w:val="20"/>
        </w:rPr>
        <w:t> </w:t>
      </w:r>
      <w:r>
        <w:rPr>
          <w:sz w:val="20"/>
        </w:rPr>
        <w:t>las</w:t>
      </w:r>
      <w:r>
        <w:rPr>
          <w:spacing w:val="7"/>
          <w:sz w:val="20"/>
        </w:rPr>
        <w:t> </w:t>
      </w:r>
      <w:r>
        <w:rPr>
          <w:sz w:val="20"/>
        </w:rPr>
        <w:t>prescripciones</w:t>
      </w:r>
      <w:r>
        <w:rPr>
          <w:spacing w:val="7"/>
          <w:sz w:val="20"/>
        </w:rPr>
        <w:t> </w:t>
      </w:r>
      <w:r>
        <w:rPr>
          <w:sz w:val="20"/>
        </w:rPr>
        <w:t>jurídicas,</w:t>
      </w:r>
      <w:r>
        <w:rPr>
          <w:spacing w:val="7"/>
          <w:sz w:val="20"/>
        </w:rPr>
        <w:t> </w:t>
      </w:r>
      <w:r>
        <w:rPr>
          <w:sz w:val="20"/>
        </w:rPr>
        <w:t>económicas</w:t>
      </w:r>
      <w:r>
        <w:rPr>
          <w:spacing w:val="7"/>
          <w:sz w:val="20"/>
        </w:rPr>
        <w:t> </w:t>
      </w:r>
      <w:r>
        <w:rPr>
          <w:sz w:val="20"/>
        </w:rPr>
        <w:t>y</w:t>
      </w:r>
      <w:r>
        <w:rPr>
          <w:spacing w:val="7"/>
          <w:sz w:val="20"/>
        </w:rPr>
        <w:t> </w:t>
      </w:r>
      <w:r>
        <w:rPr>
          <w:sz w:val="20"/>
        </w:rPr>
        <w:t>técnicas</w:t>
      </w:r>
      <w:r>
        <w:rPr>
          <w:spacing w:val="7"/>
          <w:sz w:val="20"/>
        </w:rPr>
        <w:t> </w:t>
      </w:r>
      <w:r>
        <w:rPr>
          <w:sz w:val="20"/>
        </w:rPr>
        <w:t>que</w:t>
      </w:r>
      <w:r>
        <w:rPr>
          <w:spacing w:val="8"/>
          <w:sz w:val="20"/>
        </w:rPr>
        <w:t> </w:t>
      </w:r>
      <w:r>
        <w:rPr>
          <w:sz w:val="20"/>
        </w:rPr>
        <w:t>hayan</w:t>
      </w:r>
      <w:r>
        <w:rPr>
          <w:spacing w:val="7"/>
          <w:sz w:val="20"/>
        </w:rPr>
        <w:t> </w:t>
      </w:r>
      <w:r>
        <w:rPr>
          <w:sz w:val="20"/>
        </w:rPr>
        <w:t>de</w:t>
      </w:r>
      <w:r>
        <w:rPr>
          <w:spacing w:val="7"/>
          <w:sz w:val="20"/>
        </w:rPr>
        <w:t> </w:t>
      </w:r>
      <w:r>
        <w:rPr>
          <w:sz w:val="20"/>
        </w:rPr>
        <w:t>regir</w:t>
      </w:r>
      <w:r>
        <w:rPr>
          <w:spacing w:val="7"/>
          <w:sz w:val="20"/>
        </w:rPr>
        <w:t> </w:t>
      </w:r>
      <w:r>
        <w:rPr>
          <w:sz w:val="20"/>
        </w:rPr>
        <w:t>la</w:t>
      </w:r>
      <w:r>
        <w:rPr>
          <w:spacing w:val="7"/>
          <w:sz w:val="20"/>
        </w:rPr>
        <w:t> </w:t>
      </w:r>
      <w:r>
        <w:rPr>
          <w:sz w:val="20"/>
        </w:rPr>
        <w:t>ejecución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de la prestación, de conformidad con los requisitos que establece el presente real decreto- ley. En particular en los pliegos de condiciones se incluirán los criterios de solvencia y adjudicación del contrato; las consideraciones sociales, laborales y ambientales que como criterios de solvencia, de adjudicación o como condiciones especiales de ejecución se establezcan; los pactos y condiciones definidores de los derechos y obligaciones de las partes del contrato; la obligación del adjudicatario de cumplir las condiciones salariales de  los trabajadores conforme al Convenio Colectivo sectorial de aplicación; y las demás menciones requeridas por este real decreto-ley y sus normas de</w:t>
      </w:r>
      <w:r>
        <w:rPr>
          <w:spacing w:val="-14"/>
        </w:rPr>
        <w:t> </w:t>
      </w:r>
      <w:r>
        <w:rPr/>
        <w:t>desarrollo.</w:t>
      </w:r>
    </w:p>
    <w:p>
      <w:pPr>
        <w:pStyle w:val="ListParagraph"/>
        <w:numPr>
          <w:ilvl w:val="0"/>
          <w:numId w:val="72"/>
        </w:numPr>
        <w:tabs>
          <w:tab w:pos="1647" w:val="left" w:leader="none"/>
        </w:tabs>
        <w:spacing w:line="249" w:lineRule="auto" w:before="6" w:after="0"/>
        <w:ind w:left="1074" w:right="1274" w:firstLine="340"/>
        <w:jc w:val="both"/>
        <w:rPr>
          <w:sz w:val="20"/>
        </w:rPr>
      </w:pPr>
      <w:r>
        <w:rPr>
          <w:sz w:val="20"/>
        </w:rPr>
        <w:t>Las entidades contratantes ofrecerán acceso a los pliegos de condiciones por medios electrónicos a través de su perfil de contratante, acceso que será libre, directo, completo y gratuito, y que deberá poder efectuarse desde la fecha de la publicación en el «Diario Oficial de la Unión Europea» del anuncio que sirva como medio de convocatoria de licitación o, en el</w:t>
      </w:r>
      <w:r>
        <w:rPr>
          <w:spacing w:val="-5"/>
          <w:sz w:val="20"/>
        </w:rPr>
        <w:t> </w:t>
      </w:r>
      <w:r>
        <w:rPr>
          <w:sz w:val="20"/>
        </w:rPr>
        <w:t>caso</w:t>
      </w:r>
      <w:r>
        <w:rPr>
          <w:spacing w:val="-3"/>
          <w:sz w:val="20"/>
        </w:rPr>
        <w:t> </w:t>
      </w:r>
      <w:r>
        <w:rPr>
          <w:sz w:val="20"/>
        </w:rPr>
        <w:t>del</w:t>
      </w:r>
      <w:r>
        <w:rPr>
          <w:spacing w:val="-4"/>
          <w:sz w:val="20"/>
        </w:rPr>
        <w:t> </w:t>
      </w:r>
      <w:r>
        <w:rPr>
          <w:sz w:val="20"/>
        </w:rPr>
        <w:t>procedimiento</w:t>
      </w:r>
      <w:r>
        <w:rPr>
          <w:spacing w:val="-4"/>
          <w:sz w:val="20"/>
        </w:rPr>
        <w:t> </w:t>
      </w:r>
      <w:r>
        <w:rPr>
          <w:sz w:val="20"/>
        </w:rPr>
        <w:t>negociado</w:t>
      </w:r>
      <w:r>
        <w:rPr>
          <w:spacing w:val="-5"/>
          <w:sz w:val="20"/>
        </w:rPr>
        <w:t> </w:t>
      </w:r>
      <w:r>
        <w:rPr>
          <w:sz w:val="20"/>
        </w:rPr>
        <w:t>sin</w:t>
      </w:r>
      <w:r>
        <w:rPr>
          <w:spacing w:val="-3"/>
          <w:sz w:val="20"/>
        </w:rPr>
        <w:t> </w:t>
      </w:r>
      <w:r>
        <w:rPr>
          <w:sz w:val="20"/>
        </w:rPr>
        <w:t>publicidad</w:t>
      </w:r>
      <w:r>
        <w:rPr>
          <w:spacing w:val="-4"/>
          <w:sz w:val="20"/>
        </w:rPr>
        <w:t> </w:t>
      </w:r>
      <w:r>
        <w:rPr>
          <w:sz w:val="20"/>
        </w:rPr>
        <w:t>desde</w:t>
      </w:r>
      <w:r>
        <w:rPr>
          <w:spacing w:val="-5"/>
          <w:sz w:val="20"/>
        </w:rPr>
        <w:t> </w:t>
      </w:r>
      <w:r>
        <w:rPr>
          <w:sz w:val="20"/>
        </w:rPr>
        <w:t>la</w:t>
      </w:r>
      <w:r>
        <w:rPr>
          <w:spacing w:val="-4"/>
          <w:sz w:val="20"/>
        </w:rPr>
        <w:t> </w:t>
      </w:r>
      <w:r>
        <w:rPr>
          <w:sz w:val="20"/>
        </w:rPr>
        <w:t>fecha</w:t>
      </w:r>
      <w:r>
        <w:rPr>
          <w:spacing w:val="-3"/>
          <w:sz w:val="20"/>
        </w:rPr>
        <w:t> </w:t>
      </w:r>
      <w:r>
        <w:rPr>
          <w:sz w:val="20"/>
        </w:rPr>
        <w:t>del</w:t>
      </w:r>
      <w:r>
        <w:rPr>
          <w:spacing w:val="-4"/>
          <w:sz w:val="20"/>
        </w:rPr>
        <w:t> </w:t>
      </w:r>
      <w:r>
        <w:rPr>
          <w:sz w:val="20"/>
        </w:rPr>
        <w:t>envío</w:t>
      </w:r>
      <w:r>
        <w:rPr>
          <w:spacing w:val="-5"/>
          <w:sz w:val="20"/>
        </w:rPr>
        <w:t> </w:t>
      </w:r>
      <w:r>
        <w:rPr>
          <w:sz w:val="20"/>
        </w:rPr>
        <w:t>de</w:t>
      </w:r>
      <w:r>
        <w:rPr>
          <w:spacing w:val="-4"/>
          <w:sz w:val="20"/>
        </w:rPr>
        <w:t> </w:t>
      </w:r>
      <w:r>
        <w:rPr>
          <w:sz w:val="20"/>
        </w:rPr>
        <w:t>la</w:t>
      </w:r>
      <w:r>
        <w:rPr>
          <w:spacing w:val="-4"/>
          <w:sz w:val="20"/>
        </w:rPr>
        <w:t> </w:t>
      </w:r>
      <w:r>
        <w:rPr>
          <w:sz w:val="20"/>
        </w:rPr>
        <w:t>invitación.</w:t>
      </w:r>
    </w:p>
    <w:p>
      <w:pPr>
        <w:pStyle w:val="BodyText"/>
        <w:spacing w:line="249" w:lineRule="auto" w:before="4"/>
        <w:ind w:right="1272"/>
      </w:pPr>
      <w:r>
        <w:rPr/>
        <w:t>Cuando el medio de convocatoria de la licitación sea un anuncio sobre la existencia de un sistema de clasificación, este acceso se ofrecerá lo antes posible y, a más tardar, cuando se envíe la invitación a licitar o a negociar. El texto del anuncio deberá indicar la dirección de internet en que pueden consultarse los pliegos de</w:t>
      </w:r>
      <w:r>
        <w:rPr>
          <w:spacing w:val="-11"/>
        </w:rPr>
        <w:t> </w:t>
      </w:r>
      <w:r>
        <w:rPr/>
        <w:t>condiciones.</w:t>
      </w:r>
    </w:p>
    <w:p>
      <w:pPr>
        <w:pStyle w:val="ListParagraph"/>
        <w:numPr>
          <w:ilvl w:val="0"/>
          <w:numId w:val="72"/>
        </w:numPr>
        <w:tabs>
          <w:tab w:pos="1711" w:val="left" w:leader="none"/>
        </w:tabs>
        <w:spacing w:line="249" w:lineRule="auto" w:before="4" w:after="0"/>
        <w:ind w:left="1074" w:right="1273" w:firstLine="340"/>
        <w:jc w:val="both"/>
        <w:rPr>
          <w:sz w:val="20"/>
        </w:rPr>
      </w:pPr>
      <w:r>
        <w:rPr>
          <w:sz w:val="20"/>
        </w:rPr>
        <w:t>Excepcionalmente, en los casos que se señalan a continuación, las entidades contratantes podrán dar acceso a los pliegos de condiciones y demás documentación complementaria de la licitación, valiéndose de medios no electrónicos. En ese caso el anuncio que sirva como medio de convocatoria de licitación o la invitación a los candidatos seleccionados advertirán de esta circunstancia; y el plazo de presentación de las proposiciones o de las solicitudes de participación se prolongará cinco días, salvo en los casos de urgencia debidamente justificados mencionados en el artículo 82.5, y cuando el plazo se establezca de mutuo acuerdo de conformidad con lo dispuesto en los artículos 83.4 y</w:t>
      </w:r>
      <w:r>
        <w:rPr>
          <w:spacing w:val="-1"/>
          <w:sz w:val="20"/>
        </w:rPr>
        <w:t> </w:t>
      </w:r>
      <w:r>
        <w:rPr>
          <w:sz w:val="20"/>
        </w:rPr>
        <w:t>84.5.</w:t>
      </w:r>
    </w:p>
    <w:p>
      <w:pPr>
        <w:pStyle w:val="BodyText"/>
        <w:spacing w:line="249" w:lineRule="auto" w:before="7"/>
        <w:ind w:right="1276"/>
      </w:pPr>
      <w:r>
        <w:rPr/>
        <w:t>El acceso no electrónico a los pliegos de condiciones de la licitación estará justificado cuando concurra alguno de los siguientes supuestos:</w:t>
      </w:r>
    </w:p>
    <w:p>
      <w:pPr>
        <w:pStyle w:val="ListParagraph"/>
        <w:numPr>
          <w:ilvl w:val="0"/>
          <w:numId w:val="73"/>
        </w:numPr>
        <w:tabs>
          <w:tab w:pos="1661" w:val="left" w:leader="none"/>
        </w:tabs>
        <w:spacing w:line="249" w:lineRule="auto" w:before="122" w:after="0"/>
        <w:ind w:left="1074" w:right="1272" w:firstLine="340"/>
        <w:jc w:val="both"/>
        <w:rPr>
          <w:sz w:val="20"/>
        </w:rPr>
      </w:pPr>
      <w:r>
        <w:rPr>
          <w:sz w:val="20"/>
        </w:rPr>
        <w:t>Cuando se den circunstancias técnicas que lo impidan, en los términos señalados en el artículo</w:t>
      </w:r>
      <w:r>
        <w:rPr>
          <w:spacing w:val="-3"/>
          <w:sz w:val="20"/>
        </w:rPr>
        <w:t> </w:t>
      </w:r>
      <w:r>
        <w:rPr>
          <w:sz w:val="20"/>
        </w:rPr>
        <w:t>61.3.</w:t>
      </w:r>
    </w:p>
    <w:p>
      <w:pPr>
        <w:pStyle w:val="ListParagraph"/>
        <w:numPr>
          <w:ilvl w:val="0"/>
          <w:numId w:val="73"/>
        </w:numPr>
        <w:tabs>
          <w:tab w:pos="1673" w:val="left" w:leader="none"/>
        </w:tabs>
        <w:spacing w:line="249" w:lineRule="auto" w:before="1" w:after="0"/>
        <w:ind w:left="1074" w:right="1273" w:firstLine="340"/>
        <w:jc w:val="both"/>
        <w:rPr>
          <w:sz w:val="20"/>
        </w:rPr>
      </w:pPr>
      <w:r>
        <w:rPr>
          <w:sz w:val="20"/>
        </w:rPr>
        <w:t>Por razones de confidencialidad, en aplicación de lo dispuesto en el artículo 28. En este caso la entidad contratante deberá indicar en el anuncio que sirva como medio de convocatoria de licitación o, en defecto de este, en la invitación, o en el caso de que el medio de convocatoria de licitación sea un anuncio sobre la existencia de un sistema de clasificación, en los pliegos de condiciones, qué medidas destinadas a proteger el carácter confidencial de la información requieren y cómo podrán los empresarios interesados acceder a los pliegos en</w:t>
      </w:r>
      <w:r>
        <w:rPr>
          <w:spacing w:val="-5"/>
          <w:sz w:val="20"/>
        </w:rPr>
        <w:t> </w:t>
      </w:r>
      <w:r>
        <w:rPr>
          <w:sz w:val="20"/>
        </w:rPr>
        <w:t>cuestión.</w:t>
      </w:r>
    </w:p>
    <w:p>
      <w:pPr>
        <w:pStyle w:val="ListParagraph"/>
        <w:numPr>
          <w:ilvl w:val="0"/>
          <w:numId w:val="73"/>
        </w:numPr>
        <w:tabs>
          <w:tab w:pos="1675" w:val="left" w:leader="none"/>
        </w:tabs>
        <w:spacing w:line="249" w:lineRule="auto" w:before="6" w:after="0"/>
        <w:ind w:left="1074" w:right="1272" w:firstLine="340"/>
        <w:jc w:val="both"/>
        <w:rPr>
          <w:sz w:val="20"/>
        </w:rPr>
      </w:pPr>
      <w:r>
        <w:rPr>
          <w:sz w:val="20"/>
        </w:rPr>
        <w:t>En el caso de las concesiones de obras y de servicios, por motivos de seguridad excepcionales.</w:t>
      </w:r>
    </w:p>
    <w:p>
      <w:pPr>
        <w:pStyle w:val="ListParagraph"/>
        <w:numPr>
          <w:ilvl w:val="0"/>
          <w:numId w:val="72"/>
        </w:numPr>
        <w:tabs>
          <w:tab w:pos="1638" w:val="left" w:leader="none"/>
        </w:tabs>
        <w:spacing w:line="249" w:lineRule="auto" w:before="122" w:after="0"/>
        <w:ind w:left="1074" w:right="1273" w:firstLine="340"/>
        <w:jc w:val="both"/>
        <w:rPr>
          <w:sz w:val="20"/>
        </w:rPr>
      </w:pPr>
      <w:r>
        <w:rPr>
          <w:sz w:val="20"/>
        </w:rPr>
        <w:t>En los procedimientos de contratación que se celebren con arreglo a este real decreto- ley las entidades contratantes deberán facilitar a los licitadores, en el propio pliego, la información sobre las condiciones de los contratos de los trabajadores a los que, en su caso, afecte la subrogación, de acuerdo con lo dispuesto en el artículo 130 de la Ley 9/2017, de 8 de</w:t>
      </w:r>
      <w:r>
        <w:rPr>
          <w:spacing w:val="-2"/>
          <w:sz w:val="20"/>
        </w:rPr>
        <w:t> </w:t>
      </w:r>
      <w:r>
        <w:rPr>
          <w:sz w:val="20"/>
        </w:rPr>
        <w:t>noviembre.</w:t>
      </w:r>
    </w:p>
    <w:p>
      <w:pPr>
        <w:pStyle w:val="ListParagraph"/>
        <w:numPr>
          <w:ilvl w:val="0"/>
          <w:numId w:val="72"/>
        </w:numPr>
        <w:tabs>
          <w:tab w:pos="1655" w:val="left" w:leader="none"/>
        </w:tabs>
        <w:spacing w:line="249" w:lineRule="auto" w:before="4" w:after="0"/>
        <w:ind w:left="1074" w:right="1274" w:firstLine="340"/>
        <w:jc w:val="both"/>
        <w:rPr>
          <w:sz w:val="20"/>
        </w:rPr>
      </w:pPr>
      <w:r>
        <w:rPr>
          <w:sz w:val="20"/>
        </w:rPr>
        <w:t>En el momento de elaborar el presupuesto de la licitación las entidades contratantes pertenecientes al Sector Público cuidarán de que el mismo sea adecuado a los precios del mercado. A tal efecto, el presupuesto base de licitación se desglosará indicando en el pliego de condiciones los costes directos e indirectos y otros eventuales gastos calculados para su determinación. En los contratos en que el coste de los salarios de las personas empleadas para su ejecución formen parte del precio total del contrato, el presupuesto base de licitación indicará de forma desglosada y con desagregación de género y categoría profesional los costes salariales estimados a partir del convenio laboral de</w:t>
      </w:r>
      <w:r>
        <w:rPr>
          <w:spacing w:val="-11"/>
          <w:sz w:val="20"/>
        </w:rPr>
        <w:t> </w:t>
      </w:r>
      <w:r>
        <w:rPr>
          <w:sz w:val="20"/>
        </w:rPr>
        <w:t>referencia.</w:t>
      </w:r>
    </w:p>
    <w:p>
      <w:pPr>
        <w:pStyle w:val="BodyText"/>
        <w:spacing w:before="9"/>
        <w:ind w:left="0" w:firstLine="0"/>
        <w:jc w:val="left"/>
      </w:pPr>
    </w:p>
    <w:p>
      <w:pPr>
        <w:spacing w:before="0"/>
        <w:ind w:left="1074" w:right="0" w:firstLine="0"/>
        <w:jc w:val="both"/>
        <w:rPr>
          <w:i/>
          <w:sz w:val="20"/>
        </w:rPr>
      </w:pPr>
      <w:bookmarkStart w:name="Artículo 44. Comunicación de las prescri" w:id="77"/>
      <w:bookmarkEnd w:id="77"/>
      <w:r>
        <w:rPr/>
      </w:r>
      <w:r>
        <w:rPr>
          <w:b/>
          <w:sz w:val="20"/>
        </w:rPr>
        <w:t>Artículo 44. </w:t>
      </w:r>
      <w:r>
        <w:rPr>
          <w:i/>
          <w:sz w:val="20"/>
        </w:rPr>
        <w:t>Comunicación de las prescripciones.</w:t>
      </w:r>
    </w:p>
    <w:p>
      <w:pPr>
        <w:pStyle w:val="ListParagraph"/>
        <w:numPr>
          <w:ilvl w:val="0"/>
          <w:numId w:val="74"/>
        </w:numPr>
        <w:tabs>
          <w:tab w:pos="1702" w:val="left" w:leader="none"/>
        </w:tabs>
        <w:spacing w:line="249" w:lineRule="auto" w:before="117" w:after="0"/>
        <w:ind w:left="1074" w:right="1274" w:firstLine="340"/>
        <w:jc w:val="both"/>
        <w:rPr>
          <w:sz w:val="20"/>
        </w:rPr>
      </w:pPr>
      <w:r>
        <w:rPr>
          <w:sz w:val="20"/>
        </w:rPr>
        <w:t>La entidad contratante, previa petición de las empresas interesadas en resultar adjudicatarias</w:t>
      </w:r>
      <w:r>
        <w:rPr>
          <w:spacing w:val="42"/>
          <w:sz w:val="20"/>
        </w:rPr>
        <w:t> </w:t>
      </w:r>
      <w:r>
        <w:rPr>
          <w:sz w:val="20"/>
        </w:rPr>
        <w:t>de</w:t>
      </w:r>
      <w:r>
        <w:rPr>
          <w:spacing w:val="43"/>
          <w:sz w:val="20"/>
        </w:rPr>
        <w:t> </w:t>
      </w:r>
      <w:r>
        <w:rPr>
          <w:sz w:val="20"/>
        </w:rPr>
        <w:t>un</w:t>
      </w:r>
      <w:r>
        <w:rPr>
          <w:spacing w:val="43"/>
          <w:sz w:val="20"/>
        </w:rPr>
        <w:t> </w:t>
      </w:r>
      <w:r>
        <w:rPr>
          <w:sz w:val="20"/>
        </w:rPr>
        <w:t>contrato,</w:t>
      </w:r>
      <w:r>
        <w:rPr>
          <w:spacing w:val="43"/>
          <w:sz w:val="20"/>
        </w:rPr>
        <w:t> </w:t>
      </w:r>
      <w:r>
        <w:rPr>
          <w:sz w:val="20"/>
        </w:rPr>
        <w:t>comunicará</w:t>
      </w:r>
      <w:r>
        <w:rPr>
          <w:spacing w:val="43"/>
          <w:sz w:val="20"/>
        </w:rPr>
        <w:t> </w:t>
      </w:r>
      <w:r>
        <w:rPr>
          <w:sz w:val="20"/>
        </w:rPr>
        <w:t>a</w:t>
      </w:r>
      <w:r>
        <w:rPr>
          <w:spacing w:val="43"/>
          <w:sz w:val="20"/>
        </w:rPr>
        <w:t> </w:t>
      </w:r>
      <w:r>
        <w:rPr>
          <w:sz w:val="20"/>
        </w:rPr>
        <w:t>estas</w:t>
      </w:r>
      <w:r>
        <w:rPr>
          <w:spacing w:val="43"/>
          <w:sz w:val="20"/>
        </w:rPr>
        <w:t> </w:t>
      </w:r>
      <w:r>
        <w:rPr>
          <w:sz w:val="20"/>
        </w:rPr>
        <w:t>las</w:t>
      </w:r>
      <w:r>
        <w:rPr>
          <w:spacing w:val="43"/>
          <w:sz w:val="20"/>
        </w:rPr>
        <w:t> </w:t>
      </w:r>
      <w:r>
        <w:rPr>
          <w:sz w:val="20"/>
        </w:rPr>
        <w:t>prescripciones</w:t>
      </w:r>
      <w:r>
        <w:rPr>
          <w:spacing w:val="43"/>
          <w:sz w:val="20"/>
        </w:rPr>
        <w:t> </w:t>
      </w:r>
      <w:r>
        <w:rPr>
          <w:sz w:val="20"/>
        </w:rPr>
        <w:t>técnicas</w:t>
      </w:r>
      <w:r>
        <w:rPr>
          <w:spacing w:val="43"/>
          <w:sz w:val="20"/>
        </w:rPr>
        <w:t> </w:t>
      </w:r>
      <w:r>
        <w:rPr>
          <w:sz w:val="20"/>
        </w:rPr>
        <w:t>que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habitualmente constan en sus contratos de obras, suministro, servicios, concesiones de obras y concesiones de servicios, o aquellas prescripciones técnicas que tengan intención  de aplicar a los contratos para los que la convocatoria de licitación sea un anuncio periódico indicativo. Estas prescripciones técnicas se pondrán a disposición de las empresas interesadas por medios electrónicos a través de un acceso libre, directo, completo y gratuito, concretamente valiéndose del perfil de contratante de la entidad</w:t>
      </w:r>
      <w:r>
        <w:rPr>
          <w:spacing w:val="-10"/>
        </w:rPr>
        <w:t> </w:t>
      </w:r>
      <w:r>
        <w:rPr/>
        <w:t>contratante.</w:t>
      </w:r>
    </w:p>
    <w:p>
      <w:pPr>
        <w:pStyle w:val="BodyText"/>
        <w:spacing w:line="249" w:lineRule="auto" w:before="5"/>
        <w:ind w:right="1273"/>
      </w:pPr>
      <w:r>
        <w:rPr/>
        <w:t>Sin embargo, las prescripciones técnicas se transmitirán por medios que no sean electrónicos cuando no se pueda ofrecer un acceso libre, directo, completo y gratuito por medios electrónicos en la forma señalada en el párrafo anterior por los motivos previstos en el artículo 43.3, párrafo segundo y en el artículo 28.1 de este real decreto-ley.</w:t>
      </w:r>
    </w:p>
    <w:p>
      <w:pPr>
        <w:pStyle w:val="ListParagraph"/>
        <w:numPr>
          <w:ilvl w:val="0"/>
          <w:numId w:val="74"/>
        </w:numPr>
        <w:tabs>
          <w:tab w:pos="1703" w:val="left" w:leader="none"/>
        </w:tabs>
        <w:spacing w:line="249" w:lineRule="auto" w:before="3" w:after="0"/>
        <w:ind w:left="1074" w:right="1274" w:firstLine="340"/>
        <w:jc w:val="both"/>
        <w:rPr>
          <w:sz w:val="20"/>
        </w:rPr>
      </w:pPr>
      <w:r>
        <w:rPr>
          <w:sz w:val="20"/>
        </w:rPr>
        <w:t>Cuando las prescripciones técnicas a que se refiere el apartado anterior estén contenidas en documentos que estén disponibles por medios electrónicos para las empresas interesadas en la forma indicada en el primer párrafo del apartado anterior, será suficiente con la inclusión de una referencia a dichos</w:t>
      </w:r>
      <w:r>
        <w:rPr>
          <w:spacing w:val="-10"/>
          <w:sz w:val="20"/>
        </w:rPr>
        <w:t> </w:t>
      </w:r>
      <w:r>
        <w:rPr>
          <w:sz w:val="20"/>
        </w:rPr>
        <w:t>documentos.</w:t>
      </w:r>
    </w:p>
    <w:p>
      <w:pPr>
        <w:pStyle w:val="BodyText"/>
        <w:spacing w:before="5"/>
        <w:ind w:left="0" w:firstLine="0"/>
        <w:jc w:val="left"/>
      </w:pPr>
    </w:p>
    <w:p>
      <w:pPr>
        <w:spacing w:before="1"/>
        <w:ind w:left="1074" w:right="0" w:firstLine="0"/>
        <w:jc w:val="both"/>
        <w:rPr>
          <w:i/>
          <w:sz w:val="20"/>
        </w:rPr>
      </w:pPr>
      <w:bookmarkStart w:name="Artículo 45. Prescripciones técnicas." w:id="78"/>
      <w:bookmarkEnd w:id="78"/>
      <w:r>
        <w:rPr/>
      </w:r>
      <w:r>
        <w:rPr>
          <w:b/>
          <w:sz w:val="20"/>
        </w:rPr>
        <w:t>Artículo 45. </w:t>
      </w:r>
      <w:r>
        <w:rPr>
          <w:i/>
          <w:sz w:val="20"/>
        </w:rPr>
        <w:t>Prescripciones técnicas.</w:t>
      </w:r>
    </w:p>
    <w:p>
      <w:pPr>
        <w:pStyle w:val="ListParagraph"/>
        <w:numPr>
          <w:ilvl w:val="0"/>
          <w:numId w:val="75"/>
        </w:numPr>
        <w:tabs>
          <w:tab w:pos="1675" w:val="left" w:leader="none"/>
        </w:tabs>
        <w:spacing w:line="249" w:lineRule="auto" w:before="117" w:after="0"/>
        <w:ind w:left="1074" w:right="1272" w:firstLine="340"/>
        <w:jc w:val="both"/>
        <w:rPr>
          <w:sz w:val="20"/>
        </w:rPr>
      </w:pPr>
      <w:r>
        <w:rPr>
          <w:sz w:val="20"/>
        </w:rPr>
        <w:t>Las prescripciones técnicas figurarán en los pliegos de condiciones y definirán las características exigidas para la obra, el suministro o el servicio que constituya el objeto del contrato que se licita. Estas características podrán referirse también al proceso o método específico de producción o prestación de las obras, suministros o servicios requeridos, o a un proceso específico de otra fase de su ciclo de vida, incluso cuando dichos factores no formen parte de la sustancia material de estas obras, suministros o servicios, incluidas sus condiciones sociales y ambientales; siempre y cuando las características exigidas estén vinculadas al objeto del contrato y guarden proporción con el valor y con los objetivos del mismo.</w:t>
      </w:r>
    </w:p>
    <w:p>
      <w:pPr>
        <w:pStyle w:val="BodyText"/>
        <w:spacing w:line="249" w:lineRule="auto" w:before="8"/>
        <w:ind w:right="1272"/>
      </w:pPr>
      <w:r>
        <w:rPr/>
        <w:t>Asimismo, las prescripciones técnicas podrán especificar si se exige la transferencia de derechos de propiedad intelectual o industrial.</w:t>
      </w:r>
    </w:p>
    <w:p>
      <w:pPr>
        <w:pStyle w:val="ListParagraph"/>
        <w:numPr>
          <w:ilvl w:val="0"/>
          <w:numId w:val="75"/>
        </w:numPr>
        <w:tabs>
          <w:tab w:pos="1654" w:val="left" w:leader="none"/>
        </w:tabs>
        <w:spacing w:line="249" w:lineRule="auto" w:before="1" w:after="0"/>
        <w:ind w:left="1074" w:right="1273" w:firstLine="340"/>
        <w:jc w:val="both"/>
        <w:rPr>
          <w:sz w:val="20"/>
        </w:rPr>
      </w:pPr>
      <w:r>
        <w:rPr>
          <w:sz w:val="20"/>
        </w:rPr>
        <w:t>En la medida de lo posible las prescripciones técnicas deberán definirse teniendo en cuenta:</w:t>
      </w:r>
    </w:p>
    <w:p>
      <w:pPr>
        <w:pStyle w:val="ListParagraph"/>
        <w:numPr>
          <w:ilvl w:val="0"/>
          <w:numId w:val="76"/>
        </w:numPr>
        <w:tabs>
          <w:tab w:pos="1662" w:val="left" w:leader="none"/>
        </w:tabs>
        <w:spacing w:line="249" w:lineRule="auto" w:before="122" w:after="0"/>
        <w:ind w:left="1074" w:right="1274" w:firstLine="340"/>
        <w:jc w:val="both"/>
        <w:rPr>
          <w:sz w:val="20"/>
        </w:rPr>
      </w:pPr>
      <w:r>
        <w:rPr>
          <w:sz w:val="20"/>
        </w:rPr>
        <w:t>Los criterios de accesibilidad para personas con discapacidad o el diseño para todos los usuarios, salvo casos debidamente justificados. Cuando se establezcan requisitos de accesibilidad obligatorios mediante un acto jurídico de la Unión Europea, las prescripciones técnicas deberán definirse, en lo que respecta a los criterios de accesibilidad, por referencia a</w:t>
      </w:r>
      <w:r>
        <w:rPr>
          <w:spacing w:val="-2"/>
          <w:sz w:val="20"/>
        </w:rPr>
        <w:t> </w:t>
      </w:r>
      <w:r>
        <w:rPr>
          <w:sz w:val="20"/>
        </w:rPr>
        <w:t>ellos.</w:t>
      </w:r>
    </w:p>
    <w:p>
      <w:pPr>
        <w:pStyle w:val="ListParagraph"/>
        <w:numPr>
          <w:ilvl w:val="0"/>
          <w:numId w:val="76"/>
        </w:numPr>
        <w:tabs>
          <w:tab w:pos="1696" w:val="left" w:leader="none"/>
        </w:tabs>
        <w:spacing w:line="249" w:lineRule="auto" w:before="4" w:after="0"/>
        <w:ind w:left="1074" w:right="1274" w:firstLine="340"/>
        <w:jc w:val="both"/>
        <w:rPr>
          <w:sz w:val="20"/>
        </w:rPr>
      </w:pPr>
      <w:r>
        <w:rPr>
          <w:sz w:val="20"/>
        </w:rPr>
        <w:t>Cuando el objeto del contrato afecte o pueda afectar al medio ambiente o a los criterios de sostenibilidad y protección ambiental, de acuerdo con las definiciones y principios informadores regulados en los artículos 3 y 4, respectivamente, del Real Decreto Legislativo 1/2016, de 16 de diciembre, por el que se aprueba el texto refundido de la Ley de prevención y control integrados de la</w:t>
      </w:r>
      <w:r>
        <w:rPr>
          <w:spacing w:val="-4"/>
          <w:sz w:val="20"/>
        </w:rPr>
        <w:t> </w:t>
      </w:r>
      <w:r>
        <w:rPr>
          <w:sz w:val="20"/>
        </w:rPr>
        <w:t>contaminación.</w:t>
      </w:r>
    </w:p>
    <w:p>
      <w:pPr>
        <w:pStyle w:val="ListParagraph"/>
        <w:numPr>
          <w:ilvl w:val="0"/>
          <w:numId w:val="75"/>
        </w:numPr>
        <w:tabs>
          <w:tab w:pos="1686" w:val="left" w:leader="none"/>
        </w:tabs>
        <w:spacing w:line="249" w:lineRule="auto" w:before="124" w:after="0"/>
        <w:ind w:left="1074" w:right="1273" w:firstLine="340"/>
        <w:jc w:val="both"/>
        <w:rPr>
          <w:sz w:val="20"/>
        </w:rPr>
      </w:pPr>
      <w:r>
        <w:rPr>
          <w:sz w:val="20"/>
        </w:rPr>
        <w:t>Las prescripciones técnicas deberán permitir a todos los licitadores el acceso en condiciones de igualdad y no tendrán por efecto la creación de obstáculos injustificados a la apertura de los contratos a la</w:t>
      </w:r>
      <w:r>
        <w:rPr>
          <w:spacing w:val="-6"/>
          <w:sz w:val="20"/>
        </w:rPr>
        <w:t> </w:t>
      </w:r>
      <w:r>
        <w:rPr>
          <w:sz w:val="20"/>
        </w:rPr>
        <w:t>competencia.</w:t>
      </w:r>
    </w:p>
    <w:p>
      <w:pPr>
        <w:pStyle w:val="ListParagraph"/>
        <w:numPr>
          <w:ilvl w:val="0"/>
          <w:numId w:val="75"/>
        </w:numPr>
        <w:tabs>
          <w:tab w:pos="1651" w:val="left" w:leader="none"/>
        </w:tabs>
        <w:spacing w:line="249" w:lineRule="auto" w:before="3" w:after="0"/>
        <w:ind w:left="1074" w:right="1273" w:firstLine="340"/>
        <w:jc w:val="both"/>
        <w:rPr>
          <w:sz w:val="20"/>
        </w:rPr>
      </w:pPr>
      <w:r>
        <w:rPr>
          <w:sz w:val="20"/>
        </w:rPr>
        <w:t>Sin perjuicio de las normas técnicas vigentes, en la medida en que sean compatibles con la legislación comunitaria, las prescripciones técnicas deberán</w:t>
      </w:r>
      <w:r>
        <w:rPr>
          <w:spacing w:val="-13"/>
          <w:sz w:val="20"/>
        </w:rPr>
        <w:t> </w:t>
      </w:r>
      <w:r>
        <w:rPr>
          <w:sz w:val="20"/>
        </w:rPr>
        <w:t>formularse:</w:t>
      </w:r>
    </w:p>
    <w:p>
      <w:pPr>
        <w:pStyle w:val="ListParagraph"/>
        <w:numPr>
          <w:ilvl w:val="0"/>
          <w:numId w:val="77"/>
        </w:numPr>
        <w:tabs>
          <w:tab w:pos="1749" w:val="left" w:leader="none"/>
        </w:tabs>
        <w:spacing w:line="249" w:lineRule="auto" w:before="121" w:after="0"/>
        <w:ind w:left="1074" w:right="1272" w:firstLine="340"/>
        <w:jc w:val="both"/>
        <w:rPr>
          <w:sz w:val="20"/>
        </w:rPr>
      </w:pPr>
      <w:r>
        <w:rPr>
          <w:sz w:val="20"/>
        </w:rPr>
        <w:t>Bien en términos de rendimiento o de exigencias funcionales, incluidas las características medioambientales, siempre que los parámetros sean lo suficientemente precisos para permitir a los licitadores determinar el objeto del contrato y a las entidades contratantes adjudicar el</w:t>
      </w:r>
      <w:r>
        <w:rPr>
          <w:spacing w:val="-3"/>
          <w:sz w:val="20"/>
        </w:rPr>
        <w:t> </w:t>
      </w:r>
      <w:r>
        <w:rPr>
          <w:sz w:val="20"/>
        </w:rPr>
        <w:t>contrato.</w:t>
      </w:r>
    </w:p>
    <w:p>
      <w:pPr>
        <w:pStyle w:val="ListParagraph"/>
        <w:numPr>
          <w:ilvl w:val="0"/>
          <w:numId w:val="77"/>
        </w:numPr>
        <w:tabs>
          <w:tab w:pos="1690" w:val="left" w:leader="none"/>
        </w:tabs>
        <w:spacing w:line="249" w:lineRule="auto" w:before="4" w:after="0"/>
        <w:ind w:left="1074" w:right="1273" w:firstLine="340"/>
        <w:jc w:val="both"/>
        <w:rPr>
          <w:sz w:val="20"/>
        </w:rPr>
      </w:pPr>
      <w:r>
        <w:rPr>
          <w:sz w:val="20"/>
        </w:rPr>
        <w:t>Bien por referencia a especificaciones técnicas y, por orden de preferencia, a las normas nacionales que transponen las normas europeas, a las evaluaciones técnicas europeas, a las especificaciones técnicas comunes, a las normas internacionales, a otros sistemas de referencias técnicas elaborados por los organismos europeos de normalización o, en defecto de todos los anteriores, a normas nacionales, a documentos de idoneidad técnica nacionales o a especificaciones técnicas nacionales en materia de proyecto, cálculo y ejecución de obras y de uso de suministros; cada referencia deberá ir acompañada de la mención «o</w:t>
      </w:r>
      <w:r>
        <w:rPr>
          <w:spacing w:val="-2"/>
          <w:sz w:val="20"/>
        </w:rPr>
        <w:t> </w:t>
      </w:r>
      <w:r>
        <w:rPr>
          <w:sz w:val="20"/>
        </w:rPr>
        <w:t>equivalente».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77"/>
        </w:numPr>
        <w:tabs>
          <w:tab w:pos="1648" w:val="left" w:leader="none"/>
        </w:tabs>
        <w:spacing w:line="249" w:lineRule="auto" w:before="127" w:after="0"/>
        <w:ind w:left="1074" w:right="1272" w:firstLine="340"/>
        <w:jc w:val="both"/>
        <w:rPr>
          <w:sz w:val="20"/>
        </w:rPr>
      </w:pPr>
      <w:r>
        <w:rPr>
          <w:sz w:val="20"/>
        </w:rPr>
        <w:t>Bien en términos de rendimiento o de exigencias funcionales mencionados en la letra a), haciendo referencia, como medio de presunción de la conformidad con estos requisitos de rendimiento o exigencias funcionales, a las especificaciones técnicas contempladas en la letra</w:t>
      </w:r>
      <w:r>
        <w:rPr>
          <w:spacing w:val="-2"/>
          <w:sz w:val="20"/>
        </w:rPr>
        <w:t> </w:t>
      </w:r>
      <w:r>
        <w:rPr>
          <w:sz w:val="20"/>
        </w:rPr>
        <w:t>b).</w:t>
      </w:r>
    </w:p>
    <w:p>
      <w:pPr>
        <w:pStyle w:val="ListParagraph"/>
        <w:numPr>
          <w:ilvl w:val="0"/>
          <w:numId w:val="77"/>
        </w:numPr>
        <w:tabs>
          <w:tab w:pos="1671" w:val="left" w:leader="none"/>
        </w:tabs>
        <w:spacing w:line="249" w:lineRule="auto" w:before="3" w:after="0"/>
        <w:ind w:left="1074" w:right="1272" w:firstLine="340"/>
        <w:jc w:val="both"/>
        <w:rPr>
          <w:sz w:val="20"/>
        </w:rPr>
      </w:pPr>
      <w:r>
        <w:rPr>
          <w:sz w:val="20"/>
        </w:rPr>
        <w:t>Bien mediante referencia a las especificaciones técnicas mencionadas en la letra b) para ciertas características, y mediante referencia al rendimiento o exigencias funcionales mencionados en la letra a) para otras</w:t>
      </w:r>
      <w:r>
        <w:rPr>
          <w:spacing w:val="-8"/>
          <w:sz w:val="20"/>
        </w:rPr>
        <w:t> </w:t>
      </w:r>
      <w:r>
        <w:rPr>
          <w:sz w:val="20"/>
        </w:rPr>
        <w:t>características.</w:t>
      </w:r>
    </w:p>
    <w:p>
      <w:pPr>
        <w:pStyle w:val="ListParagraph"/>
        <w:numPr>
          <w:ilvl w:val="0"/>
          <w:numId w:val="75"/>
        </w:numPr>
        <w:tabs>
          <w:tab w:pos="1668" w:val="left" w:leader="none"/>
        </w:tabs>
        <w:spacing w:line="249" w:lineRule="auto" w:before="122" w:after="0"/>
        <w:ind w:left="1074" w:right="1271" w:firstLine="340"/>
        <w:jc w:val="both"/>
        <w:rPr>
          <w:sz w:val="20"/>
        </w:rPr>
      </w:pPr>
      <w:r>
        <w:rPr>
          <w:sz w:val="20"/>
        </w:rPr>
        <w:t>Salvo que lo justifique el objeto del contrato, las prescripciones técnicas no podrán hacer referencia a una fabricación o una procedencia determinada, o a un procedimiento concreto que caracterice a los productos o servicios ofrecidos por un operador económico determinado, o a marcas, patentes o tipos, o a un origen o a una producción determinados con la finalidad de favorecer o descartar ciertas empresas o ciertos productos. Tal referencia se autorizará, con carácter excepcional, en el caso en que no sea posible hacer una descripción lo bastante precisa e inteligible del objeto del contrato en aplicación del</w:t>
      </w:r>
      <w:r>
        <w:rPr>
          <w:spacing w:val="-6"/>
          <w:sz w:val="20"/>
        </w:rPr>
        <w:t> </w:t>
      </w:r>
      <w:r>
        <w:rPr>
          <w:sz w:val="20"/>
        </w:rPr>
        <w:t>apartado</w:t>
      </w:r>
    </w:p>
    <w:p>
      <w:pPr>
        <w:pStyle w:val="ListParagraph"/>
        <w:numPr>
          <w:ilvl w:val="0"/>
          <w:numId w:val="78"/>
        </w:numPr>
        <w:tabs>
          <w:tab w:pos="1297" w:val="left" w:leader="none"/>
        </w:tabs>
        <w:spacing w:line="240" w:lineRule="auto" w:before="6" w:after="0"/>
        <w:ind w:left="1296" w:right="0" w:hanging="223"/>
        <w:jc w:val="both"/>
        <w:rPr>
          <w:sz w:val="20"/>
        </w:rPr>
      </w:pPr>
      <w:r>
        <w:rPr>
          <w:sz w:val="20"/>
        </w:rPr>
        <w:t>Dicha referencia deberá ir acompañada de la mención «o</w:t>
      </w:r>
      <w:r>
        <w:rPr>
          <w:spacing w:val="-12"/>
          <w:sz w:val="20"/>
        </w:rPr>
        <w:t> </w:t>
      </w:r>
      <w:r>
        <w:rPr>
          <w:sz w:val="20"/>
        </w:rPr>
        <w:t>equivalente».</w:t>
      </w:r>
    </w:p>
    <w:p>
      <w:pPr>
        <w:pStyle w:val="ListParagraph"/>
        <w:numPr>
          <w:ilvl w:val="1"/>
          <w:numId w:val="78"/>
        </w:numPr>
        <w:tabs>
          <w:tab w:pos="1710" w:val="left" w:leader="none"/>
        </w:tabs>
        <w:spacing w:line="249" w:lineRule="auto" w:before="10" w:after="0"/>
        <w:ind w:left="1074" w:right="1273" w:firstLine="340"/>
        <w:jc w:val="both"/>
        <w:rPr>
          <w:sz w:val="20"/>
        </w:rPr>
      </w:pPr>
      <w:r>
        <w:rPr>
          <w:sz w:val="20"/>
        </w:rPr>
        <w:t>Cuando las entidades contratantes hagan uso de la opción de referirse a las especificaciones técnicas previstas en el apartado 4, letra b), no podrán rechazar una oferta basándose en que las obras, los suministros o los servicios ofrecidos no se ajustan a las especificaciones técnicas a las que han hecho referencia, una vez que el licitador demuestre en su oferta, por cualquier medio adecuado, incluidos los medios de prueba mencionados en el artículo 47, que las soluciones que propone cumplen de forma equivalente los requisitos definidos por las especificaciones</w:t>
      </w:r>
      <w:r>
        <w:rPr>
          <w:spacing w:val="-6"/>
          <w:sz w:val="20"/>
        </w:rPr>
        <w:t> </w:t>
      </w:r>
      <w:r>
        <w:rPr>
          <w:sz w:val="20"/>
        </w:rPr>
        <w:t>técnicas.</w:t>
      </w:r>
    </w:p>
    <w:p>
      <w:pPr>
        <w:pStyle w:val="ListParagraph"/>
        <w:numPr>
          <w:ilvl w:val="1"/>
          <w:numId w:val="78"/>
        </w:numPr>
        <w:tabs>
          <w:tab w:pos="1655" w:val="left" w:leader="none"/>
        </w:tabs>
        <w:spacing w:line="249" w:lineRule="auto" w:before="6" w:after="0"/>
        <w:ind w:left="1074" w:right="1271" w:firstLine="340"/>
        <w:jc w:val="both"/>
        <w:rPr>
          <w:sz w:val="20"/>
        </w:rPr>
      </w:pPr>
      <w:r>
        <w:rPr>
          <w:sz w:val="20"/>
        </w:rPr>
        <w:t>Cuando una entidad contratante se acoja a la opción prevista en el apartado 4, letra a), de formular prescripciones técnicas en términos de rendimiento o de exigencias funcionales, no podrá rechazar una oferta de suministros, servicios u obras que se ajuste a una norma nacional que transponga una norma europea, a un documento de idoneidad técnica europeo, a una especificación técnica común, a una norma internacional o a un sistema de referencias técnicas elaborado por un organismo europeo de normalización, si tales especificaciones tienen por objeto los requisitos de rendimiento o de exigencias funcionales fijados por</w:t>
      </w:r>
      <w:r>
        <w:rPr>
          <w:spacing w:val="-2"/>
          <w:sz w:val="20"/>
        </w:rPr>
        <w:t> </w:t>
      </w:r>
      <w:r>
        <w:rPr>
          <w:sz w:val="20"/>
        </w:rPr>
        <w:t>ellas.</w:t>
      </w:r>
    </w:p>
    <w:p>
      <w:pPr>
        <w:pStyle w:val="BodyText"/>
        <w:spacing w:line="249" w:lineRule="auto" w:before="6"/>
        <w:ind w:right="1272"/>
      </w:pPr>
      <w:r>
        <w:rPr/>
        <w:t>En su oferta, el licitador deberá probar por cualquier medio adecuado, incluidos los medios de prueba mencionados en el artículo 47, que el suministro, servicio u obra, conformes a la norma, cumplen los requisitos de rendimiento o las exigencias funcionales establecidos por la entidad contratante.</w:t>
      </w:r>
    </w:p>
    <w:p>
      <w:pPr>
        <w:pStyle w:val="BodyText"/>
        <w:spacing w:before="6"/>
        <w:ind w:left="0" w:firstLine="0"/>
        <w:jc w:val="left"/>
      </w:pPr>
    </w:p>
    <w:p>
      <w:pPr>
        <w:spacing w:before="0"/>
        <w:ind w:left="1074" w:right="0" w:firstLine="0"/>
        <w:jc w:val="both"/>
        <w:rPr>
          <w:i/>
          <w:sz w:val="20"/>
        </w:rPr>
      </w:pPr>
      <w:bookmarkStart w:name="Artículo 46. Etiquetas." w:id="79"/>
      <w:bookmarkEnd w:id="79"/>
      <w:r>
        <w:rPr/>
      </w:r>
      <w:r>
        <w:rPr>
          <w:b/>
          <w:sz w:val="20"/>
        </w:rPr>
        <w:t>Artículo 46.</w:t>
      </w:r>
      <w:r>
        <w:rPr>
          <w:b/>
          <w:spacing w:val="54"/>
          <w:sz w:val="20"/>
        </w:rPr>
        <w:t> </w:t>
      </w:r>
      <w:r>
        <w:rPr>
          <w:i/>
          <w:sz w:val="20"/>
        </w:rPr>
        <w:t>Etiquetas.</w:t>
      </w:r>
    </w:p>
    <w:p>
      <w:pPr>
        <w:pStyle w:val="ListParagraph"/>
        <w:numPr>
          <w:ilvl w:val="0"/>
          <w:numId w:val="79"/>
        </w:numPr>
        <w:tabs>
          <w:tab w:pos="1641" w:val="left" w:leader="none"/>
        </w:tabs>
        <w:spacing w:line="249" w:lineRule="auto" w:before="118" w:after="0"/>
        <w:ind w:left="1074" w:right="1269" w:firstLine="340"/>
        <w:jc w:val="both"/>
        <w:rPr>
          <w:sz w:val="20"/>
        </w:rPr>
      </w:pPr>
      <w:r>
        <w:rPr>
          <w:sz w:val="20"/>
        </w:rPr>
        <w:t>Cuando las entidades contratantes tengan la intención de adquirir obras, suministros o servicios con características específicas de tipo medioambiental, social u otro, podrán exigir, en las prescripciones técnicas, en los criterios de adjudicación o en las condiciones de ejecución del contrato, una etiqueta específica como medio de prueba de que las obras, servicios o suministros corresponden a las características exigidas, etiquetas de tipo social o medioambiental, como aquellas relacionadas con la agricultura o la ganadería ecológicas, el comercio justo, la igualdad de género o las que garantizan el cumplimiento de las Convenciones fundamentales de la Organización Internacional del Trabajo, siempre y cuando se cumplan todas las condiciones</w:t>
      </w:r>
      <w:r>
        <w:rPr>
          <w:spacing w:val="-2"/>
          <w:sz w:val="20"/>
        </w:rPr>
        <w:t> </w:t>
      </w:r>
      <w:r>
        <w:rPr>
          <w:sz w:val="20"/>
        </w:rPr>
        <w:t>siguientes:</w:t>
      </w:r>
    </w:p>
    <w:p>
      <w:pPr>
        <w:pStyle w:val="ListParagraph"/>
        <w:numPr>
          <w:ilvl w:val="0"/>
          <w:numId w:val="80"/>
        </w:numPr>
        <w:tabs>
          <w:tab w:pos="1663" w:val="left" w:leader="none"/>
        </w:tabs>
        <w:spacing w:line="249" w:lineRule="auto" w:before="127" w:after="0"/>
        <w:ind w:left="1074" w:right="1273" w:firstLine="340"/>
        <w:jc w:val="both"/>
        <w:rPr>
          <w:sz w:val="20"/>
        </w:rPr>
      </w:pPr>
      <w:r>
        <w:rPr>
          <w:sz w:val="20"/>
        </w:rPr>
        <w:t>Que los requisitos exigidos para la obtención de la etiqueta se refieran únicamente a criterios vinculados al objeto del contrato y sean adecuados para definir las características  de las obras, los suministros o los servicios que constituyan el objeto del</w:t>
      </w:r>
      <w:r>
        <w:rPr>
          <w:spacing w:val="-19"/>
          <w:sz w:val="20"/>
        </w:rPr>
        <w:t> </w:t>
      </w:r>
      <w:r>
        <w:rPr>
          <w:sz w:val="20"/>
        </w:rPr>
        <w:t>mismo.</w:t>
      </w:r>
    </w:p>
    <w:p>
      <w:pPr>
        <w:pStyle w:val="ListParagraph"/>
        <w:numPr>
          <w:ilvl w:val="0"/>
          <w:numId w:val="80"/>
        </w:numPr>
        <w:tabs>
          <w:tab w:pos="1689" w:val="left" w:leader="none"/>
        </w:tabs>
        <w:spacing w:line="249" w:lineRule="auto" w:before="3" w:after="0"/>
        <w:ind w:left="1074" w:right="1274" w:firstLine="340"/>
        <w:jc w:val="both"/>
        <w:rPr>
          <w:sz w:val="20"/>
        </w:rPr>
      </w:pPr>
      <w:r>
        <w:rPr>
          <w:sz w:val="20"/>
        </w:rPr>
        <w:t>Que los requisitos exigidos para la obtención de la etiqueta se basen en criterios verificables objetivamente y no</w:t>
      </w:r>
      <w:r>
        <w:rPr>
          <w:spacing w:val="-4"/>
          <w:sz w:val="20"/>
        </w:rPr>
        <w:t> </w:t>
      </w:r>
      <w:r>
        <w:rPr>
          <w:sz w:val="20"/>
        </w:rPr>
        <w:t>discriminatorios.</w:t>
      </w:r>
    </w:p>
    <w:p>
      <w:pPr>
        <w:pStyle w:val="ListParagraph"/>
        <w:numPr>
          <w:ilvl w:val="0"/>
          <w:numId w:val="80"/>
        </w:numPr>
        <w:tabs>
          <w:tab w:pos="1638" w:val="left" w:leader="none"/>
        </w:tabs>
        <w:spacing w:line="249" w:lineRule="auto" w:before="1" w:after="0"/>
        <w:ind w:left="1074" w:right="1273" w:firstLine="340"/>
        <w:jc w:val="both"/>
        <w:rPr>
          <w:sz w:val="20"/>
        </w:rPr>
      </w:pPr>
      <w:r>
        <w:rPr>
          <w:sz w:val="20"/>
        </w:rPr>
        <w:t>Que las etiquetas se adopten con arreglo a un procedimiento abierto y transparente en el que puedan participar todas las partes concernidas tales como organismos públicos, consumidores, interlocutores sociales, fabricantes, distribuidores y organizaciones no gubernamentales.</w:t>
      </w:r>
    </w:p>
    <w:p>
      <w:pPr>
        <w:pStyle w:val="ListParagraph"/>
        <w:numPr>
          <w:ilvl w:val="0"/>
          <w:numId w:val="80"/>
        </w:numPr>
        <w:tabs>
          <w:tab w:pos="1648" w:val="left" w:leader="none"/>
        </w:tabs>
        <w:spacing w:line="240" w:lineRule="auto" w:before="4" w:after="0"/>
        <w:ind w:left="1647" w:right="0" w:hanging="234"/>
        <w:jc w:val="both"/>
        <w:rPr>
          <w:sz w:val="20"/>
        </w:rPr>
      </w:pPr>
      <w:r>
        <w:rPr>
          <w:sz w:val="20"/>
        </w:rPr>
        <w:t>Que las etiquetas sean accesibles a todas las partes</w:t>
      </w:r>
      <w:r>
        <w:rPr>
          <w:spacing w:val="-12"/>
          <w:sz w:val="20"/>
        </w:rPr>
        <w:t> </w:t>
      </w:r>
      <w:r>
        <w:rPr>
          <w:sz w:val="20"/>
        </w:rPr>
        <w:t>interesadas.</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80"/>
        </w:numPr>
        <w:tabs>
          <w:tab w:pos="1661" w:val="left" w:leader="none"/>
        </w:tabs>
        <w:spacing w:line="249" w:lineRule="auto" w:before="127" w:after="0"/>
        <w:ind w:left="1074" w:right="1272" w:firstLine="340"/>
        <w:jc w:val="both"/>
        <w:rPr>
          <w:sz w:val="20"/>
        </w:rPr>
      </w:pPr>
      <w:r>
        <w:rPr>
          <w:sz w:val="20"/>
        </w:rPr>
        <w:t>Que los requisitos exigidos para la obtención de la etiqueta hayan sido fijados por un tercero sobre el cual el empresario no pueda ejercer una influencia</w:t>
      </w:r>
      <w:r>
        <w:rPr>
          <w:spacing w:val="-20"/>
          <w:sz w:val="20"/>
        </w:rPr>
        <w:t> </w:t>
      </w:r>
      <w:r>
        <w:rPr>
          <w:sz w:val="20"/>
        </w:rPr>
        <w:t>decisiva.</w:t>
      </w:r>
    </w:p>
    <w:p>
      <w:pPr>
        <w:pStyle w:val="ListParagraph"/>
        <w:numPr>
          <w:ilvl w:val="0"/>
          <w:numId w:val="80"/>
        </w:numPr>
        <w:tabs>
          <w:tab w:pos="1593" w:val="left" w:leader="none"/>
        </w:tabs>
        <w:spacing w:line="240" w:lineRule="auto" w:before="1" w:after="0"/>
        <w:ind w:left="1592" w:right="0" w:hanging="179"/>
        <w:jc w:val="both"/>
        <w:rPr>
          <w:sz w:val="20"/>
        </w:rPr>
      </w:pPr>
      <w:r>
        <w:rPr>
          <w:sz w:val="20"/>
        </w:rPr>
        <w:t>Que las referencias a las etiquetas no restrinjan la</w:t>
      </w:r>
      <w:r>
        <w:rPr>
          <w:spacing w:val="-10"/>
          <w:sz w:val="20"/>
        </w:rPr>
        <w:t> </w:t>
      </w:r>
      <w:r>
        <w:rPr>
          <w:sz w:val="20"/>
        </w:rPr>
        <w:t>innovación.</w:t>
      </w:r>
    </w:p>
    <w:p>
      <w:pPr>
        <w:pStyle w:val="ListParagraph"/>
        <w:numPr>
          <w:ilvl w:val="0"/>
          <w:numId w:val="79"/>
        </w:numPr>
        <w:tabs>
          <w:tab w:pos="1652" w:val="left" w:leader="none"/>
        </w:tabs>
        <w:spacing w:line="240" w:lineRule="auto" w:before="130" w:after="0"/>
        <w:ind w:left="1651" w:right="0" w:hanging="238"/>
        <w:jc w:val="both"/>
        <w:rPr>
          <w:sz w:val="20"/>
        </w:rPr>
      </w:pPr>
      <w:r>
        <w:rPr>
          <w:sz w:val="20"/>
        </w:rPr>
        <w:t>Cuando</w:t>
      </w:r>
      <w:r>
        <w:rPr>
          <w:spacing w:val="12"/>
          <w:sz w:val="20"/>
        </w:rPr>
        <w:t> </w:t>
      </w:r>
      <w:r>
        <w:rPr>
          <w:sz w:val="20"/>
        </w:rPr>
        <w:t>una</w:t>
      </w:r>
      <w:r>
        <w:rPr>
          <w:spacing w:val="13"/>
          <w:sz w:val="20"/>
        </w:rPr>
        <w:t> </w:t>
      </w:r>
      <w:r>
        <w:rPr>
          <w:sz w:val="20"/>
        </w:rPr>
        <w:t>etiqueta</w:t>
      </w:r>
      <w:r>
        <w:rPr>
          <w:spacing w:val="13"/>
          <w:sz w:val="20"/>
        </w:rPr>
        <w:t> </w:t>
      </w:r>
      <w:r>
        <w:rPr>
          <w:sz w:val="20"/>
        </w:rPr>
        <w:t>cumpla</w:t>
      </w:r>
      <w:r>
        <w:rPr>
          <w:spacing w:val="13"/>
          <w:sz w:val="20"/>
        </w:rPr>
        <w:t> </w:t>
      </w:r>
      <w:r>
        <w:rPr>
          <w:sz w:val="20"/>
        </w:rPr>
        <w:t>las</w:t>
      </w:r>
      <w:r>
        <w:rPr>
          <w:spacing w:val="13"/>
          <w:sz w:val="20"/>
        </w:rPr>
        <w:t> </w:t>
      </w:r>
      <w:r>
        <w:rPr>
          <w:sz w:val="20"/>
        </w:rPr>
        <w:t>condiciones</w:t>
      </w:r>
      <w:r>
        <w:rPr>
          <w:spacing w:val="14"/>
          <w:sz w:val="20"/>
        </w:rPr>
        <w:t> </w:t>
      </w:r>
      <w:r>
        <w:rPr>
          <w:sz w:val="20"/>
        </w:rPr>
        <w:t>previstas</w:t>
      </w:r>
      <w:r>
        <w:rPr>
          <w:spacing w:val="13"/>
          <w:sz w:val="20"/>
        </w:rPr>
        <w:t> </w:t>
      </w:r>
      <w:r>
        <w:rPr>
          <w:sz w:val="20"/>
        </w:rPr>
        <w:t>en</w:t>
      </w:r>
      <w:r>
        <w:rPr>
          <w:spacing w:val="12"/>
          <w:sz w:val="20"/>
        </w:rPr>
        <w:t> </w:t>
      </w:r>
      <w:r>
        <w:rPr>
          <w:sz w:val="20"/>
        </w:rPr>
        <w:t>el</w:t>
      </w:r>
      <w:r>
        <w:rPr>
          <w:spacing w:val="13"/>
          <w:sz w:val="20"/>
        </w:rPr>
        <w:t> </w:t>
      </w:r>
      <w:r>
        <w:rPr>
          <w:sz w:val="20"/>
        </w:rPr>
        <w:t>apartado</w:t>
      </w:r>
      <w:r>
        <w:rPr>
          <w:spacing w:val="13"/>
          <w:sz w:val="20"/>
        </w:rPr>
        <w:t> </w:t>
      </w:r>
      <w:r>
        <w:rPr>
          <w:sz w:val="20"/>
        </w:rPr>
        <w:t>1,</w:t>
      </w:r>
      <w:r>
        <w:rPr>
          <w:spacing w:val="12"/>
          <w:sz w:val="20"/>
        </w:rPr>
        <w:t> </w:t>
      </w:r>
      <w:r>
        <w:rPr>
          <w:sz w:val="20"/>
        </w:rPr>
        <w:t>letras</w:t>
      </w:r>
      <w:r>
        <w:rPr>
          <w:spacing w:val="13"/>
          <w:sz w:val="20"/>
        </w:rPr>
        <w:t> </w:t>
      </w:r>
      <w:r>
        <w:rPr>
          <w:sz w:val="20"/>
        </w:rPr>
        <w:t>b),</w:t>
      </w:r>
      <w:r>
        <w:rPr>
          <w:spacing w:val="13"/>
          <w:sz w:val="20"/>
        </w:rPr>
        <w:t> </w:t>
      </w:r>
      <w:r>
        <w:rPr>
          <w:sz w:val="20"/>
        </w:rPr>
        <w:t>c),</w:t>
      </w:r>
    </w:p>
    <w:p>
      <w:pPr>
        <w:pStyle w:val="BodyText"/>
        <w:spacing w:line="249" w:lineRule="auto" w:before="10"/>
        <w:ind w:right="1273" w:hanging="1"/>
      </w:pPr>
      <w:r>
        <w:rPr/>
        <w:t>d) y e), pero establezca requisitos no vinculados al objeto del contrato, las entidades contratantes no exigirán la etiqueta como tal pero podrán definir la prescripción técnica mediante una referencia a las especificaciones detalladas de esa etiqueta o, en su caso, partes de estas, que estén vinculadas al objeto del contrato y sean adecuadas para definir las características del</w:t>
      </w:r>
      <w:r>
        <w:rPr>
          <w:spacing w:val="-3"/>
        </w:rPr>
        <w:t> </w:t>
      </w:r>
      <w:r>
        <w:rPr/>
        <w:t>mismo.</w:t>
      </w:r>
    </w:p>
    <w:p>
      <w:pPr>
        <w:pStyle w:val="ListParagraph"/>
        <w:numPr>
          <w:ilvl w:val="0"/>
          <w:numId w:val="79"/>
        </w:numPr>
        <w:tabs>
          <w:tab w:pos="1653" w:val="left" w:leader="none"/>
        </w:tabs>
        <w:spacing w:line="249" w:lineRule="auto" w:before="4" w:after="0"/>
        <w:ind w:left="1074" w:right="1274" w:firstLine="340"/>
        <w:jc w:val="both"/>
        <w:rPr>
          <w:sz w:val="20"/>
        </w:rPr>
      </w:pPr>
      <w:r>
        <w:rPr>
          <w:sz w:val="20"/>
        </w:rPr>
        <w:t>Las entidades contratantes que exijan una etiqueta específica deberán aceptar todas las etiquetas que verifiquen que las obras, suministros o servicios cumplen requisitos equivalentes a aquellos que son exigidos para la obtención de</w:t>
      </w:r>
      <w:r>
        <w:rPr>
          <w:spacing w:val="-20"/>
          <w:sz w:val="20"/>
        </w:rPr>
        <w:t> </w:t>
      </w:r>
      <w:r>
        <w:rPr>
          <w:sz w:val="20"/>
        </w:rPr>
        <w:t>aquella.</w:t>
      </w:r>
    </w:p>
    <w:p>
      <w:pPr>
        <w:pStyle w:val="BodyText"/>
        <w:spacing w:line="249" w:lineRule="auto" w:before="3"/>
        <w:ind w:right="1272"/>
      </w:pPr>
      <w:r>
        <w:rPr/>
        <w:t>Si a un empresario, por razones que no puedan imputársele, le resulta manifiestamente imposible obtener la etiqueta específica indicada por la entidad contratante o una etiqueta equivalente dentro de los plazos aplicables, la entidad contratante aceptará otros medios adecuados de prueba, como por ejemplo un expediente técnico del fabricante, que demuestren que las obras, suministros o servicios que ha de prestar el futuro contratista cumplen los requisitos de la etiqueta específica exigida o los requisitos específicos indicados por la entidad contratante.</w:t>
      </w:r>
    </w:p>
    <w:p>
      <w:pPr>
        <w:pStyle w:val="ListParagraph"/>
        <w:numPr>
          <w:ilvl w:val="0"/>
          <w:numId w:val="79"/>
        </w:numPr>
        <w:tabs>
          <w:tab w:pos="1673" w:val="left" w:leader="none"/>
        </w:tabs>
        <w:spacing w:line="249" w:lineRule="auto" w:before="6" w:after="0"/>
        <w:ind w:left="1074" w:right="1272" w:firstLine="340"/>
        <w:jc w:val="both"/>
        <w:rPr>
          <w:sz w:val="20"/>
        </w:rPr>
      </w:pPr>
      <w:r>
        <w:rPr>
          <w:sz w:val="20"/>
        </w:rPr>
        <w:t>Cuando las entidades contratantes que no requieran en los pliegos que las obras, suministros o servicios cumplan todos los requisitos exigidos para la obtención de la  etiqueta, indicarán a cuáles de dichos requisitos se está haciendo</w:t>
      </w:r>
      <w:r>
        <w:rPr>
          <w:spacing w:val="-16"/>
          <w:sz w:val="20"/>
        </w:rPr>
        <w:t> </w:t>
      </w:r>
      <w:r>
        <w:rPr>
          <w:sz w:val="20"/>
        </w:rPr>
        <w:t>referencia.</w:t>
      </w:r>
    </w:p>
    <w:p>
      <w:pPr>
        <w:pStyle w:val="ListParagraph"/>
        <w:numPr>
          <w:ilvl w:val="0"/>
          <w:numId w:val="79"/>
        </w:numPr>
        <w:tabs>
          <w:tab w:pos="1667" w:val="left" w:leader="none"/>
        </w:tabs>
        <w:spacing w:line="249" w:lineRule="auto" w:before="2" w:after="0"/>
        <w:ind w:left="1074" w:right="1274" w:firstLine="340"/>
        <w:jc w:val="both"/>
        <w:rPr>
          <w:sz w:val="20"/>
        </w:rPr>
      </w:pPr>
      <w:r>
        <w:rPr>
          <w:sz w:val="20"/>
        </w:rPr>
        <w:t>La carga de la prueba de la equivalencia recaerá, en todo caso, en el candidato o licitador.</w:t>
      </w:r>
    </w:p>
    <w:p>
      <w:pPr>
        <w:pStyle w:val="BodyText"/>
        <w:spacing w:before="4"/>
        <w:ind w:left="0" w:firstLine="0"/>
        <w:jc w:val="left"/>
      </w:pPr>
    </w:p>
    <w:p>
      <w:pPr>
        <w:spacing w:before="0"/>
        <w:ind w:left="1074" w:right="0" w:firstLine="0"/>
        <w:jc w:val="both"/>
        <w:rPr>
          <w:i/>
          <w:sz w:val="20"/>
        </w:rPr>
      </w:pPr>
      <w:bookmarkStart w:name="Artículo 47. Informes de pruebas, certif" w:id="80"/>
      <w:bookmarkEnd w:id="80"/>
      <w:r>
        <w:rPr/>
      </w:r>
      <w:r>
        <w:rPr>
          <w:b/>
          <w:sz w:val="20"/>
        </w:rPr>
        <w:t>Artículo 47. </w:t>
      </w:r>
      <w:r>
        <w:rPr>
          <w:i/>
          <w:sz w:val="20"/>
        </w:rPr>
        <w:t>Informes de pruebas, certificación y otros medios de prueba.</w:t>
      </w:r>
    </w:p>
    <w:p>
      <w:pPr>
        <w:pStyle w:val="ListParagraph"/>
        <w:numPr>
          <w:ilvl w:val="0"/>
          <w:numId w:val="81"/>
        </w:numPr>
        <w:tabs>
          <w:tab w:pos="1659" w:val="left" w:leader="none"/>
        </w:tabs>
        <w:spacing w:line="249" w:lineRule="auto" w:before="118" w:after="0"/>
        <w:ind w:left="1074" w:right="1273" w:firstLine="340"/>
        <w:jc w:val="both"/>
        <w:rPr>
          <w:sz w:val="20"/>
        </w:rPr>
      </w:pPr>
      <w:r>
        <w:rPr>
          <w:sz w:val="20"/>
        </w:rPr>
        <w:t>Las entidades contratantes podrán exigir que las empresas proporcionen un informe de pruebas de un organismo de evaluación de la conformidad o un certificado expedido por este último, como medio de la prueba del cumplimiento de las prescripciones</w:t>
      </w:r>
      <w:r>
        <w:rPr>
          <w:spacing w:val="10"/>
          <w:sz w:val="20"/>
        </w:rPr>
        <w:t> </w:t>
      </w:r>
      <w:r>
        <w:rPr>
          <w:sz w:val="20"/>
        </w:rPr>
        <w:t>técnicas exigidas, o de los criterios de adjudicación o de las condiciones de ejecución del</w:t>
      </w:r>
      <w:r>
        <w:rPr>
          <w:spacing w:val="-37"/>
          <w:sz w:val="20"/>
        </w:rPr>
        <w:t> </w:t>
      </w:r>
      <w:r>
        <w:rPr>
          <w:sz w:val="20"/>
        </w:rPr>
        <w:t>contrato.</w:t>
      </w:r>
    </w:p>
    <w:p>
      <w:pPr>
        <w:pStyle w:val="BodyText"/>
        <w:spacing w:line="249" w:lineRule="auto" w:before="3"/>
        <w:ind w:right="1273"/>
      </w:pPr>
      <w:r>
        <w:rPr/>
        <w:t>Cuando las entidades contratantes exijan la presentación de certificados expedidos por un organismo de evaluación de la conformidad determinado, los certificados expedidos por otros organismos de evaluación de la conformidad equivalentes también deberán ser aceptados por aquellas.</w:t>
      </w:r>
    </w:p>
    <w:p>
      <w:pPr>
        <w:pStyle w:val="BodyText"/>
        <w:spacing w:line="249" w:lineRule="auto" w:before="3"/>
        <w:ind w:right="1274"/>
      </w:pPr>
      <w:r>
        <w:rPr/>
        <w:t>A efectos de lo dispuesto en este real decreto-ley, se entenderá por «organismo de evaluación de la conformidad» aquellos organismos que desempeñan actividades de calibración, ensayo, certificación e inspección, y que están acreditados de conformidad con el Reglamento (CE) n.º 765/2008 del Parlamento Europeo y del Consejo, de 9 de julio de 2008, por el que se establecen los requisitos de acreditación y vigilancia del</w:t>
      </w:r>
      <w:r>
        <w:rPr>
          <w:spacing w:val="9"/>
        </w:rPr>
        <w:t> </w:t>
      </w:r>
      <w:r>
        <w:rPr/>
        <w:t>mercado relativos a la comercialización de los productos y por el que se deroga el Reglamento (CEE) n.º</w:t>
      </w:r>
      <w:r>
        <w:rPr>
          <w:spacing w:val="-2"/>
        </w:rPr>
        <w:t> </w:t>
      </w:r>
      <w:r>
        <w:rPr/>
        <w:t>339/93.</w:t>
      </w:r>
    </w:p>
    <w:p>
      <w:pPr>
        <w:pStyle w:val="ListParagraph"/>
        <w:numPr>
          <w:ilvl w:val="0"/>
          <w:numId w:val="81"/>
        </w:numPr>
        <w:tabs>
          <w:tab w:pos="1657" w:val="left" w:leader="none"/>
        </w:tabs>
        <w:spacing w:line="249" w:lineRule="auto" w:before="6" w:after="0"/>
        <w:ind w:left="1074" w:right="1271" w:firstLine="340"/>
        <w:jc w:val="both"/>
        <w:rPr>
          <w:sz w:val="20"/>
        </w:rPr>
      </w:pPr>
      <w:r>
        <w:rPr>
          <w:sz w:val="20"/>
        </w:rPr>
        <w:t>Supletoriamente las entidades contratantes deberán aceptar otros medios de prueba adecuados que no sean los contemplados en el apartado 1, como un informe técnico del fabricante, cuando el empresario de que se trate no tenga acceso a dichos certificados o informes de pruebas ni la posibilidad de obtenerlos en los plazos fijados; siempre que la falta de acceso no sea por causa imputable al mismo y que este demuestre que las obras, suministros o servicios que proporciona cumplen los requisitos o criterios fijados en las prescripciones técnicas, los criterios de adjudicación o las condiciones de ejecución del contrato, según el</w:t>
      </w:r>
      <w:r>
        <w:rPr>
          <w:spacing w:val="-2"/>
          <w:sz w:val="20"/>
        </w:rPr>
        <w:t> </w:t>
      </w:r>
      <w:r>
        <w:rPr>
          <w:sz w:val="20"/>
        </w:rPr>
        <w:t>caso.</w:t>
      </w:r>
    </w:p>
    <w:p>
      <w:pPr>
        <w:pStyle w:val="BodyText"/>
        <w:spacing w:before="9"/>
        <w:ind w:left="0" w:firstLine="0"/>
        <w:jc w:val="left"/>
      </w:pPr>
    </w:p>
    <w:p>
      <w:pPr>
        <w:spacing w:before="0"/>
        <w:ind w:left="1074" w:right="0" w:firstLine="0"/>
        <w:jc w:val="both"/>
        <w:rPr>
          <w:i/>
          <w:sz w:val="20"/>
        </w:rPr>
      </w:pPr>
      <w:bookmarkStart w:name="Artículo 48. Normas de aseguramiento de " w:id="81"/>
      <w:bookmarkEnd w:id="81"/>
      <w:r>
        <w:rPr/>
      </w:r>
      <w:r>
        <w:rPr>
          <w:b/>
          <w:sz w:val="20"/>
        </w:rPr>
        <w:t>Artículo 48. </w:t>
      </w:r>
      <w:r>
        <w:rPr>
          <w:i/>
          <w:sz w:val="20"/>
        </w:rPr>
        <w:t>Normas de aseguramiento de la calidad y normas de gestión medioambiental.</w:t>
      </w:r>
    </w:p>
    <w:p>
      <w:pPr>
        <w:pStyle w:val="ListParagraph"/>
        <w:numPr>
          <w:ilvl w:val="0"/>
          <w:numId w:val="82"/>
        </w:numPr>
        <w:tabs>
          <w:tab w:pos="1669" w:val="left" w:leader="none"/>
        </w:tabs>
        <w:spacing w:line="249" w:lineRule="auto" w:before="118" w:after="0"/>
        <w:ind w:left="1074" w:right="1274" w:firstLine="340"/>
        <w:jc w:val="both"/>
        <w:rPr>
          <w:sz w:val="20"/>
        </w:rPr>
      </w:pPr>
      <w:r>
        <w:rPr>
          <w:sz w:val="20"/>
        </w:rPr>
        <w:t>Cuando las entidades contratantes exijan la presentación de certificados expedidos por organismos independientes que acrediten que el empresario cumple determinadas normas de garantías de calidad, en particular en materia de accesibilidad para personas con discapacidad, las mismas deberán hacer referencia a los sistemas de aseguramiento de la calidad basados en la serie de normas europeas pertinentes, certificados por organismos acreditados;</w:t>
      </w:r>
      <w:r>
        <w:rPr>
          <w:spacing w:val="32"/>
          <w:sz w:val="20"/>
        </w:rPr>
        <w:t> </w:t>
      </w:r>
      <w:r>
        <w:rPr>
          <w:sz w:val="20"/>
        </w:rPr>
        <w:t>y</w:t>
      </w:r>
      <w:r>
        <w:rPr>
          <w:spacing w:val="32"/>
          <w:sz w:val="20"/>
        </w:rPr>
        <w:t> </w:t>
      </w:r>
      <w:r>
        <w:rPr>
          <w:sz w:val="20"/>
        </w:rPr>
        <w:t>deberán</w:t>
      </w:r>
      <w:r>
        <w:rPr>
          <w:spacing w:val="33"/>
          <w:sz w:val="20"/>
        </w:rPr>
        <w:t> </w:t>
      </w:r>
      <w:r>
        <w:rPr>
          <w:sz w:val="20"/>
        </w:rPr>
        <w:t>reconocer</w:t>
      </w:r>
      <w:r>
        <w:rPr>
          <w:spacing w:val="32"/>
          <w:sz w:val="20"/>
        </w:rPr>
        <w:t> </w:t>
      </w:r>
      <w:r>
        <w:rPr>
          <w:sz w:val="20"/>
        </w:rPr>
        <w:t>los</w:t>
      </w:r>
      <w:r>
        <w:rPr>
          <w:spacing w:val="32"/>
          <w:sz w:val="20"/>
        </w:rPr>
        <w:t> </w:t>
      </w:r>
      <w:r>
        <w:rPr>
          <w:sz w:val="20"/>
        </w:rPr>
        <w:t>certificados</w:t>
      </w:r>
      <w:r>
        <w:rPr>
          <w:spacing w:val="33"/>
          <w:sz w:val="20"/>
        </w:rPr>
        <w:t> </w:t>
      </w:r>
      <w:r>
        <w:rPr>
          <w:sz w:val="20"/>
        </w:rPr>
        <w:t>equivalentes</w:t>
      </w:r>
      <w:r>
        <w:rPr>
          <w:spacing w:val="32"/>
          <w:sz w:val="20"/>
        </w:rPr>
        <w:t> </w:t>
      </w:r>
      <w:r>
        <w:rPr>
          <w:sz w:val="20"/>
        </w:rPr>
        <w:t>expedidos</w:t>
      </w:r>
      <w:r>
        <w:rPr>
          <w:spacing w:val="32"/>
          <w:sz w:val="20"/>
        </w:rPr>
        <w:t> </w:t>
      </w:r>
      <w:r>
        <w:rPr>
          <w:sz w:val="20"/>
        </w:rPr>
        <w:t>por</w:t>
      </w:r>
      <w:r>
        <w:rPr>
          <w:spacing w:val="33"/>
          <w:sz w:val="20"/>
        </w:rPr>
        <w:t> </w:t>
      </w:r>
      <w:r>
        <w:rPr>
          <w:sz w:val="20"/>
        </w:rPr>
        <w:t>organismos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establecidos en Estados miembros de la Unión Europea. También aceptarán otras pruebas de medidas equivalentes de aseguramiento de la calidad cuando el operador económico afectado no tenga la posibilidad de obtener tales certificados en el plazo fijado por causas no imputables al empresario, siempre que este demuestre que las medidas de aseguramiento de</w:t>
      </w:r>
      <w:r>
        <w:rPr>
          <w:spacing w:val="-4"/>
        </w:rPr>
        <w:t> </w:t>
      </w:r>
      <w:r>
        <w:rPr/>
        <w:t>la</w:t>
      </w:r>
      <w:r>
        <w:rPr>
          <w:spacing w:val="-4"/>
        </w:rPr>
        <w:t> </w:t>
      </w:r>
      <w:r>
        <w:rPr/>
        <w:t>calidad</w:t>
      </w:r>
      <w:r>
        <w:rPr>
          <w:spacing w:val="-2"/>
        </w:rPr>
        <w:t> </w:t>
      </w:r>
      <w:r>
        <w:rPr/>
        <w:t>que</w:t>
      </w:r>
      <w:r>
        <w:rPr>
          <w:spacing w:val="-4"/>
        </w:rPr>
        <w:t> </w:t>
      </w:r>
      <w:r>
        <w:rPr/>
        <w:t>propone</w:t>
      </w:r>
      <w:r>
        <w:rPr>
          <w:spacing w:val="-3"/>
        </w:rPr>
        <w:t> </w:t>
      </w:r>
      <w:r>
        <w:rPr/>
        <w:t>se</w:t>
      </w:r>
      <w:r>
        <w:rPr>
          <w:spacing w:val="-3"/>
        </w:rPr>
        <w:t> </w:t>
      </w:r>
      <w:r>
        <w:rPr/>
        <w:t>ajustan</w:t>
      </w:r>
      <w:r>
        <w:rPr>
          <w:spacing w:val="-3"/>
        </w:rPr>
        <w:t> </w:t>
      </w:r>
      <w:r>
        <w:rPr/>
        <w:t>a</w:t>
      </w:r>
      <w:r>
        <w:rPr>
          <w:spacing w:val="-4"/>
        </w:rPr>
        <w:t> </w:t>
      </w:r>
      <w:r>
        <w:rPr/>
        <w:t>las</w:t>
      </w:r>
      <w:r>
        <w:rPr>
          <w:spacing w:val="-3"/>
        </w:rPr>
        <w:t> </w:t>
      </w:r>
      <w:r>
        <w:rPr/>
        <w:t>normas</w:t>
      </w:r>
      <w:r>
        <w:rPr>
          <w:spacing w:val="-4"/>
        </w:rPr>
        <w:t> </w:t>
      </w:r>
      <w:r>
        <w:rPr/>
        <w:t>de</w:t>
      </w:r>
      <w:r>
        <w:rPr>
          <w:spacing w:val="-3"/>
        </w:rPr>
        <w:t> </w:t>
      </w:r>
      <w:r>
        <w:rPr/>
        <w:t>aseguramiento</w:t>
      </w:r>
      <w:r>
        <w:rPr>
          <w:spacing w:val="-4"/>
        </w:rPr>
        <w:t> </w:t>
      </w:r>
      <w:r>
        <w:rPr/>
        <w:t>de</w:t>
      </w:r>
      <w:r>
        <w:rPr>
          <w:spacing w:val="-3"/>
        </w:rPr>
        <w:t> </w:t>
      </w:r>
      <w:r>
        <w:rPr/>
        <w:t>la</w:t>
      </w:r>
      <w:r>
        <w:rPr>
          <w:spacing w:val="-4"/>
        </w:rPr>
        <w:t> </w:t>
      </w:r>
      <w:r>
        <w:rPr/>
        <w:t>calidad</w:t>
      </w:r>
      <w:r>
        <w:rPr>
          <w:spacing w:val="-3"/>
        </w:rPr>
        <w:t> </w:t>
      </w:r>
      <w:r>
        <w:rPr/>
        <w:t>exigidas.</w:t>
      </w:r>
    </w:p>
    <w:p>
      <w:pPr>
        <w:pStyle w:val="ListParagraph"/>
        <w:numPr>
          <w:ilvl w:val="0"/>
          <w:numId w:val="82"/>
        </w:numPr>
        <w:tabs>
          <w:tab w:pos="1683" w:val="left" w:leader="none"/>
        </w:tabs>
        <w:spacing w:line="249" w:lineRule="auto" w:before="4" w:after="0"/>
        <w:ind w:left="1074" w:right="1273" w:firstLine="340"/>
        <w:jc w:val="both"/>
        <w:rPr>
          <w:sz w:val="20"/>
        </w:rPr>
      </w:pPr>
      <w:r>
        <w:rPr>
          <w:sz w:val="20"/>
        </w:rPr>
        <w:t>Cuando las entidades contratantes exijan como medio para acreditar la solvencia técnica o profesional la presentación de certificados expedidos por organismos independientes que acrediten que el licitador cumple determinadas normas o sistemas de gestión medioambiental, harán referencia al sistema de gestión y auditoría  medioambientales (EMAS) de la Unión Europea o a otros sistemas de gestión medioambiental reconocidos de conformidad con el artículo 45 del Reglamento (CE) n.º 1221/2009 del Parlamento Europeo y del Consejo de 25 de noviembre de 2009, relativo a la participación voluntaria de organizaciones en un sistema comunitario de gestión y auditoría medioambientales (EMAS), y por el que se derogan el Reglamento (CE) n.º 761/2001 y las Decisiones 2001/681/CE y 2006/193/CE de la Comisión, o a otras normas de gestión medioambiental basadas en las normas europeas o internacionales pertinentes de organismos acreditados. Las entidades contratantes asimismo reconocerán los certificados equivalentes de organismos establecidos en Estados miembros de la Unión</w:t>
      </w:r>
      <w:r>
        <w:rPr>
          <w:spacing w:val="-25"/>
          <w:sz w:val="20"/>
        </w:rPr>
        <w:t> </w:t>
      </w:r>
      <w:r>
        <w:rPr>
          <w:sz w:val="20"/>
        </w:rPr>
        <w:t>Europea.</w:t>
      </w:r>
    </w:p>
    <w:p>
      <w:pPr>
        <w:pStyle w:val="BodyText"/>
        <w:spacing w:line="249" w:lineRule="auto" w:before="10"/>
        <w:ind w:right="1273"/>
      </w:pPr>
      <w:r>
        <w:rPr/>
        <w:t>Si el licitador puede demostrar que no tiene acceso a certificados de este tipo, o que no tiene la posibilidad de obtenerlos dentro del plazo fijado por causas que no le sean imputables, la entidad contratante también aceptará otras pruebas de medidas de gestión medioambiental, a condición de que el licitador demuestre que dichas medidas son equivalentes a las exigidas con arreglo al sistema de gestión medioambiental aplicable.</w:t>
      </w:r>
    </w:p>
    <w:p>
      <w:pPr>
        <w:pStyle w:val="BodyText"/>
        <w:spacing w:before="7"/>
        <w:ind w:left="0" w:firstLine="0"/>
        <w:jc w:val="left"/>
      </w:pPr>
    </w:p>
    <w:p>
      <w:pPr>
        <w:spacing w:line="249" w:lineRule="auto" w:before="0"/>
        <w:ind w:left="1074" w:right="1278" w:hanging="1"/>
        <w:jc w:val="left"/>
        <w:rPr>
          <w:i/>
          <w:sz w:val="20"/>
        </w:rPr>
      </w:pPr>
      <w:bookmarkStart w:name="Artículo 49. Reconocimiento mutuo en cua" w:id="82"/>
      <w:bookmarkEnd w:id="82"/>
      <w:r>
        <w:rPr/>
      </w:r>
      <w:r>
        <w:rPr>
          <w:b/>
          <w:sz w:val="20"/>
        </w:rPr>
        <w:t>Artículo 49. </w:t>
      </w:r>
      <w:r>
        <w:rPr>
          <w:i/>
          <w:sz w:val="20"/>
        </w:rPr>
        <w:t>Reconocimiento mutuo en cuanto a condiciones técnicas o financieras y en </w:t>
      </w:r>
      <w:r>
        <w:rPr>
          <w:i/>
          <w:sz w:val="20"/>
        </w:rPr>
        <w:t>cuanto a certificados, pruebas y justificantes.</w:t>
      </w:r>
    </w:p>
    <w:p>
      <w:pPr>
        <w:pStyle w:val="ListParagraph"/>
        <w:numPr>
          <w:ilvl w:val="0"/>
          <w:numId w:val="83"/>
        </w:numPr>
        <w:tabs>
          <w:tab w:pos="1711" w:val="left" w:leader="none"/>
        </w:tabs>
        <w:spacing w:line="249" w:lineRule="auto" w:before="109" w:after="0"/>
        <w:ind w:left="1074" w:right="1274" w:firstLine="340"/>
        <w:jc w:val="left"/>
        <w:rPr>
          <w:sz w:val="20"/>
        </w:rPr>
      </w:pPr>
      <w:r>
        <w:rPr>
          <w:sz w:val="20"/>
        </w:rPr>
        <w:t>Las entidades contratantes reconocerán certificados equivalentes expedidos por organismos establecidos en otros Estados miembros de la Unión</w:t>
      </w:r>
      <w:r>
        <w:rPr>
          <w:spacing w:val="-14"/>
          <w:sz w:val="20"/>
        </w:rPr>
        <w:t> </w:t>
      </w:r>
      <w:r>
        <w:rPr>
          <w:sz w:val="20"/>
        </w:rPr>
        <w:t>Europea.</w:t>
      </w:r>
    </w:p>
    <w:p>
      <w:pPr>
        <w:pStyle w:val="ListParagraph"/>
        <w:numPr>
          <w:ilvl w:val="0"/>
          <w:numId w:val="83"/>
        </w:numPr>
        <w:tabs>
          <w:tab w:pos="1658" w:val="left" w:leader="none"/>
        </w:tabs>
        <w:spacing w:line="249" w:lineRule="auto" w:before="2" w:after="0"/>
        <w:ind w:left="1074" w:right="1274" w:firstLine="340"/>
        <w:jc w:val="left"/>
        <w:rPr>
          <w:sz w:val="20"/>
        </w:rPr>
      </w:pPr>
      <w:r>
        <w:rPr>
          <w:sz w:val="20"/>
        </w:rPr>
        <w:t>También aceptarán otras pruebas de medidas equivalentes de garantía de calidad y de gestión medioambiental que presenten los operadores</w:t>
      </w:r>
      <w:r>
        <w:rPr>
          <w:spacing w:val="-13"/>
          <w:sz w:val="20"/>
        </w:rPr>
        <w:t> </w:t>
      </w:r>
      <w:r>
        <w:rPr>
          <w:sz w:val="20"/>
        </w:rPr>
        <w:t>económicos.</w:t>
      </w:r>
    </w:p>
    <w:p>
      <w:pPr>
        <w:pStyle w:val="BodyText"/>
        <w:spacing w:before="4"/>
        <w:ind w:left="0" w:firstLine="0"/>
        <w:jc w:val="left"/>
      </w:pPr>
    </w:p>
    <w:p>
      <w:pPr>
        <w:spacing w:before="0"/>
        <w:ind w:left="1074" w:right="0" w:firstLine="0"/>
        <w:jc w:val="left"/>
        <w:rPr>
          <w:i/>
          <w:sz w:val="20"/>
        </w:rPr>
      </w:pPr>
      <w:bookmarkStart w:name="Artículo 50. Definiciones de las prescri" w:id="83"/>
      <w:bookmarkEnd w:id="83"/>
      <w:r>
        <w:rPr/>
      </w:r>
      <w:r>
        <w:rPr>
          <w:b/>
          <w:sz w:val="20"/>
        </w:rPr>
        <w:t>Artículo 50. </w:t>
      </w:r>
      <w:r>
        <w:rPr>
          <w:i/>
          <w:sz w:val="20"/>
        </w:rPr>
        <w:t>Definiciones de las prescripciones técnicas.</w:t>
      </w:r>
    </w:p>
    <w:p>
      <w:pPr>
        <w:pStyle w:val="BodyText"/>
        <w:spacing w:before="118"/>
        <w:ind w:left="1414" w:firstLine="0"/>
        <w:jc w:val="left"/>
      </w:pPr>
      <w:r>
        <w:rPr/>
        <w:t>Se entenderá por:</w:t>
      </w:r>
    </w:p>
    <w:p>
      <w:pPr>
        <w:pStyle w:val="ListParagraph"/>
        <w:numPr>
          <w:ilvl w:val="0"/>
          <w:numId w:val="84"/>
        </w:numPr>
        <w:tabs>
          <w:tab w:pos="1637" w:val="left" w:leader="none"/>
        </w:tabs>
        <w:spacing w:line="240" w:lineRule="auto" w:before="130" w:after="0"/>
        <w:ind w:left="1636" w:right="0" w:hanging="223"/>
        <w:jc w:val="left"/>
        <w:rPr>
          <w:sz w:val="20"/>
        </w:rPr>
      </w:pPr>
      <w:r>
        <w:rPr>
          <w:sz w:val="20"/>
        </w:rPr>
        <w:t>«Prescripción</w:t>
      </w:r>
      <w:r>
        <w:rPr>
          <w:spacing w:val="-2"/>
          <w:sz w:val="20"/>
        </w:rPr>
        <w:t> </w:t>
      </w:r>
      <w:r>
        <w:rPr>
          <w:sz w:val="20"/>
        </w:rPr>
        <w:t>técnica»:</w:t>
      </w:r>
    </w:p>
    <w:p>
      <w:pPr>
        <w:pStyle w:val="ListParagraph"/>
        <w:numPr>
          <w:ilvl w:val="0"/>
          <w:numId w:val="85"/>
        </w:numPr>
        <w:tabs>
          <w:tab w:pos="1651" w:val="left" w:leader="none"/>
        </w:tabs>
        <w:spacing w:line="249" w:lineRule="auto" w:before="130" w:after="0"/>
        <w:ind w:left="1074" w:right="1273" w:firstLine="340"/>
        <w:jc w:val="both"/>
        <w:rPr>
          <w:sz w:val="20"/>
        </w:rPr>
      </w:pPr>
      <w:r>
        <w:rPr>
          <w:sz w:val="20"/>
        </w:rPr>
        <w:t>Cuando se trate de contratos de servicios o de suministros, aquella especificación que figure en un documento en la que se definan las características exigidas de un producto o de un servicio, como, por ejemplo, los niveles de calidad, los niveles de comportamiento ambiental y climático, el diseño para todas las necesidades, incluida la accesibilidad universal y diseño para todas las personas; la evaluación de la conformidad, el rendimiento, la utilización del producto, la seguridad, o las dimensiones; asimismo, los requisitos aplicables al producto en lo referente a la denominación de venta, la terminología, los símbolos, las pruebas y métodos de prueba, el envasado, marcado y etiquetado, las instrucciones de uso, los procesos y métodos de producción en cualquier fase del ciclo de vida del suministro o servicio, así como los procedimientos de evaluación de la</w:t>
      </w:r>
      <w:r>
        <w:rPr>
          <w:spacing w:val="-36"/>
          <w:sz w:val="20"/>
        </w:rPr>
        <w:t> </w:t>
      </w:r>
      <w:r>
        <w:rPr>
          <w:sz w:val="20"/>
        </w:rPr>
        <w:t>conformidad.</w:t>
      </w:r>
    </w:p>
    <w:p>
      <w:pPr>
        <w:pStyle w:val="ListParagraph"/>
        <w:numPr>
          <w:ilvl w:val="0"/>
          <w:numId w:val="85"/>
        </w:numPr>
        <w:tabs>
          <w:tab w:pos="1686" w:val="left" w:leader="none"/>
        </w:tabs>
        <w:spacing w:line="249" w:lineRule="auto" w:before="8" w:after="0"/>
        <w:ind w:left="1074" w:right="1271" w:firstLine="340"/>
        <w:jc w:val="both"/>
        <w:rPr>
          <w:sz w:val="20"/>
        </w:rPr>
      </w:pPr>
      <w:r>
        <w:rPr>
          <w:sz w:val="20"/>
        </w:rPr>
        <w:t>Cuando se trate de contratos de obras, el conjunto de las prescripciones técnicas contenidas concretamente en los pliegos de condiciones, en las que se definan las características requeridas de un material, producto o suministro, y que permitan caracterizarlos de manera que respondan a la utilización a que los destine la entidad contratante. Estas características incluyen: el impacto social, laboral, ambiental y climático de dichos materiales, productos o actividades que se desarrollen durante la elaboración o utilización de los mismos; el diseño para todas las necesidades, incluida la accesibilidad universal y diseño para todas las personas; la evaluación de la conformidad, el rendimiento, la seguridad, o las dimensiones; los procedimientos de aseguramiento de la calidad; la terminología; los símbolos; las pruebas y métodos de prueba; el envasado, marcado y etiquetado; las instrucciones de uso y los procesos y métodos de producción en cualquier fase</w:t>
      </w:r>
      <w:r>
        <w:rPr>
          <w:spacing w:val="19"/>
          <w:sz w:val="20"/>
        </w:rPr>
        <w:t> </w:t>
      </w:r>
      <w:r>
        <w:rPr>
          <w:sz w:val="20"/>
        </w:rPr>
        <w:t>del</w:t>
      </w:r>
      <w:r>
        <w:rPr>
          <w:spacing w:val="19"/>
          <w:sz w:val="20"/>
        </w:rPr>
        <w:t> </w:t>
      </w:r>
      <w:r>
        <w:rPr>
          <w:sz w:val="20"/>
        </w:rPr>
        <w:t>ciclo</w:t>
      </w:r>
      <w:r>
        <w:rPr>
          <w:spacing w:val="20"/>
          <w:sz w:val="20"/>
        </w:rPr>
        <w:t> </w:t>
      </w:r>
      <w:r>
        <w:rPr>
          <w:sz w:val="20"/>
        </w:rPr>
        <w:t>de</w:t>
      </w:r>
      <w:r>
        <w:rPr>
          <w:spacing w:val="19"/>
          <w:sz w:val="20"/>
        </w:rPr>
        <w:t> </w:t>
      </w:r>
      <w:r>
        <w:rPr>
          <w:sz w:val="20"/>
        </w:rPr>
        <w:t>vida</w:t>
      </w:r>
      <w:r>
        <w:rPr>
          <w:spacing w:val="20"/>
          <w:sz w:val="20"/>
        </w:rPr>
        <w:t> </w:t>
      </w:r>
      <w:r>
        <w:rPr>
          <w:sz w:val="20"/>
        </w:rPr>
        <w:t>de</w:t>
      </w:r>
      <w:r>
        <w:rPr>
          <w:spacing w:val="19"/>
          <w:sz w:val="20"/>
        </w:rPr>
        <w:t> </w:t>
      </w:r>
      <w:r>
        <w:rPr>
          <w:sz w:val="20"/>
        </w:rPr>
        <w:t>las</w:t>
      </w:r>
      <w:r>
        <w:rPr>
          <w:spacing w:val="19"/>
          <w:sz w:val="20"/>
        </w:rPr>
        <w:t> </w:t>
      </w:r>
      <w:r>
        <w:rPr>
          <w:sz w:val="20"/>
        </w:rPr>
        <w:t>obras;</w:t>
      </w:r>
      <w:r>
        <w:rPr>
          <w:spacing w:val="19"/>
          <w:sz w:val="20"/>
        </w:rPr>
        <w:t> </w:t>
      </w:r>
      <w:r>
        <w:rPr>
          <w:sz w:val="20"/>
        </w:rPr>
        <w:t>las</w:t>
      </w:r>
      <w:r>
        <w:rPr>
          <w:spacing w:val="19"/>
          <w:sz w:val="20"/>
        </w:rPr>
        <w:t> </w:t>
      </w:r>
      <w:r>
        <w:rPr>
          <w:sz w:val="20"/>
        </w:rPr>
        <w:t>reglas</w:t>
      </w:r>
      <w:r>
        <w:rPr>
          <w:spacing w:val="20"/>
          <w:sz w:val="20"/>
        </w:rPr>
        <w:t> </w:t>
      </w:r>
      <w:r>
        <w:rPr>
          <w:sz w:val="20"/>
        </w:rPr>
        <w:t>de</w:t>
      </w:r>
      <w:r>
        <w:rPr>
          <w:spacing w:val="19"/>
          <w:sz w:val="20"/>
        </w:rPr>
        <w:t> </w:t>
      </w:r>
      <w:r>
        <w:rPr>
          <w:sz w:val="20"/>
        </w:rPr>
        <w:t>elaboración</w:t>
      </w:r>
      <w:r>
        <w:rPr>
          <w:spacing w:val="18"/>
          <w:sz w:val="20"/>
        </w:rPr>
        <w:t> </w:t>
      </w:r>
      <w:r>
        <w:rPr>
          <w:sz w:val="20"/>
        </w:rPr>
        <w:t>del</w:t>
      </w:r>
      <w:r>
        <w:rPr>
          <w:spacing w:val="19"/>
          <w:sz w:val="20"/>
        </w:rPr>
        <w:t> </w:t>
      </w:r>
      <w:r>
        <w:rPr>
          <w:sz w:val="20"/>
        </w:rPr>
        <w:t>proyecto</w:t>
      </w:r>
      <w:r>
        <w:rPr>
          <w:spacing w:val="19"/>
          <w:sz w:val="20"/>
        </w:rPr>
        <w:t> </w:t>
      </w:r>
      <w:r>
        <w:rPr>
          <w:sz w:val="20"/>
        </w:rPr>
        <w:t>y</w:t>
      </w:r>
      <w:r>
        <w:rPr>
          <w:spacing w:val="20"/>
          <w:sz w:val="20"/>
        </w:rPr>
        <w:t> </w:t>
      </w:r>
      <w:r>
        <w:rPr>
          <w:sz w:val="20"/>
        </w:rPr>
        <w:t>cálculo</w:t>
      </w:r>
      <w:r>
        <w:rPr>
          <w:spacing w:val="20"/>
          <w:sz w:val="20"/>
        </w:rPr>
        <w:t> </w:t>
      </w:r>
      <w:r>
        <w:rPr>
          <w:sz w:val="20"/>
        </w:rPr>
        <w:t>de</w:t>
      </w:r>
      <w:r>
        <w:rPr>
          <w:spacing w:val="19"/>
          <w:sz w:val="20"/>
        </w:rPr>
        <w:t> </w:t>
      </w:r>
      <w:r>
        <w:rPr>
          <w:sz w:val="20"/>
        </w:rPr>
        <w:t>las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obras; las condiciones de prueba, control y recepción de las obras, así como las técnicas o métodos de construcción y todas las demás condiciones de carácter técnico que la entidad contratante pueda prescribir, por vía de reglamentación general o específica, en lo referente a obras acabadas y a los materiales o elementos que las</w:t>
      </w:r>
      <w:r>
        <w:rPr>
          <w:spacing w:val="-15"/>
        </w:rPr>
        <w:t> </w:t>
      </w:r>
      <w:r>
        <w:rPr/>
        <w:t>constituyan.</w:t>
      </w:r>
    </w:p>
    <w:p>
      <w:pPr>
        <w:pStyle w:val="ListParagraph"/>
        <w:numPr>
          <w:ilvl w:val="0"/>
          <w:numId w:val="84"/>
        </w:numPr>
        <w:tabs>
          <w:tab w:pos="1691" w:val="left" w:leader="none"/>
        </w:tabs>
        <w:spacing w:line="249" w:lineRule="auto" w:before="123" w:after="0"/>
        <w:ind w:left="1074" w:right="1274" w:firstLine="340"/>
        <w:jc w:val="both"/>
        <w:rPr>
          <w:sz w:val="20"/>
        </w:rPr>
      </w:pPr>
      <w:r>
        <w:rPr>
          <w:sz w:val="20"/>
        </w:rPr>
        <w:t>«Norma»: una prescripción técnica aprobada por un organismo de normalización reconocido para una aplicación repetida o continuada cuyo cumplimiento no sea obligatorio y que esté incluida en una de las categorías</w:t>
      </w:r>
      <w:r>
        <w:rPr>
          <w:spacing w:val="-9"/>
          <w:sz w:val="20"/>
        </w:rPr>
        <w:t> </w:t>
      </w:r>
      <w:r>
        <w:rPr>
          <w:sz w:val="20"/>
        </w:rPr>
        <w:t>siguientes:</w:t>
      </w:r>
    </w:p>
    <w:p>
      <w:pPr>
        <w:pStyle w:val="ListParagraph"/>
        <w:numPr>
          <w:ilvl w:val="0"/>
          <w:numId w:val="86"/>
        </w:numPr>
        <w:tabs>
          <w:tab w:pos="1764" w:val="left" w:leader="none"/>
        </w:tabs>
        <w:spacing w:line="249" w:lineRule="auto" w:before="122" w:after="0"/>
        <w:ind w:left="1074" w:right="1275" w:firstLine="340"/>
        <w:jc w:val="left"/>
        <w:rPr>
          <w:sz w:val="20"/>
        </w:rPr>
      </w:pPr>
      <w:r>
        <w:rPr>
          <w:sz w:val="20"/>
        </w:rPr>
        <w:t>«Norma internacional»: norma adoptada por un organismo internacional de normalización y puesta a disposición del</w:t>
      </w:r>
      <w:r>
        <w:rPr>
          <w:spacing w:val="-8"/>
          <w:sz w:val="20"/>
        </w:rPr>
        <w:t> </w:t>
      </w:r>
      <w:r>
        <w:rPr>
          <w:sz w:val="20"/>
        </w:rPr>
        <w:t>público,</w:t>
      </w:r>
    </w:p>
    <w:p>
      <w:pPr>
        <w:pStyle w:val="ListParagraph"/>
        <w:numPr>
          <w:ilvl w:val="0"/>
          <w:numId w:val="86"/>
        </w:numPr>
        <w:tabs>
          <w:tab w:pos="1684" w:val="left" w:leader="none"/>
        </w:tabs>
        <w:spacing w:line="249" w:lineRule="auto" w:before="2" w:after="0"/>
        <w:ind w:left="1074" w:right="1276" w:firstLine="340"/>
        <w:jc w:val="left"/>
        <w:rPr>
          <w:sz w:val="20"/>
        </w:rPr>
      </w:pPr>
      <w:r>
        <w:rPr>
          <w:sz w:val="20"/>
        </w:rPr>
        <w:t>«Norma europea»: norma adoptada por un organismo europeo de normalización y puesta a disposición del público,</w:t>
      </w:r>
      <w:r>
        <w:rPr>
          <w:spacing w:val="-7"/>
          <w:sz w:val="20"/>
        </w:rPr>
        <w:t> </w:t>
      </w:r>
      <w:r>
        <w:rPr>
          <w:sz w:val="20"/>
        </w:rPr>
        <w:t>y</w:t>
      </w:r>
    </w:p>
    <w:p>
      <w:pPr>
        <w:pStyle w:val="ListParagraph"/>
        <w:numPr>
          <w:ilvl w:val="0"/>
          <w:numId w:val="86"/>
        </w:numPr>
        <w:tabs>
          <w:tab w:pos="1672" w:val="left" w:leader="none"/>
        </w:tabs>
        <w:spacing w:line="249" w:lineRule="auto" w:before="2" w:after="0"/>
        <w:ind w:left="1074" w:right="1276" w:firstLine="340"/>
        <w:jc w:val="left"/>
        <w:rPr>
          <w:sz w:val="20"/>
        </w:rPr>
      </w:pPr>
      <w:r>
        <w:rPr>
          <w:sz w:val="20"/>
        </w:rPr>
        <w:t>«Norma nacional»: norma adoptada por un organismo nacional de normalización y puesta a disposición del</w:t>
      </w:r>
      <w:r>
        <w:rPr>
          <w:spacing w:val="-5"/>
          <w:sz w:val="20"/>
        </w:rPr>
        <w:t> </w:t>
      </w:r>
      <w:r>
        <w:rPr>
          <w:sz w:val="20"/>
        </w:rPr>
        <w:t>público.</w:t>
      </w:r>
    </w:p>
    <w:p>
      <w:pPr>
        <w:pStyle w:val="ListParagraph"/>
        <w:numPr>
          <w:ilvl w:val="0"/>
          <w:numId w:val="84"/>
        </w:numPr>
        <w:tabs>
          <w:tab w:pos="1651" w:val="left" w:leader="none"/>
        </w:tabs>
        <w:spacing w:line="249" w:lineRule="auto" w:before="121" w:after="0"/>
        <w:ind w:left="1074" w:right="1273" w:firstLine="340"/>
        <w:jc w:val="both"/>
        <w:rPr>
          <w:sz w:val="20"/>
        </w:rPr>
      </w:pPr>
      <w:r>
        <w:rPr>
          <w:sz w:val="20"/>
        </w:rPr>
        <w:t>«Evaluación técnica europea»: la evaluación documentada de las prestaciones de un producto de construcción en cuanto a sus características esenciales, con arreglo al correspondiente documento de evaluación europeo, tal como se define en el artículo 2, punto 12, del Reglamento (UE) n.º 305/2011 del Parlamento Europeo y del</w:t>
      </w:r>
      <w:r>
        <w:rPr>
          <w:spacing w:val="-18"/>
          <w:sz w:val="20"/>
        </w:rPr>
        <w:t> </w:t>
      </w:r>
      <w:r>
        <w:rPr>
          <w:sz w:val="20"/>
        </w:rPr>
        <w:t>Consejo.</w:t>
      </w:r>
    </w:p>
    <w:p>
      <w:pPr>
        <w:pStyle w:val="ListParagraph"/>
        <w:numPr>
          <w:ilvl w:val="0"/>
          <w:numId w:val="84"/>
        </w:numPr>
        <w:tabs>
          <w:tab w:pos="1693" w:val="left" w:leader="none"/>
        </w:tabs>
        <w:spacing w:line="249" w:lineRule="auto" w:before="4" w:after="0"/>
        <w:ind w:left="1074" w:right="1272" w:firstLine="340"/>
        <w:jc w:val="both"/>
        <w:rPr>
          <w:sz w:val="20"/>
        </w:rPr>
      </w:pPr>
      <w:r>
        <w:rPr>
          <w:sz w:val="20"/>
        </w:rPr>
        <w:t>«Especificación técnica común»: la prescripción técnica en el ámbito de las TIC elaborada según los artículos 13 y 14 del Reglamento (UE) n.º</w:t>
      </w:r>
      <w:r>
        <w:rPr>
          <w:spacing w:val="-20"/>
          <w:sz w:val="20"/>
        </w:rPr>
        <w:t> </w:t>
      </w:r>
      <w:r>
        <w:rPr>
          <w:sz w:val="20"/>
        </w:rPr>
        <w:t>1025/2012.</w:t>
      </w:r>
    </w:p>
    <w:p>
      <w:pPr>
        <w:pStyle w:val="ListParagraph"/>
        <w:numPr>
          <w:ilvl w:val="0"/>
          <w:numId w:val="84"/>
        </w:numPr>
        <w:tabs>
          <w:tab w:pos="1638" w:val="left" w:leader="none"/>
        </w:tabs>
        <w:spacing w:line="249" w:lineRule="auto" w:before="1" w:after="0"/>
        <w:ind w:left="1074" w:right="1274" w:firstLine="340"/>
        <w:jc w:val="both"/>
        <w:rPr>
          <w:sz w:val="20"/>
        </w:rPr>
      </w:pPr>
      <w:r>
        <w:rPr>
          <w:sz w:val="20"/>
        </w:rPr>
        <w:t>«Referencia técnica»: cualquier documento elaborado por los organismos europeos de normalización, distinto de las normas europeas, con arreglo a procedimientos adaptados a la evolución de las necesidades del</w:t>
      </w:r>
      <w:r>
        <w:rPr>
          <w:spacing w:val="-7"/>
          <w:sz w:val="20"/>
        </w:rPr>
        <w:t> </w:t>
      </w:r>
      <w:r>
        <w:rPr>
          <w:sz w:val="20"/>
        </w:rPr>
        <w:t>mercado.</w:t>
      </w:r>
    </w:p>
    <w:p>
      <w:pPr>
        <w:pStyle w:val="BodyText"/>
        <w:spacing w:before="5"/>
        <w:ind w:left="0" w:firstLine="0"/>
        <w:jc w:val="left"/>
      </w:pPr>
    </w:p>
    <w:p>
      <w:pPr>
        <w:spacing w:before="0"/>
        <w:ind w:left="1074" w:right="0" w:firstLine="0"/>
        <w:jc w:val="left"/>
        <w:rPr>
          <w:i/>
          <w:sz w:val="20"/>
        </w:rPr>
      </w:pPr>
      <w:bookmarkStart w:name="Artículo 51. Instrucciones y reglamentos" w:id="84"/>
      <w:bookmarkEnd w:id="84"/>
      <w:r>
        <w:rPr/>
      </w:r>
      <w:r>
        <w:rPr>
          <w:b/>
          <w:sz w:val="20"/>
        </w:rPr>
        <w:t>Artículo 51. </w:t>
      </w:r>
      <w:r>
        <w:rPr>
          <w:i/>
          <w:sz w:val="20"/>
        </w:rPr>
        <w:t>Instrucciones y reglamentos técnicos obligatorios.</w:t>
      </w:r>
    </w:p>
    <w:p>
      <w:pPr>
        <w:pStyle w:val="ListParagraph"/>
        <w:numPr>
          <w:ilvl w:val="0"/>
          <w:numId w:val="87"/>
        </w:numPr>
        <w:tabs>
          <w:tab w:pos="1662" w:val="left" w:leader="none"/>
        </w:tabs>
        <w:spacing w:line="249" w:lineRule="auto" w:before="118" w:after="0"/>
        <w:ind w:left="1074" w:right="1274" w:firstLine="340"/>
        <w:jc w:val="left"/>
        <w:rPr>
          <w:sz w:val="20"/>
        </w:rPr>
      </w:pPr>
      <w:r>
        <w:rPr>
          <w:sz w:val="20"/>
        </w:rPr>
        <w:t>Los proyectos y la ejecución de obras deberán sujetarse a las instrucciones y a los reglamentos técnicos que sean de obligado</w:t>
      </w:r>
      <w:r>
        <w:rPr>
          <w:spacing w:val="-4"/>
          <w:sz w:val="20"/>
        </w:rPr>
        <w:t> </w:t>
      </w:r>
      <w:r>
        <w:rPr>
          <w:sz w:val="20"/>
        </w:rPr>
        <w:t>cumplimiento.</w:t>
      </w:r>
    </w:p>
    <w:p>
      <w:pPr>
        <w:pStyle w:val="ListParagraph"/>
        <w:numPr>
          <w:ilvl w:val="0"/>
          <w:numId w:val="87"/>
        </w:numPr>
        <w:tabs>
          <w:tab w:pos="1729" w:val="left" w:leader="none"/>
        </w:tabs>
        <w:spacing w:line="249" w:lineRule="auto" w:before="1" w:after="0"/>
        <w:ind w:left="1074" w:right="1274" w:firstLine="340"/>
        <w:jc w:val="left"/>
        <w:rPr>
          <w:sz w:val="20"/>
        </w:rPr>
      </w:pPr>
      <w:r>
        <w:rPr>
          <w:sz w:val="20"/>
        </w:rPr>
        <w:t>Serán de aplicación únicamente las instrucciones y los reglamentos técnicos obligatorios que sean conformes con el Derecho de la Unión</w:t>
      </w:r>
      <w:r>
        <w:rPr>
          <w:spacing w:val="-13"/>
          <w:sz w:val="20"/>
        </w:rPr>
        <w:t> </w:t>
      </w:r>
      <w:r>
        <w:rPr>
          <w:sz w:val="20"/>
        </w:rPr>
        <w:t>Europea.</w:t>
      </w:r>
    </w:p>
    <w:p>
      <w:pPr>
        <w:pStyle w:val="BodyText"/>
        <w:spacing w:before="0"/>
        <w:ind w:left="0" w:firstLine="0"/>
        <w:jc w:val="left"/>
        <w:rPr>
          <w:sz w:val="26"/>
        </w:rPr>
      </w:pPr>
    </w:p>
    <w:p>
      <w:pPr>
        <w:pStyle w:val="BodyText"/>
        <w:spacing w:before="163"/>
        <w:ind w:left="2930" w:right="3127" w:firstLine="0"/>
        <w:jc w:val="center"/>
      </w:pPr>
      <w:bookmarkStart w:name="TÍTULO IV. Procedimientos de adjudicació" w:id="85"/>
      <w:bookmarkEnd w:id="85"/>
      <w:r>
        <w:rPr/>
      </w:r>
      <w:bookmarkStart w:name="_bookmark16" w:id="86"/>
      <w:bookmarkEnd w:id="86"/>
      <w:r>
        <w:rPr/>
      </w:r>
      <w:r>
        <w:rPr/>
        <w:t>TÍTULO IV</w:t>
      </w:r>
    </w:p>
    <w:p>
      <w:pPr>
        <w:pStyle w:val="Heading1"/>
        <w:ind w:right="1612"/>
      </w:pPr>
      <w:r>
        <w:rPr/>
        <w:t>Procedimientos de adjudicación de los contratos</w:t>
      </w:r>
    </w:p>
    <w:p>
      <w:pPr>
        <w:pStyle w:val="BodyText"/>
        <w:spacing w:before="0"/>
        <w:ind w:left="0" w:firstLine="0"/>
        <w:jc w:val="left"/>
        <w:rPr>
          <w:b/>
          <w:sz w:val="22"/>
        </w:rPr>
      </w:pPr>
    </w:p>
    <w:p>
      <w:pPr>
        <w:pStyle w:val="BodyText"/>
        <w:spacing w:before="3"/>
        <w:ind w:left="0" w:firstLine="0"/>
        <w:jc w:val="left"/>
        <w:rPr>
          <w:b/>
          <w:sz w:val="18"/>
        </w:rPr>
      </w:pPr>
    </w:p>
    <w:p>
      <w:pPr>
        <w:pStyle w:val="BodyText"/>
        <w:spacing w:before="1"/>
        <w:ind w:left="2929" w:right="3127" w:firstLine="0"/>
        <w:jc w:val="center"/>
      </w:pPr>
      <w:bookmarkStart w:name="CAPÍTULO I. Objeto, contenido mínimo y p" w:id="87"/>
      <w:bookmarkEnd w:id="87"/>
      <w:r>
        <w:rPr/>
      </w:r>
      <w:bookmarkStart w:name="_bookmark17" w:id="88"/>
      <w:bookmarkEnd w:id="88"/>
      <w:r>
        <w:rPr/>
      </w:r>
      <w:r>
        <w:rPr/>
        <w:t>CAPÍTULO I</w:t>
      </w:r>
    </w:p>
    <w:p>
      <w:pPr>
        <w:pStyle w:val="Heading1"/>
        <w:ind w:right="1611"/>
      </w:pPr>
      <w:r>
        <w:rPr/>
        <w:t>Objeto, contenido mínimo y plazo de duración de los contratos</w:t>
      </w:r>
    </w:p>
    <w:p>
      <w:pPr>
        <w:pStyle w:val="BodyText"/>
        <w:spacing w:before="7"/>
        <w:ind w:left="0" w:firstLine="0"/>
        <w:jc w:val="left"/>
        <w:rPr>
          <w:b/>
        </w:rPr>
      </w:pPr>
    </w:p>
    <w:p>
      <w:pPr>
        <w:spacing w:before="0"/>
        <w:ind w:left="1074" w:right="0" w:firstLine="0"/>
        <w:jc w:val="both"/>
        <w:rPr>
          <w:i/>
          <w:sz w:val="20"/>
        </w:rPr>
      </w:pPr>
      <w:bookmarkStart w:name="Artículo 52. Objeto del contrato." w:id="89"/>
      <w:bookmarkEnd w:id="89"/>
      <w:r>
        <w:rPr/>
      </w:r>
      <w:r>
        <w:rPr>
          <w:b/>
          <w:sz w:val="20"/>
        </w:rPr>
        <w:t>Artículo 52. </w:t>
      </w:r>
      <w:r>
        <w:rPr>
          <w:i/>
          <w:sz w:val="20"/>
        </w:rPr>
        <w:t>Objeto del contrato.</w:t>
      </w:r>
    </w:p>
    <w:p>
      <w:pPr>
        <w:pStyle w:val="ListParagraph"/>
        <w:numPr>
          <w:ilvl w:val="0"/>
          <w:numId w:val="88"/>
        </w:numPr>
        <w:tabs>
          <w:tab w:pos="1657" w:val="left" w:leader="none"/>
        </w:tabs>
        <w:spacing w:line="249" w:lineRule="auto" w:before="117" w:after="0"/>
        <w:ind w:left="1074" w:right="1272" w:firstLine="340"/>
        <w:jc w:val="both"/>
        <w:rPr>
          <w:sz w:val="20"/>
        </w:rPr>
      </w:pPr>
      <w:r>
        <w:rPr>
          <w:sz w:val="20"/>
        </w:rPr>
        <w:t>El objeto de los contratos sujetos a este real decreto-ley deberá ser determinado. El mismo se podrá definir en atención a las necesidades o funcionalidades concretas que se pretenden satisfacer, sin cerrar el objeto del contrato a una solución única. En especial, se definirán de este modo en aquellos contratos en los que se estime que pueden incorporarse innovaciones tecnológicas, sociales o ambientales que mejoren la eficiencia y sostenibilidad de los bienes, obras o servicios que se</w:t>
      </w:r>
      <w:r>
        <w:rPr>
          <w:spacing w:val="-8"/>
          <w:sz w:val="20"/>
        </w:rPr>
        <w:t> </w:t>
      </w:r>
      <w:r>
        <w:rPr>
          <w:sz w:val="20"/>
        </w:rPr>
        <w:t>contraten.</w:t>
      </w:r>
    </w:p>
    <w:p>
      <w:pPr>
        <w:pStyle w:val="ListParagraph"/>
        <w:numPr>
          <w:ilvl w:val="0"/>
          <w:numId w:val="88"/>
        </w:numPr>
        <w:tabs>
          <w:tab w:pos="1645" w:val="left" w:leader="none"/>
        </w:tabs>
        <w:spacing w:line="249" w:lineRule="auto" w:before="5" w:after="0"/>
        <w:ind w:left="1074" w:right="1270" w:firstLine="340"/>
        <w:jc w:val="both"/>
        <w:rPr>
          <w:sz w:val="20"/>
        </w:rPr>
      </w:pPr>
      <w:r>
        <w:rPr>
          <w:sz w:val="20"/>
        </w:rPr>
        <w:t>No podrá fraccionarse un contrato con la finalidad de disminuir la cuantía del mismo y eludir así los requisitos de publicidad o los relativos al procedimiento de adjudicación que corresponda.</w:t>
      </w:r>
    </w:p>
    <w:p>
      <w:pPr>
        <w:pStyle w:val="ListParagraph"/>
        <w:numPr>
          <w:ilvl w:val="0"/>
          <w:numId w:val="88"/>
        </w:numPr>
        <w:tabs>
          <w:tab w:pos="1671" w:val="left" w:leader="none"/>
        </w:tabs>
        <w:spacing w:line="249" w:lineRule="auto" w:before="3" w:after="0"/>
        <w:ind w:left="1074" w:right="1274" w:firstLine="340"/>
        <w:jc w:val="both"/>
        <w:rPr>
          <w:sz w:val="20"/>
        </w:rPr>
      </w:pPr>
      <w:r>
        <w:rPr>
          <w:sz w:val="20"/>
        </w:rPr>
        <w:t>Siempre que la naturaleza o el objeto del contrato lo permitan, deberá preverse la realización independiente de cada una de sus partes mediante su división en lotes, pudiéndose reservar lotes de conformidad con lo dispuesto en el artículo</w:t>
      </w:r>
      <w:r>
        <w:rPr>
          <w:spacing w:val="-18"/>
          <w:sz w:val="20"/>
        </w:rPr>
        <w:t> </w:t>
      </w:r>
      <w:r>
        <w:rPr>
          <w:sz w:val="20"/>
        </w:rPr>
        <w:t>65.</w:t>
      </w:r>
    </w:p>
    <w:p>
      <w:pPr>
        <w:pStyle w:val="BodyText"/>
        <w:spacing w:line="249" w:lineRule="auto" w:before="122"/>
        <w:ind w:right="1275"/>
      </w:pPr>
      <w:r>
        <w:rPr/>
        <w:t>No obstante lo anterior, la entidad contratante podrá no dividir en lotes el objeto del contrato cuando existan motivos válidos, que deberán justificarse debidamente en el expediente, salvo en los casos de contratos de concesión de obras.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En todo caso se considerarán motivos válidos, a efectos de justificar la no división en lotes del objeto del contrato, los siguientes:</w:t>
      </w:r>
    </w:p>
    <w:p>
      <w:pPr>
        <w:pStyle w:val="ListParagraph"/>
        <w:numPr>
          <w:ilvl w:val="0"/>
          <w:numId w:val="89"/>
        </w:numPr>
        <w:tabs>
          <w:tab w:pos="1677" w:val="left" w:leader="none"/>
        </w:tabs>
        <w:spacing w:line="249" w:lineRule="auto" w:before="121" w:after="0"/>
        <w:ind w:left="1074" w:right="1274" w:firstLine="340"/>
        <w:jc w:val="both"/>
        <w:rPr>
          <w:sz w:val="20"/>
        </w:rPr>
      </w:pPr>
      <w:r>
        <w:rPr>
          <w:sz w:val="20"/>
        </w:rPr>
        <w:t>El hecho de que la división en lotes del objeto del contrato conllevase el riesgo de restringir injustificadamente la competencia. A los efectos de aplicar este criterio, la entidad contratante deberá solicitar informe previo a la autoridad de defensa de la competencia correspondiente para que se pronuncie sobre la apreciación de dicha</w:t>
      </w:r>
      <w:r>
        <w:rPr>
          <w:spacing w:val="-18"/>
          <w:sz w:val="20"/>
        </w:rPr>
        <w:t> </w:t>
      </w:r>
      <w:r>
        <w:rPr>
          <w:sz w:val="20"/>
        </w:rPr>
        <w:t>circunstancia.</w:t>
      </w:r>
    </w:p>
    <w:p>
      <w:pPr>
        <w:pStyle w:val="ListParagraph"/>
        <w:numPr>
          <w:ilvl w:val="0"/>
          <w:numId w:val="89"/>
        </w:numPr>
        <w:tabs>
          <w:tab w:pos="1747" w:val="left" w:leader="none"/>
        </w:tabs>
        <w:spacing w:line="249" w:lineRule="auto" w:before="4" w:after="0"/>
        <w:ind w:left="1074" w:right="1273" w:firstLine="340"/>
        <w:jc w:val="both"/>
        <w:rPr>
          <w:sz w:val="20"/>
        </w:rPr>
      </w:pPr>
      <w:r>
        <w:rPr>
          <w:sz w:val="20"/>
        </w:rPr>
        <w:t>El hecho de que, la realización independiente de las diversas prestaciones comprendidas en el objeto del contrato dificultara la correcta ejecución del mismo desde el punto de vista técnico; o bien que el riesgo para la correcta ejecución del contrato proceda de la naturaleza del objeto del mismo, al implicar la necesidad de coordinar la ejecución de las diferentes prestaciones, cuestión que podría verse imposibilitada por su división en lotes y ejecución por una pluralidad de contratistas diferentes. Ambos extremos deberán ser, en  su caso, justificados debidamente en el</w:t>
      </w:r>
      <w:r>
        <w:rPr>
          <w:spacing w:val="-7"/>
          <w:sz w:val="20"/>
        </w:rPr>
        <w:t> </w:t>
      </w:r>
      <w:r>
        <w:rPr>
          <w:sz w:val="20"/>
        </w:rPr>
        <w:t>expediente.</w:t>
      </w:r>
    </w:p>
    <w:p>
      <w:pPr>
        <w:pStyle w:val="ListParagraph"/>
        <w:numPr>
          <w:ilvl w:val="0"/>
          <w:numId w:val="88"/>
        </w:numPr>
        <w:tabs>
          <w:tab w:pos="1660" w:val="left" w:leader="none"/>
        </w:tabs>
        <w:spacing w:line="249" w:lineRule="auto" w:before="125" w:after="0"/>
        <w:ind w:left="1074" w:right="1273" w:firstLine="340"/>
        <w:jc w:val="both"/>
        <w:rPr>
          <w:sz w:val="20"/>
        </w:rPr>
      </w:pPr>
      <w:r>
        <w:rPr>
          <w:sz w:val="20"/>
        </w:rPr>
        <w:t>Cuando la entidad contratante proceda a la división en lotes del objeto del contrato, esta</w:t>
      </w:r>
      <w:r>
        <w:rPr>
          <w:spacing w:val="-7"/>
          <w:sz w:val="20"/>
        </w:rPr>
        <w:t> </w:t>
      </w:r>
      <w:r>
        <w:rPr>
          <w:sz w:val="20"/>
        </w:rPr>
        <w:t>podrá</w:t>
      </w:r>
      <w:r>
        <w:rPr>
          <w:spacing w:val="-6"/>
          <w:sz w:val="20"/>
        </w:rPr>
        <w:t> </w:t>
      </w:r>
      <w:r>
        <w:rPr>
          <w:sz w:val="20"/>
        </w:rPr>
        <w:t>introducir</w:t>
      </w:r>
      <w:r>
        <w:rPr>
          <w:spacing w:val="-7"/>
          <w:sz w:val="20"/>
        </w:rPr>
        <w:t> </w:t>
      </w:r>
      <w:r>
        <w:rPr>
          <w:sz w:val="20"/>
        </w:rPr>
        <w:t>las</w:t>
      </w:r>
      <w:r>
        <w:rPr>
          <w:spacing w:val="-6"/>
          <w:sz w:val="20"/>
        </w:rPr>
        <w:t> </w:t>
      </w:r>
      <w:r>
        <w:rPr>
          <w:sz w:val="20"/>
        </w:rPr>
        <w:t>siguientes</w:t>
      </w:r>
      <w:r>
        <w:rPr>
          <w:spacing w:val="-6"/>
          <w:sz w:val="20"/>
        </w:rPr>
        <w:t> </w:t>
      </w:r>
      <w:r>
        <w:rPr>
          <w:sz w:val="20"/>
        </w:rPr>
        <w:t>limitaciones,</w:t>
      </w:r>
      <w:r>
        <w:rPr>
          <w:spacing w:val="-7"/>
          <w:sz w:val="20"/>
        </w:rPr>
        <w:t> </w:t>
      </w:r>
      <w:r>
        <w:rPr>
          <w:sz w:val="20"/>
        </w:rPr>
        <w:t>justificándolo</w:t>
      </w:r>
      <w:r>
        <w:rPr>
          <w:spacing w:val="-6"/>
          <w:sz w:val="20"/>
        </w:rPr>
        <w:t> </w:t>
      </w:r>
      <w:r>
        <w:rPr>
          <w:sz w:val="20"/>
        </w:rPr>
        <w:t>debidamente</w:t>
      </w:r>
      <w:r>
        <w:rPr>
          <w:spacing w:val="-7"/>
          <w:sz w:val="20"/>
        </w:rPr>
        <w:t> </w:t>
      </w:r>
      <w:r>
        <w:rPr>
          <w:sz w:val="20"/>
        </w:rPr>
        <w:t>en</w:t>
      </w:r>
      <w:r>
        <w:rPr>
          <w:spacing w:val="-6"/>
          <w:sz w:val="20"/>
        </w:rPr>
        <w:t> </w:t>
      </w:r>
      <w:r>
        <w:rPr>
          <w:sz w:val="20"/>
        </w:rPr>
        <w:t>el</w:t>
      </w:r>
      <w:r>
        <w:rPr>
          <w:spacing w:val="-7"/>
          <w:sz w:val="20"/>
        </w:rPr>
        <w:t> </w:t>
      </w:r>
      <w:r>
        <w:rPr>
          <w:sz w:val="20"/>
        </w:rPr>
        <w:t>expediente:</w:t>
      </w:r>
    </w:p>
    <w:p>
      <w:pPr>
        <w:pStyle w:val="ListParagraph"/>
        <w:numPr>
          <w:ilvl w:val="0"/>
          <w:numId w:val="90"/>
        </w:numPr>
        <w:tabs>
          <w:tab w:pos="1711" w:val="left" w:leader="none"/>
        </w:tabs>
        <w:spacing w:line="249" w:lineRule="auto" w:before="122" w:after="0"/>
        <w:ind w:left="1074" w:right="1276" w:firstLine="340"/>
        <w:jc w:val="both"/>
        <w:rPr>
          <w:sz w:val="20"/>
        </w:rPr>
      </w:pPr>
      <w:r>
        <w:rPr>
          <w:sz w:val="20"/>
        </w:rPr>
        <w:t>Limitar el número de lotes para los que un mismo candidato o licitador pueda presentar</w:t>
      </w:r>
      <w:r>
        <w:rPr>
          <w:spacing w:val="-2"/>
          <w:sz w:val="20"/>
        </w:rPr>
        <w:t> </w:t>
      </w:r>
      <w:r>
        <w:rPr>
          <w:sz w:val="20"/>
        </w:rPr>
        <w:t>oferta.</w:t>
      </w:r>
    </w:p>
    <w:p>
      <w:pPr>
        <w:pStyle w:val="ListParagraph"/>
        <w:numPr>
          <w:ilvl w:val="0"/>
          <w:numId w:val="90"/>
        </w:numPr>
        <w:tabs>
          <w:tab w:pos="1648" w:val="left" w:leader="none"/>
        </w:tabs>
        <w:spacing w:line="240" w:lineRule="auto" w:before="2" w:after="0"/>
        <w:ind w:left="1647" w:right="0" w:hanging="234"/>
        <w:jc w:val="both"/>
        <w:rPr>
          <w:sz w:val="20"/>
        </w:rPr>
      </w:pPr>
      <w:r>
        <w:rPr>
          <w:sz w:val="20"/>
        </w:rPr>
        <w:t>Limitar el número máximo de lotes que puedan adjudicarse a cada</w:t>
      </w:r>
      <w:r>
        <w:rPr>
          <w:spacing w:val="-19"/>
          <w:sz w:val="20"/>
        </w:rPr>
        <w:t> </w:t>
      </w:r>
      <w:r>
        <w:rPr>
          <w:sz w:val="20"/>
        </w:rPr>
        <w:t>licitador.</w:t>
      </w:r>
    </w:p>
    <w:p>
      <w:pPr>
        <w:pStyle w:val="BodyText"/>
        <w:spacing w:line="249" w:lineRule="auto" w:before="130"/>
        <w:ind w:right="1273"/>
      </w:pPr>
      <w:r>
        <w:rPr/>
        <w:t>Cuando la entidad contratante considere oportuno introducir alguna de las dos limitaciones a que se refieren las letras a) y b) anteriores, así deberá indicarlo expresamente en el anuncio que sirva como medio de convocatoria de licitación o en el caso de que el medio de convocatoria de licitación sea un anuncio sobre la existencia de un sistema de clasificación, en la invitación a licitar o a negociar; y, en todo caso, en el pliego de condiciones.</w:t>
      </w:r>
    </w:p>
    <w:p>
      <w:pPr>
        <w:pStyle w:val="BodyText"/>
        <w:spacing w:line="249" w:lineRule="auto" w:before="4"/>
        <w:ind w:right="1274"/>
      </w:pPr>
      <w:r>
        <w:rPr/>
        <w:t>Cuando se introduzca la limitación a que se refiere el apartado b) anterior, además deberán incluirse en los pliegos de condiciones los criterios o normas que se aplicarán cuando, como consecuencia de la aplicación de los criterios de adjudicación, un licitador pueda resultar adjudicatario de un número de lotes que exceda el máximo indicado en el anuncio o en la invitación a licitar o a negociar, según el caso, y en el pliego de condiciones. Estos criterios o normas en todo caso deberán ser objetivos y no discriminatorios.</w:t>
      </w:r>
    </w:p>
    <w:p>
      <w:pPr>
        <w:pStyle w:val="BodyText"/>
        <w:spacing w:line="249" w:lineRule="auto" w:before="5"/>
        <w:ind w:right="1275"/>
      </w:pPr>
      <w:r>
        <w:rPr/>
        <w:t>Salvo lo que disponga el pliego de condiciones, a efectos de las limitaciones previstas en las letras a) y b) anteriores, en las agrupaciones de empresarios serán estas y no sus componentes las consideradas candidato o licitador.</w:t>
      </w:r>
    </w:p>
    <w:p>
      <w:pPr>
        <w:pStyle w:val="BodyText"/>
        <w:spacing w:line="249" w:lineRule="auto" w:before="3"/>
        <w:ind w:right="1274"/>
      </w:pPr>
      <w:r>
        <w:rPr/>
        <w:t>Podrá reservarse alguno o algunos de los lotes para Centros Especiales de Empleo o para empresas de inserción, o un porcentaje mínimo de reserva de la ejecución de estos contratos en el marco de programas de empleo protegido, de conformidad con lo dispuesto en el artículo 65.1. Igualmente se podrán reservar lotes a favor de las entidades a que se refiere el artículo 65.2, en las condiciones establecidas en el citado artículo.</w:t>
      </w:r>
    </w:p>
    <w:p>
      <w:pPr>
        <w:pStyle w:val="ListParagraph"/>
        <w:numPr>
          <w:ilvl w:val="0"/>
          <w:numId w:val="88"/>
        </w:numPr>
        <w:tabs>
          <w:tab w:pos="1674" w:val="left" w:leader="none"/>
        </w:tabs>
        <w:spacing w:line="249" w:lineRule="auto" w:before="4" w:after="0"/>
        <w:ind w:left="1074" w:right="1273" w:firstLine="340"/>
        <w:jc w:val="both"/>
        <w:rPr>
          <w:sz w:val="20"/>
        </w:rPr>
      </w:pPr>
      <w:r>
        <w:rPr>
          <w:sz w:val="20"/>
        </w:rPr>
        <w:t>Cuando la entidad contratante hubiera decidido proceder a la división en lotes del objeto del contrato y, además, permitir que pueda adjudicarse más de un lote al mismo licitador, aquella podrá adjudicar a una oferta que combine varios lotes o todos los lotes, siempre y cuando se cumplan todos y cada uno de los requisitos</w:t>
      </w:r>
      <w:r>
        <w:rPr>
          <w:spacing w:val="-5"/>
          <w:sz w:val="20"/>
        </w:rPr>
        <w:t> </w:t>
      </w:r>
      <w:r>
        <w:rPr>
          <w:sz w:val="20"/>
        </w:rPr>
        <w:t>siguientes:</w:t>
      </w:r>
    </w:p>
    <w:p>
      <w:pPr>
        <w:pStyle w:val="ListParagraph"/>
        <w:numPr>
          <w:ilvl w:val="0"/>
          <w:numId w:val="91"/>
        </w:numPr>
        <w:tabs>
          <w:tab w:pos="1653" w:val="left" w:leader="none"/>
        </w:tabs>
        <w:spacing w:line="249" w:lineRule="auto" w:before="123" w:after="0"/>
        <w:ind w:left="1074" w:right="1271" w:firstLine="340"/>
        <w:jc w:val="both"/>
        <w:rPr>
          <w:sz w:val="20"/>
        </w:rPr>
      </w:pPr>
      <w:r>
        <w:rPr>
          <w:sz w:val="20"/>
        </w:rPr>
        <w:t>Que esta posibilidad se hubiere establecido en el pliego de condiciones y se recoja en el anuncio que sirva como medio de convocatoria de licitación o, en el caso de que el medio de convocatoria de licitación sea un anuncio sobre la existencia de un sistema de clasificación, en la invitación a licitar o a negociar. Dicha previsión deberá concretar la combinación o combinaciones que se admitirán en su caso, así como la solvencia y capacidad exigida en cada una de</w:t>
      </w:r>
      <w:r>
        <w:rPr>
          <w:spacing w:val="-6"/>
          <w:sz w:val="20"/>
        </w:rPr>
        <w:t> </w:t>
      </w:r>
      <w:r>
        <w:rPr>
          <w:sz w:val="20"/>
        </w:rPr>
        <w:t>ellas.</w:t>
      </w:r>
    </w:p>
    <w:p>
      <w:pPr>
        <w:pStyle w:val="ListParagraph"/>
        <w:numPr>
          <w:ilvl w:val="0"/>
          <w:numId w:val="91"/>
        </w:numPr>
        <w:tabs>
          <w:tab w:pos="1648" w:val="left" w:leader="none"/>
        </w:tabs>
        <w:spacing w:line="240" w:lineRule="auto" w:before="5" w:after="0"/>
        <w:ind w:left="1647" w:right="0" w:hanging="234"/>
        <w:jc w:val="both"/>
        <w:rPr>
          <w:sz w:val="20"/>
        </w:rPr>
      </w:pPr>
      <w:r>
        <w:rPr>
          <w:sz w:val="20"/>
        </w:rPr>
        <w:t>Que se trate de supuestos en que existan varios criterios de</w:t>
      </w:r>
      <w:r>
        <w:rPr>
          <w:spacing w:val="-10"/>
          <w:sz w:val="20"/>
        </w:rPr>
        <w:t> </w:t>
      </w:r>
      <w:r>
        <w:rPr>
          <w:sz w:val="20"/>
        </w:rPr>
        <w:t>adjudicación.</w:t>
      </w:r>
    </w:p>
    <w:p>
      <w:pPr>
        <w:pStyle w:val="ListParagraph"/>
        <w:numPr>
          <w:ilvl w:val="0"/>
          <w:numId w:val="91"/>
        </w:numPr>
        <w:tabs>
          <w:tab w:pos="1657" w:val="left" w:leader="none"/>
        </w:tabs>
        <w:spacing w:line="249" w:lineRule="auto" w:before="10" w:after="0"/>
        <w:ind w:left="1074" w:right="1274" w:firstLine="340"/>
        <w:jc w:val="both"/>
        <w:rPr>
          <w:sz w:val="20"/>
        </w:rPr>
      </w:pPr>
      <w:r>
        <w:rPr>
          <w:sz w:val="20"/>
        </w:rPr>
        <w:t>Que previamente se lleve a cabo una evaluación comparativa para determinar si las ofertas presentadas por un licitador concreto para una combinación particular de lotes cumpliría mejor, en conjunto, los criterios de adjudicación establecidos en el pliego de condiciones con respecto a dichos lotes que las ofertas presentadas para los lotes separados de que se trate, considerados</w:t>
      </w:r>
      <w:r>
        <w:rPr>
          <w:spacing w:val="-4"/>
          <w:sz w:val="20"/>
        </w:rPr>
        <w:t> </w:t>
      </w:r>
      <w:r>
        <w:rPr>
          <w:sz w:val="20"/>
        </w:rPr>
        <w:t>aisladamente.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91"/>
        </w:numPr>
        <w:tabs>
          <w:tab w:pos="1752" w:val="left" w:leader="none"/>
        </w:tabs>
        <w:spacing w:line="249" w:lineRule="auto" w:before="127" w:after="0"/>
        <w:ind w:left="1074" w:right="1272" w:firstLine="340"/>
        <w:jc w:val="both"/>
        <w:rPr>
          <w:sz w:val="20"/>
        </w:rPr>
      </w:pPr>
      <w:r>
        <w:rPr>
          <w:sz w:val="20"/>
        </w:rPr>
        <w:t>Que los empresarios acrediten la solvencia económica, financiera y técnica correspondiente al conjunto de</w:t>
      </w:r>
      <w:r>
        <w:rPr>
          <w:spacing w:val="-3"/>
          <w:sz w:val="20"/>
        </w:rPr>
        <w:t> </w:t>
      </w:r>
      <w:r>
        <w:rPr>
          <w:sz w:val="20"/>
        </w:rPr>
        <w:t>lotes.</w:t>
      </w:r>
    </w:p>
    <w:p>
      <w:pPr>
        <w:pStyle w:val="ListParagraph"/>
        <w:numPr>
          <w:ilvl w:val="0"/>
          <w:numId w:val="88"/>
        </w:numPr>
        <w:tabs>
          <w:tab w:pos="1645" w:val="left" w:leader="none"/>
        </w:tabs>
        <w:spacing w:line="249" w:lineRule="auto" w:before="121" w:after="0"/>
        <w:ind w:left="1074" w:right="1274" w:firstLine="340"/>
        <w:jc w:val="both"/>
        <w:rPr>
          <w:sz w:val="20"/>
        </w:rPr>
      </w:pPr>
      <w:r>
        <w:rPr>
          <w:sz w:val="20"/>
        </w:rPr>
        <w:t>Cuando se proceda a la división en lotes, las normas procedimentales y de publicidad que deben aplicarse en la adjudicación de cada lote o prestación diferenciada se determinarán en función del valor acumulado del conjunto, calculado según lo establecido en el artículo 4.12, salvo que se dé alguna de las excepciones citadas en el</w:t>
      </w:r>
      <w:r>
        <w:rPr>
          <w:spacing w:val="-25"/>
          <w:sz w:val="20"/>
        </w:rPr>
        <w:t> </w:t>
      </w:r>
      <w:r>
        <w:rPr>
          <w:sz w:val="20"/>
        </w:rPr>
        <w:t>mismo.</w:t>
      </w:r>
    </w:p>
    <w:p>
      <w:pPr>
        <w:pStyle w:val="ListParagraph"/>
        <w:numPr>
          <w:ilvl w:val="0"/>
          <w:numId w:val="88"/>
        </w:numPr>
        <w:tabs>
          <w:tab w:pos="1650" w:val="left" w:leader="none"/>
        </w:tabs>
        <w:spacing w:line="249" w:lineRule="auto" w:before="4" w:after="0"/>
        <w:ind w:left="1074" w:right="1273" w:firstLine="340"/>
        <w:jc w:val="both"/>
        <w:rPr>
          <w:sz w:val="20"/>
        </w:rPr>
      </w:pPr>
      <w:r>
        <w:rPr>
          <w:sz w:val="20"/>
        </w:rPr>
        <w:t>En los contratos adjudicados por lotes, y salvo que se establezca otra previsión en el pliego de condiciones que rija el contrato, cada lote constituirá un contrato, salvo en casos  en que se presenten las ofertas que combinen varios lotes o todos los lotes a que se refiere el apartado 4 anterior, en los que todas las ofertas constituirán un</w:t>
      </w:r>
      <w:r>
        <w:rPr>
          <w:spacing w:val="-19"/>
          <w:sz w:val="20"/>
        </w:rPr>
        <w:t> </w:t>
      </w:r>
      <w:r>
        <w:rPr>
          <w:sz w:val="20"/>
        </w:rPr>
        <w:t>contrato.</w:t>
      </w:r>
    </w:p>
    <w:p>
      <w:pPr>
        <w:pStyle w:val="BodyText"/>
        <w:spacing w:before="5"/>
        <w:ind w:left="0" w:firstLine="0"/>
        <w:jc w:val="left"/>
      </w:pPr>
    </w:p>
    <w:p>
      <w:pPr>
        <w:spacing w:before="0"/>
        <w:ind w:left="1074" w:right="0" w:firstLine="0"/>
        <w:jc w:val="both"/>
        <w:rPr>
          <w:i/>
          <w:sz w:val="20"/>
        </w:rPr>
      </w:pPr>
      <w:bookmarkStart w:name="Artículo 53. Contenido mínimo del contra" w:id="90"/>
      <w:bookmarkEnd w:id="90"/>
      <w:r>
        <w:rPr/>
      </w:r>
      <w:r>
        <w:rPr>
          <w:b/>
          <w:sz w:val="20"/>
        </w:rPr>
        <w:t>Artículo 53. </w:t>
      </w:r>
      <w:r>
        <w:rPr>
          <w:i/>
          <w:sz w:val="20"/>
        </w:rPr>
        <w:t>Contenido mínimo del contrato.</w:t>
      </w:r>
    </w:p>
    <w:p>
      <w:pPr>
        <w:pStyle w:val="ListParagraph"/>
        <w:numPr>
          <w:ilvl w:val="0"/>
          <w:numId w:val="92"/>
        </w:numPr>
        <w:tabs>
          <w:tab w:pos="1650" w:val="left" w:leader="none"/>
        </w:tabs>
        <w:spacing w:line="249" w:lineRule="auto" w:before="118" w:after="0"/>
        <w:ind w:left="1074" w:right="1274" w:firstLine="340"/>
        <w:jc w:val="both"/>
        <w:rPr>
          <w:sz w:val="20"/>
        </w:rPr>
      </w:pPr>
      <w:r>
        <w:rPr>
          <w:sz w:val="20"/>
        </w:rPr>
        <w:t>Los contratos que celebren las entidades contratantes deben incluir, necesariamente, las siguientes</w:t>
      </w:r>
      <w:r>
        <w:rPr>
          <w:spacing w:val="-2"/>
          <w:sz w:val="20"/>
        </w:rPr>
        <w:t> </w:t>
      </w:r>
      <w:r>
        <w:rPr>
          <w:sz w:val="20"/>
        </w:rPr>
        <w:t>menciones:</w:t>
      </w:r>
    </w:p>
    <w:p>
      <w:pPr>
        <w:pStyle w:val="ListParagraph"/>
        <w:numPr>
          <w:ilvl w:val="0"/>
          <w:numId w:val="93"/>
        </w:numPr>
        <w:tabs>
          <w:tab w:pos="1648" w:val="left" w:leader="none"/>
        </w:tabs>
        <w:spacing w:line="240" w:lineRule="auto" w:before="122" w:after="0"/>
        <w:ind w:left="1647" w:right="0" w:hanging="234"/>
        <w:jc w:val="both"/>
        <w:rPr>
          <w:sz w:val="20"/>
        </w:rPr>
      </w:pPr>
      <w:r>
        <w:rPr>
          <w:sz w:val="20"/>
        </w:rPr>
        <w:t>La identificación de las</w:t>
      </w:r>
      <w:r>
        <w:rPr>
          <w:spacing w:val="-5"/>
          <w:sz w:val="20"/>
        </w:rPr>
        <w:t> </w:t>
      </w:r>
      <w:r>
        <w:rPr>
          <w:sz w:val="20"/>
        </w:rPr>
        <w:t>partes.</w:t>
      </w:r>
    </w:p>
    <w:p>
      <w:pPr>
        <w:pStyle w:val="ListParagraph"/>
        <w:numPr>
          <w:ilvl w:val="0"/>
          <w:numId w:val="93"/>
        </w:numPr>
        <w:tabs>
          <w:tab w:pos="1648" w:val="left" w:leader="none"/>
        </w:tabs>
        <w:spacing w:line="240" w:lineRule="auto" w:before="10" w:after="0"/>
        <w:ind w:left="1647" w:right="0" w:hanging="234"/>
        <w:jc w:val="both"/>
        <w:rPr>
          <w:sz w:val="20"/>
        </w:rPr>
      </w:pPr>
      <w:r>
        <w:rPr>
          <w:sz w:val="20"/>
        </w:rPr>
        <w:t>La acreditación de la capacidad de los firmantes para suscribir el</w:t>
      </w:r>
      <w:r>
        <w:rPr>
          <w:spacing w:val="-13"/>
          <w:sz w:val="20"/>
        </w:rPr>
        <w:t> </w:t>
      </w:r>
      <w:r>
        <w:rPr>
          <w:sz w:val="20"/>
        </w:rPr>
        <w:t>contrato.</w:t>
      </w:r>
    </w:p>
    <w:p>
      <w:pPr>
        <w:pStyle w:val="ListParagraph"/>
        <w:numPr>
          <w:ilvl w:val="0"/>
          <w:numId w:val="93"/>
        </w:numPr>
        <w:tabs>
          <w:tab w:pos="1664" w:val="left" w:leader="none"/>
        </w:tabs>
        <w:spacing w:line="249" w:lineRule="auto" w:before="10" w:after="0"/>
        <w:ind w:left="1074" w:right="1275" w:firstLine="340"/>
        <w:jc w:val="both"/>
        <w:rPr>
          <w:sz w:val="20"/>
        </w:rPr>
      </w:pPr>
      <w:r>
        <w:rPr>
          <w:sz w:val="20"/>
        </w:rPr>
        <w:t>Definición del objeto del contrato, teniendo en cuenta en la definición del objeto las consideraciones sociales, ambientales y de</w:t>
      </w:r>
      <w:r>
        <w:rPr>
          <w:spacing w:val="-4"/>
          <w:sz w:val="20"/>
        </w:rPr>
        <w:t> </w:t>
      </w:r>
      <w:r>
        <w:rPr>
          <w:sz w:val="20"/>
        </w:rPr>
        <w:t>innovación.</w:t>
      </w:r>
    </w:p>
    <w:p>
      <w:pPr>
        <w:pStyle w:val="ListParagraph"/>
        <w:numPr>
          <w:ilvl w:val="0"/>
          <w:numId w:val="93"/>
        </w:numPr>
        <w:tabs>
          <w:tab w:pos="1648" w:val="left" w:leader="none"/>
        </w:tabs>
        <w:spacing w:line="240" w:lineRule="auto" w:before="1" w:after="0"/>
        <w:ind w:left="1647" w:right="0" w:hanging="234"/>
        <w:jc w:val="both"/>
        <w:rPr>
          <w:sz w:val="20"/>
        </w:rPr>
      </w:pPr>
      <w:r>
        <w:rPr>
          <w:sz w:val="20"/>
        </w:rPr>
        <w:t>Referencia a la legislación aplicable al</w:t>
      </w:r>
      <w:r>
        <w:rPr>
          <w:spacing w:val="-8"/>
          <w:sz w:val="20"/>
        </w:rPr>
        <w:t> </w:t>
      </w:r>
      <w:r>
        <w:rPr>
          <w:sz w:val="20"/>
        </w:rPr>
        <w:t>contrato.</w:t>
      </w:r>
    </w:p>
    <w:p>
      <w:pPr>
        <w:pStyle w:val="ListParagraph"/>
        <w:numPr>
          <w:ilvl w:val="0"/>
          <w:numId w:val="93"/>
        </w:numPr>
        <w:tabs>
          <w:tab w:pos="1701" w:val="left" w:leader="none"/>
        </w:tabs>
        <w:spacing w:line="249" w:lineRule="auto" w:before="10" w:after="0"/>
        <w:ind w:left="1074" w:right="1272" w:firstLine="340"/>
        <w:jc w:val="both"/>
        <w:rPr>
          <w:sz w:val="20"/>
        </w:rPr>
      </w:pPr>
      <w:r>
        <w:rPr>
          <w:sz w:val="20"/>
        </w:rPr>
        <w:t>La enumeración de los documentos que integran el contrato. Sin perjuicio de lo establecido en el apartado 2 de este artículo, si así se expresa en el contrato, esta enumeración podrá estar jerarquizada, ordenándose según el orden de prioridad acordado por las partes, en cuyo supuesto, y salvo caso de error manifiesto, el orden pactado se utilizará para determinar la prevalencia respectiva, en caso de que existan contradicciones entre diversos</w:t>
      </w:r>
      <w:r>
        <w:rPr>
          <w:spacing w:val="-3"/>
          <w:sz w:val="20"/>
        </w:rPr>
        <w:t> </w:t>
      </w:r>
      <w:r>
        <w:rPr>
          <w:sz w:val="20"/>
        </w:rPr>
        <w:t>documentos.</w:t>
      </w:r>
    </w:p>
    <w:p>
      <w:pPr>
        <w:pStyle w:val="ListParagraph"/>
        <w:numPr>
          <w:ilvl w:val="0"/>
          <w:numId w:val="93"/>
        </w:numPr>
        <w:tabs>
          <w:tab w:pos="1593" w:val="left" w:leader="none"/>
        </w:tabs>
        <w:spacing w:line="240" w:lineRule="auto" w:before="5" w:after="0"/>
        <w:ind w:left="1592" w:right="0" w:hanging="179"/>
        <w:jc w:val="both"/>
        <w:rPr>
          <w:sz w:val="20"/>
        </w:rPr>
      </w:pPr>
      <w:r>
        <w:rPr>
          <w:sz w:val="20"/>
        </w:rPr>
        <w:t>El precio cierto, o el modo de</w:t>
      </w:r>
      <w:r>
        <w:rPr>
          <w:spacing w:val="-6"/>
          <w:sz w:val="20"/>
        </w:rPr>
        <w:t> </w:t>
      </w:r>
      <w:r>
        <w:rPr>
          <w:sz w:val="20"/>
        </w:rPr>
        <w:t>determinarlo.</w:t>
      </w:r>
    </w:p>
    <w:p>
      <w:pPr>
        <w:pStyle w:val="ListParagraph"/>
        <w:numPr>
          <w:ilvl w:val="0"/>
          <w:numId w:val="93"/>
        </w:numPr>
        <w:tabs>
          <w:tab w:pos="1667" w:val="left" w:leader="none"/>
        </w:tabs>
        <w:spacing w:line="249" w:lineRule="auto" w:before="10" w:after="0"/>
        <w:ind w:left="1074" w:right="1274" w:firstLine="340"/>
        <w:jc w:val="both"/>
        <w:rPr>
          <w:sz w:val="20"/>
        </w:rPr>
      </w:pPr>
      <w:r>
        <w:rPr>
          <w:sz w:val="20"/>
        </w:rPr>
        <w:t>La duración del contrato o las fechas estimadas para el comienzo de su ejecución y para su finalización, así como la de la prórroga o prórrogas, si estuviesen</w:t>
      </w:r>
      <w:r>
        <w:rPr>
          <w:spacing w:val="-28"/>
          <w:sz w:val="20"/>
        </w:rPr>
        <w:t> </w:t>
      </w:r>
      <w:r>
        <w:rPr>
          <w:sz w:val="20"/>
        </w:rPr>
        <w:t>previstas.</w:t>
      </w:r>
    </w:p>
    <w:p>
      <w:pPr>
        <w:pStyle w:val="ListParagraph"/>
        <w:numPr>
          <w:ilvl w:val="0"/>
          <w:numId w:val="93"/>
        </w:numPr>
        <w:tabs>
          <w:tab w:pos="1648" w:val="left" w:leader="none"/>
        </w:tabs>
        <w:spacing w:line="240" w:lineRule="auto" w:before="2" w:after="0"/>
        <w:ind w:left="1647" w:right="0" w:hanging="234"/>
        <w:jc w:val="both"/>
        <w:rPr>
          <w:sz w:val="20"/>
        </w:rPr>
      </w:pPr>
      <w:r>
        <w:rPr>
          <w:sz w:val="20"/>
        </w:rPr>
        <w:t>Las condiciones de recepción, entrega o admisión de las</w:t>
      </w:r>
      <w:r>
        <w:rPr>
          <w:spacing w:val="-12"/>
          <w:sz w:val="20"/>
        </w:rPr>
        <w:t> </w:t>
      </w:r>
      <w:r>
        <w:rPr>
          <w:sz w:val="20"/>
        </w:rPr>
        <w:t>prestaciones.</w:t>
      </w:r>
    </w:p>
    <w:p>
      <w:pPr>
        <w:pStyle w:val="ListParagraph"/>
        <w:numPr>
          <w:ilvl w:val="0"/>
          <w:numId w:val="93"/>
        </w:numPr>
        <w:tabs>
          <w:tab w:pos="1581" w:val="left" w:leader="none"/>
        </w:tabs>
        <w:spacing w:line="240" w:lineRule="auto" w:before="10" w:after="0"/>
        <w:ind w:left="1580" w:right="0" w:hanging="167"/>
        <w:jc w:val="both"/>
        <w:rPr>
          <w:sz w:val="20"/>
        </w:rPr>
      </w:pPr>
      <w:r>
        <w:rPr>
          <w:sz w:val="20"/>
        </w:rPr>
        <w:t>Las condiciones de</w:t>
      </w:r>
      <w:r>
        <w:rPr>
          <w:spacing w:val="-3"/>
          <w:sz w:val="20"/>
        </w:rPr>
        <w:t> </w:t>
      </w:r>
      <w:r>
        <w:rPr>
          <w:sz w:val="20"/>
        </w:rPr>
        <w:t>pago.</w:t>
      </w:r>
    </w:p>
    <w:p>
      <w:pPr>
        <w:pStyle w:val="ListParagraph"/>
        <w:numPr>
          <w:ilvl w:val="0"/>
          <w:numId w:val="93"/>
        </w:numPr>
        <w:tabs>
          <w:tab w:pos="1587" w:val="left" w:leader="none"/>
        </w:tabs>
        <w:spacing w:line="249" w:lineRule="auto" w:before="10" w:after="0"/>
        <w:ind w:left="1074" w:right="1275" w:firstLine="340"/>
        <w:jc w:val="both"/>
        <w:rPr>
          <w:sz w:val="20"/>
        </w:rPr>
      </w:pPr>
      <w:r>
        <w:rPr>
          <w:sz w:val="20"/>
        </w:rPr>
        <w:t>Los supuestos en que procede la modificación de conformidad con lo establecido en el artículo 110, en su</w:t>
      </w:r>
      <w:r>
        <w:rPr>
          <w:spacing w:val="-4"/>
          <w:sz w:val="20"/>
        </w:rPr>
        <w:t> </w:t>
      </w:r>
      <w:r>
        <w:rPr>
          <w:sz w:val="20"/>
        </w:rPr>
        <w:t>caso.</w:t>
      </w:r>
    </w:p>
    <w:p>
      <w:pPr>
        <w:pStyle w:val="ListParagraph"/>
        <w:numPr>
          <w:ilvl w:val="0"/>
          <w:numId w:val="93"/>
        </w:numPr>
        <w:tabs>
          <w:tab w:pos="1637" w:val="left" w:leader="none"/>
        </w:tabs>
        <w:spacing w:line="240" w:lineRule="auto" w:before="2" w:after="0"/>
        <w:ind w:left="1636" w:right="0" w:hanging="223"/>
        <w:jc w:val="both"/>
        <w:rPr>
          <w:sz w:val="20"/>
        </w:rPr>
      </w:pPr>
      <w:r>
        <w:rPr>
          <w:sz w:val="20"/>
        </w:rPr>
        <w:t>Los supuestos en que procede la</w:t>
      </w:r>
      <w:r>
        <w:rPr>
          <w:spacing w:val="-6"/>
          <w:sz w:val="20"/>
        </w:rPr>
        <w:t> </w:t>
      </w:r>
      <w:r>
        <w:rPr>
          <w:sz w:val="20"/>
        </w:rPr>
        <w:t>resolución.</w:t>
      </w:r>
    </w:p>
    <w:p>
      <w:pPr>
        <w:pStyle w:val="ListParagraph"/>
        <w:numPr>
          <w:ilvl w:val="0"/>
          <w:numId w:val="93"/>
        </w:numPr>
        <w:tabs>
          <w:tab w:pos="1634" w:val="left" w:leader="none"/>
        </w:tabs>
        <w:spacing w:line="249" w:lineRule="auto" w:before="10" w:after="0"/>
        <w:ind w:left="1074" w:right="1272" w:firstLine="340"/>
        <w:jc w:val="both"/>
        <w:rPr>
          <w:sz w:val="20"/>
        </w:rPr>
      </w:pPr>
      <w:r>
        <w:rPr>
          <w:sz w:val="20"/>
        </w:rPr>
        <w:t>En el caso de entidades contratantes pertenecientes al Sector Público, el crédito presupuestario o el programa o rúbrica contable con cargo al que se abonará el precio, en su caso.</w:t>
      </w:r>
    </w:p>
    <w:p>
      <w:pPr>
        <w:pStyle w:val="ListParagraph"/>
        <w:numPr>
          <w:ilvl w:val="0"/>
          <w:numId w:val="93"/>
        </w:numPr>
        <w:tabs>
          <w:tab w:pos="1737" w:val="left" w:leader="none"/>
        </w:tabs>
        <w:spacing w:line="249" w:lineRule="auto" w:before="2" w:after="0"/>
        <w:ind w:left="1074" w:right="1274" w:firstLine="340"/>
        <w:jc w:val="both"/>
        <w:rPr>
          <w:sz w:val="20"/>
        </w:rPr>
      </w:pPr>
      <w:r>
        <w:rPr>
          <w:sz w:val="20"/>
        </w:rPr>
        <w:t>La extensión objetiva y temporal del deber de confidencialidad a que se refiere el artículo 28 que, en su caso, se imponga al</w:t>
      </w:r>
      <w:r>
        <w:rPr>
          <w:spacing w:val="-9"/>
          <w:sz w:val="20"/>
        </w:rPr>
        <w:t> </w:t>
      </w:r>
      <w:r>
        <w:rPr>
          <w:sz w:val="20"/>
        </w:rPr>
        <w:t>contratista.</w:t>
      </w:r>
    </w:p>
    <w:p>
      <w:pPr>
        <w:pStyle w:val="ListParagraph"/>
        <w:numPr>
          <w:ilvl w:val="0"/>
          <w:numId w:val="93"/>
        </w:numPr>
        <w:tabs>
          <w:tab w:pos="1648" w:val="left" w:leader="none"/>
        </w:tabs>
        <w:spacing w:line="240" w:lineRule="auto" w:before="2" w:after="0"/>
        <w:ind w:left="1647" w:right="0" w:hanging="234"/>
        <w:jc w:val="both"/>
        <w:rPr>
          <w:sz w:val="20"/>
        </w:rPr>
      </w:pPr>
      <w:r>
        <w:rPr>
          <w:sz w:val="20"/>
        </w:rPr>
        <w:t>El valor estimado del</w:t>
      </w:r>
      <w:r>
        <w:rPr>
          <w:spacing w:val="-3"/>
          <w:sz w:val="20"/>
        </w:rPr>
        <w:t> </w:t>
      </w:r>
      <w:r>
        <w:rPr>
          <w:sz w:val="20"/>
        </w:rPr>
        <w:t>contrato.</w:t>
      </w:r>
    </w:p>
    <w:p>
      <w:pPr>
        <w:pStyle w:val="ListParagraph"/>
        <w:numPr>
          <w:ilvl w:val="0"/>
          <w:numId w:val="92"/>
        </w:numPr>
        <w:tabs>
          <w:tab w:pos="1652" w:val="left" w:leader="none"/>
        </w:tabs>
        <w:spacing w:line="249" w:lineRule="auto" w:before="130" w:after="0"/>
        <w:ind w:left="1074" w:right="1276" w:firstLine="340"/>
        <w:jc w:val="both"/>
        <w:rPr>
          <w:sz w:val="20"/>
        </w:rPr>
      </w:pPr>
      <w:r>
        <w:rPr>
          <w:sz w:val="20"/>
        </w:rPr>
        <w:t>El documento contractual no podrá incluir estipulaciones que establezcan derechos y obligaciones para las partes distintos de los previstos en los pliegos de</w:t>
      </w:r>
      <w:r>
        <w:rPr>
          <w:spacing w:val="-34"/>
          <w:sz w:val="20"/>
        </w:rPr>
        <w:t> </w:t>
      </w:r>
      <w:r>
        <w:rPr>
          <w:sz w:val="20"/>
        </w:rPr>
        <w:t>condiciones.</w:t>
      </w:r>
    </w:p>
    <w:p>
      <w:pPr>
        <w:pStyle w:val="BodyText"/>
        <w:spacing w:line="249" w:lineRule="auto" w:before="1"/>
        <w:ind w:right="1272"/>
      </w:pPr>
      <w:r>
        <w:rPr/>
        <w:t>Tales derechos y obligaciones se concretarán, en su caso, en la forma que resulte de la proposición del adjudicatario o resultarán de los precisados en el acto de adjudicación del contrato de acuerdo con lo actuado en el procedimiento.</w:t>
      </w:r>
    </w:p>
    <w:p>
      <w:pPr>
        <w:pStyle w:val="ListParagraph"/>
        <w:numPr>
          <w:ilvl w:val="0"/>
          <w:numId w:val="92"/>
        </w:numPr>
        <w:tabs>
          <w:tab w:pos="1686" w:val="left" w:leader="none"/>
        </w:tabs>
        <w:spacing w:line="249" w:lineRule="auto" w:before="3" w:after="0"/>
        <w:ind w:left="1074" w:right="1274" w:firstLine="340"/>
        <w:jc w:val="both"/>
        <w:rPr>
          <w:sz w:val="20"/>
        </w:rPr>
      </w:pPr>
      <w:r>
        <w:rPr>
          <w:sz w:val="20"/>
        </w:rPr>
        <w:t>El precio de los contratos de las entidades contratantes pertenecientes al Sector Público solo podrá ser objeto de revisión en los términos y con los límites previstos en el artículo 103 de la Ley 9/2017, de 8 de</w:t>
      </w:r>
      <w:r>
        <w:rPr>
          <w:spacing w:val="-13"/>
          <w:sz w:val="20"/>
        </w:rPr>
        <w:t> </w:t>
      </w:r>
      <w:r>
        <w:rPr>
          <w:sz w:val="20"/>
        </w:rPr>
        <w:t>noviembre.</w:t>
      </w:r>
    </w:p>
    <w:p>
      <w:pPr>
        <w:pStyle w:val="BodyText"/>
        <w:spacing w:before="5"/>
        <w:ind w:left="0" w:firstLine="0"/>
        <w:jc w:val="left"/>
      </w:pPr>
    </w:p>
    <w:p>
      <w:pPr>
        <w:spacing w:before="0"/>
        <w:ind w:left="1074" w:right="0" w:firstLine="0"/>
        <w:jc w:val="both"/>
        <w:rPr>
          <w:i/>
          <w:sz w:val="20"/>
        </w:rPr>
      </w:pPr>
      <w:bookmarkStart w:name="Artículo 54. Plazo de duración de los co" w:id="91"/>
      <w:bookmarkEnd w:id="91"/>
      <w:r>
        <w:rPr/>
      </w:r>
      <w:r>
        <w:rPr>
          <w:b/>
          <w:sz w:val="20"/>
        </w:rPr>
        <w:t>Artículo 54. </w:t>
      </w:r>
      <w:r>
        <w:rPr>
          <w:i/>
          <w:sz w:val="20"/>
        </w:rPr>
        <w:t>Plazo de duración de los contratos.</w:t>
      </w:r>
    </w:p>
    <w:p>
      <w:pPr>
        <w:pStyle w:val="ListParagraph"/>
        <w:numPr>
          <w:ilvl w:val="0"/>
          <w:numId w:val="94"/>
        </w:numPr>
        <w:tabs>
          <w:tab w:pos="1698" w:val="left" w:leader="none"/>
        </w:tabs>
        <w:spacing w:line="249" w:lineRule="auto" w:before="118" w:after="0"/>
        <w:ind w:left="1074" w:right="1272" w:firstLine="340"/>
        <w:jc w:val="both"/>
        <w:rPr>
          <w:sz w:val="20"/>
        </w:rPr>
      </w:pPr>
      <w:r>
        <w:rPr>
          <w:sz w:val="20"/>
        </w:rPr>
        <w:t>La duración de los contratos de las entidades contratantes deberá establecerse teniendo en cuenta la naturaleza de las prestaciones, las características de su financiación y la necesidad de someter periódicamente a concurrencia la realización de las</w:t>
      </w:r>
      <w:r>
        <w:rPr>
          <w:spacing w:val="-21"/>
          <w:sz w:val="20"/>
        </w:rPr>
        <w:t> </w:t>
      </w:r>
      <w:r>
        <w:rPr>
          <w:sz w:val="20"/>
        </w:rPr>
        <w:t>mismas.</w:t>
      </w:r>
    </w:p>
    <w:p>
      <w:pPr>
        <w:pStyle w:val="ListParagraph"/>
        <w:numPr>
          <w:ilvl w:val="0"/>
          <w:numId w:val="94"/>
        </w:numPr>
        <w:tabs>
          <w:tab w:pos="1691" w:val="left" w:leader="none"/>
        </w:tabs>
        <w:spacing w:line="249" w:lineRule="auto" w:before="2" w:after="0"/>
        <w:ind w:left="1074" w:right="1272" w:firstLine="340"/>
        <w:jc w:val="both"/>
        <w:rPr>
          <w:sz w:val="20"/>
        </w:rPr>
      </w:pPr>
      <w:r>
        <w:rPr>
          <w:sz w:val="20"/>
        </w:rPr>
        <w:t>El contrato podrá prever una o varias prórrogas siempre que sus</w:t>
      </w:r>
      <w:r>
        <w:rPr>
          <w:spacing w:val="13"/>
          <w:sz w:val="20"/>
        </w:rPr>
        <w:t> </w:t>
      </w:r>
      <w:r>
        <w:rPr>
          <w:sz w:val="20"/>
        </w:rPr>
        <w:t>características permanezcan inalterables durante el período de duración de estas, sin perjuicio de las modificaciones que se puedan introducir de conformidad con lo establecido en los artículos 109 a 112 del presente real</w:t>
      </w:r>
      <w:r>
        <w:rPr>
          <w:spacing w:val="-7"/>
          <w:sz w:val="20"/>
        </w:rPr>
        <w:t> </w:t>
      </w:r>
      <w:r>
        <w:rPr>
          <w:sz w:val="20"/>
        </w:rPr>
        <w:t>decreto-ley.</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94"/>
        </w:numPr>
        <w:tabs>
          <w:tab w:pos="1645" w:val="left" w:leader="none"/>
        </w:tabs>
        <w:spacing w:line="249" w:lineRule="auto" w:before="127" w:after="0"/>
        <w:ind w:left="1074" w:right="1273" w:firstLine="340"/>
        <w:jc w:val="both"/>
        <w:rPr>
          <w:sz w:val="20"/>
        </w:rPr>
      </w:pPr>
      <w:r>
        <w:rPr>
          <w:sz w:val="20"/>
        </w:rPr>
        <w:t>Los contratos de concesión de obras y de concesión de servicios tendrán un plazo de duración limitado, el cual se calculará en función de las obras y de los servicios que constituyan su objeto y se hará constar en el pliego de condiciones, sin que aquel, con carácter general, incluyendo las posibles prórrogas que en aplicación del apartado segundo acuerde la entidad contratante, se extienda, más allá de cinco</w:t>
      </w:r>
      <w:r>
        <w:rPr>
          <w:spacing w:val="-12"/>
          <w:sz w:val="20"/>
        </w:rPr>
        <w:t> </w:t>
      </w:r>
      <w:r>
        <w:rPr>
          <w:sz w:val="20"/>
        </w:rPr>
        <w:t>años.</w:t>
      </w:r>
    </w:p>
    <w:p>
      <w:pPr>
        <w:pStyle w:val="BodyText"/>
        <w:spacing w:line="249" w:lineRule="auto" w:before="4"/>
        <w:ind w:right="1272"/>
      </w:pPr>
      <w:r>
        <w:rPr/>
        <w:t>No obstante lo anterior, si la concesión de obras o la concesión de servicios tuviera que sobrepasar el plazo señalado en el párrafo anterior, la duración máxima de la misma no podrá exceder del tiempo que la entidad contratante de manera motivada calcule razonable para que el concesionario recupere las inversiones realizadas para la explotación de las obras y de los servicios, junto con un rendimiento sobre el capital invertido, teniendo en cuenta las inversiones necesarias para alcanzar los objetivos del contrato. Estas inversiones incluirán tanto las iniciales, como las que se prevea realizar durante la ejecución del contrato de concesión.</w:t>
      </w:r>
    </w:p>
    <w:p>
      <w:pPr>
        <w:pStyle w:val="ListParagraph"/>
        <w:numPr>
          <w:ilvl w:val="0"/>
          <w:numId w:val="94"/>
        </w:numPr>
        <w:tabs>
          <w:tab w:pos="1658" w:val="left" w:leader="none"/>
        </w:tabs>
        <w:spacing w:line="249" w:lineRule="auto" w:before="6" w:after="0"/>
        <w:ind w:left="1074" w:right="1273" w:firstLine="340"/>
        <w:jc w:val="both"/>
        <w:rPr>
          <w:sz w:val="20"/>
        </w:rPr>
      </w:pPr>
      <w:r>
        <w:rPr>
          <w:sz w:val="20"/>
        </w:rPr>
        <w:t>Adicionalmente, a las entidades contratantes pertenecientes al Sector Público se les aplicarán las limitaciones y prórrogas que respecto del plazo de duración establece la Ley 9/2017, de 8 de noviembre, así como el artículo 29.9 de esta última</w:t>
      </w:r>
      <w:r>
        <w:rPr>
          <w:spacing w:val="-24"/>
          <w:sz w:val="20"/>
        </w:rPr>
        <w:t> </w:t>
      </w:r>
      <w:r>
        <w:rPr>
          <w:sz w:val="20"/>
        </w:rPr>
        <w:t>ley.</w:t>
      </w:r>
    </w:p>
    <w:p>
      <w:pPr>
        <w:pStyle w:val="BodyText"/>
        <w:spacing w:before="4"/>
        <w:ind w:left="0" w:firstLine="0"/>
        <w:jc w:val="left"/>
        <w:rPr>
          <w:sz w:val="30"/>
        </w:rPr>
      </w:pPr>
    </w:p>
    <w:p>
      <w:pPr>
        <w:pStyle w:val="BodyText"/>
        <w:spacing w:before="0"/>
        <w:ind w:left="2929" w:right="3127" w:firstLine="0"/>
        <w:jc w:val="center"/>
      </w:pPr>
      <w:bookmarkStart w:name="CAPÍTULO II. Requisitos de los candidato" w:id="92"/>
      <w:bookmarkEnd w:id="92"/>
      <w:r>
        <w:rPr/>
      </w:r>
      <w:bookmarkStart w:name="_bookmark18" w:id="93"/>
      <w:bookmarkEnd w:id="93"/>
      <w:r>
        <w:rPr/>
      </w:r>
      <w:r>
        <w:rPr/>
        <w:t>CAPÍTULO II</w:t>
      </w:r>
    </w:p>
    <w:p>
      <w:pPr>
        <w:pStyle w:val="Heading1"/>
        <w:ind w:left="2929"/>
      </w:pPr>
      <w:r>
        <w:rPr/>
        <w:t>Requisitos de los candidatos y licitadores</w:t>
      </w:r>
    </w:p>
    <w:p>
      <w:pPr>
        <w:pStyle w:val="BodyText"/>
        <w:spacing w:before="7"/>
        <w:ind w:left="0" w:firstLine="0"/>
        <w:jc w:val="left"/>
        <w:rPr>
          <w:b/>
        </w:rPr>
      </w:pPr>
    </w:p>
    <w:p>
      <w:pPr>
        <w:spacing w:before="0"/>
        <w:ind w:left="1074" w:right="0" w:firstLine="0"/>
        <w:jc w:val="both"/>
        <w:rPr>
          <w:i/>
          <w:sz w:val="20"/>
        </w:rPr>
      </w:pPr>
      <w:bookmarkStart w:name="Artículo 55. Exigencia de solvencia." w:id="94"/>
      <w:bookmarkEnd w:id="94"/>
      <w:r>
        <w:rPr/>
      </w:r>
      <w:r>
        <w:rPr>
          <w:b/>
          <w:sz w:val="20"/>
        </w:rPr>
        <w:t>Artículo 55. </w:t>
      </w:r>
      <w:r>
        <w:rPr>
          <w:i/>
          <w:sz w:val="20"/>
        </w:rPr>
        <w:t>Exigencia de solvencia.</w:t>
      </w:r>
    </w:p>
    <w:p>
      <w:pPr>
        <w:pStyle w:val="ListParagraph"/>
        <w:numPr>
          <w:ilvl w:val="0"/>
          <w:numId w:val="95"/>
        </w:numPr>
        <w:tabs>
          <w:tab w:pos="1646" w:val="left" w:leader="none"/>
        </w:tabs>
        <w:spacing w:line="249" w:lineRule="auto" w:before="118" w:after="0"/>
        <w:ind w:left="1074" w:right="1272" w:firstLine="340"/>
        <w:jc w:val="both"/>
        <w:rPr>
          <w:sz w:val="20"/>
        </w:rPr>
      </w:pPr>
      <w:r>
        <w:rPr>
          <w:sz w:val="20"/>
        </w:rPr>
        <w:t>Los requisitos mínimos de solvencia que deben reunir los licitadores y candidatos, así como la documentación requerida para acreditar su cumplimiento, se indicarán en la convocatoria de licitación o, en el caso de que el medio de convocatoria de licitación sea un anuncio sobre la existencia de un sistema de clasificación, en la invitación a licitar o a negociar; y, en todo caso, en los pliegos de</w:t>
      </w:r>
      <w:r>
        <w:rPr>
          <w:spacing w:val="-9"/>
          <w:sz w:val="20"/>
        </w:rPr>
        <w:t> </w:t>
      </w:r>
      <w:r>
        <w:rPr>
          <w:sz w:val="20"/>
        </w:rPr>
        <w:t>condiciones.</w:t>
      </w:r>
    </w:p>
    <w:p>
      <w:pPr>
        <w:pStyle w:val="ListParagraph"/>
        <w:numPr>
          <w:ilvl w:val="0"/>
          <w:numId w:val="95"/>
        </w:numPr>
        <w:tabs>
          <w:tab w:pos="1662" w:val="left" w:leader="none"/>
        </w:tabs>
        <w:spacing w:line="249" w:lineRule="auto" w:before="4" w:after="0"/>
        <w:ind w:left="1074" w:right="1272" w:firstLine="340"/>
        <w:jc w:val="both"/>
        <w:rPr>
          <w:sz w:val="20"/>
        </w:rPr>
      </w:pPr>
      <w:r>
        <w:rPr>
          <w:sz w:val="20"/>
        </w:rPr>
        <w:t>La solvencia económica y financiera y técnica o profesional podrán acreditarse, con carácter general, a través de los medios que se determinen por la entidad contratante de entre los establecidos en este real decreto-ley y en el capítulo II, título II, libro primero de la Ley 9/2017, de 8 de noviembre, incluida, en su caso, la posibilidad de exigir que el periodo medio de pago proveedores del empresario no supere el límite establecido de acuerdo con lo dispuesto en el artículo 87.1, letra c) segundo párrafo de la Ley 9/2017, de 8 de noviembre. En todo caso, las entidades contratantes podrán admitir otros medios de prueba distintos siempre que estos sean válidamente admitidos en</w:t>
      </w:r>
      <w:r>
        <w:rPr>
          <w:spacing w:val="-7"/>
          <w:sz w:val="20"/>
        </w:rPr>
        <w:t> </w:t>
      </w:r>
      <w:r>
        <w:rPr>
          <w:sz w:val="20"/>
        </w:rPr>
        <w:t>Derecho.</w:t>
      </w:r>
    </w:p>
    <w:p>
      <w:pPr>
        <w:pStyle w:val="BodyText"/>
        <w:spacing w:line="249" w:lineRule="auto" w:before="6"/>
        <w:ind w:right="1273"/>
      </w:pPr>
      <w:r>
        <w:rPr/>
        <w:t>No obstante lo establecido en el párrafo anterior, cuando la entidad contratante sea un poder adjudicador la clasificación de los empresarios como contratista de obras o como contratista de servicios será exigible y surtirá efectos, para la acreditación de la solvencia para contratar de estos últimos, en los casos y términos que establece el artículo 77, apartados 1 a 4 y el artículo 78 de la Ley 9/2017, de 8 de noviembre.</w:t>
      </w:r>
    </w:p>
    <w:p>
      <w:pPr>
        <w:pStyle w:val="BodyText"/>
        <w:spacing w:before="7"/>
        <w:ind w:left="0" w:firstLine="0"/>
        <w:jc w:val="left"/>
      </w:pPr>
    </w:p>
    <w:p>
      <w:pPr>
        <w:spacing w:before="0"/>
        <w:ind w:left="1074" w:right="0" w:firstLine="0"/>
        <w:jc w:val="both"/>
        <w:rPr>
          <w:i/>
          <w:sz w:val="20"/>
        </w:rPr>
      </w:pPr>
      <w:bookmarkStart w:name="Artículo 56. Criterios de selección cual" w:id="95"/>
      <w:bookmarkEnd w:id="95"/>
      <w:r>
        <w:rPr/>
      </w:r>
      <w:r>
        <w:rPr>
          <w:b/>
          <w:sz w:val="20"/>
        </w:rPr>
        <w:t>Artículo 56. </w:t>
      </w:r>
      <w:r>
        <w:rPr>
          <w:i/>
          <w:sz w:val="20"/>
        </w:rPr>
        <w:t>Criterios de selección cualitativa de candidatos y licitadores.</w:t>
      </w:r>
    </w:p>
    <w:p>
      <w:pPr>
        <w:pStyle w:val="ListParagraph"/>
        <w:numPr>
          <w:ilvl w:val="0"/>
          <w:numId w:val="96"/>
        </w:numPr>
        <w:tabs>
          <w:tab w:pos="1641" w:val="left" w:leader="none"/>
        </w:tabs>
        <w:spacing w:line="249" w:lineRule="auto" w:before="117" w:after="0"/>
        <w:ind w:left="1074" w:right="1273" w:firstLine="340"/>
        <w:jc w:val="both"/>
        <w:rPr>
          <w:sz w:val="20"/>
        </w:rPr>
      </w:pPr>
      <w:r>
        <w:rPr>
          <w:sz w:val="20"/>
        </w:rPr>
        <w:t>Las entidades contratantes que fijen criterios de selección en un procedimiento abierto deberán hacerlo según normas y criterios objetivos que constarán en la convocatoria de licitación y en los pliegos de condiciones y que, por tanto, estarán a disposición de los operadores económicos</w:t>
      </w:r>
      <w:r>
        <w:rPr>
          <w:spacing w:val="-3"/>
          <w:sz w:val="20"/>
        </w:rPr>
        <w:t> </w:t>
      </w:r>
      <w:r>
        <w:rPr>
          <w:sz w:val="20"/>
        </w:rPr>
        <w:t>interesados.</w:t>
      </w:r>
    </w:p>
    <w:p>
      <w:pPr>
        <w:pStyle w:val="ListParagraph"/>
        <w:numPr>
          <w:ilvl w:val="0"/>
          <w:numId w:val="96"/>
        </w:numPr>
        <w:tabs>
          <w:tab w:pos="1661" w:val="left" w:leader="none"/>
        </w:tabs>
        <w:spacing w:line="249" w:lineRule="auto" w:before="4" w:after="0"/>
        <w:ind w:left="1074" w:right="1273" w:firstLine="340"/>
        <w:jc w:val="both"/>
        <w:rPr>
          <w:sz w:val="20"/>
        </w:rPr>
      </w:pPr>
      <w:r>
        <w:rPr>
          <w:sz w:val="20"/>
        </w:rPr>
        <w:t>Las entidades contratantes que seleccionen a los candidatos para un procedimiento restringido, de licitación con negociación, de diálogo competitivo, o de asociación para la innovación, deberán hacerlo de acuerdo con las normas y criterios objetivos que hayan definido y que constarán en la convocatoria de licitación y en los pliegos de condiciones y que, por tanto, estarán a disposición de todos los operadores económicos</w:t>
      </w:r>
      <w:r>
        <w:rPr>
          <w:spacing w:val="-35"/>
          <w:sz w:val="20"/>
        </w:rPr>
        <w:t> </w:t>
      </w:r>
      <w:r>
        <w:rPr>
          <w:sz w:val="20"/>
        </w:rPr>
        <w:t>interesados.</w:t>
      </w:r>
    </w:p>
    <w:p>
      <w:pPr>
        <w:pStyle w:val="BodyText"/>
        <w:spacing w:line="249" w:lineRule="auto" w:before="4"/>
        <w:ind w:right="1274"/>
      </w:pPr>
      <w:r>
        <w:rPr/>
        <w:t>Cuando las entidades contratantes necesiten obtener un equilibrio adecuado entre las características específicas del procedimiento de licitación y los medios necesarios para su realización, podrán establecer, en los procedimientos a que se refiere el párrafo anterior, normas y criterios objetivos que reflejen esta necesidad y que permitan a la entidad contratante reducir el número de candidatos a los que se invitará a licitar o a negociar. No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obstante, el número de candidatos seleccionados deberá tener en cuenta la necesidad de garantizar una competencia suficiente.</w:t>
      </w:r>
    </w:p>
    <w:p>
      <w:pPr>
        <w:pStyle w:val="BodyText"/>
        <w:spacing w:line="249" w:lineRule="auto" w:before="1"/>
        <w:ind w:right="1275"/>
      </w:pPr>
      <w:r>
        <w:rPr/>
        <w:t>Cuando la convocatoria de licitación se efectúe por medio del anuncio sobre la existencia de un sistema de clasificación a que se refiere el artículo 40, y a efectos de la selección de participantes en procedimientos restringidos o de licitación con negociación en relación con contratos específicos objeto de la convocatoria de licitación, las entidades contratantes clasificarán a los operadores económicos con arreglo a tal sistema, y les aplicarán a aquellos que resulten clasificados lo dispuesto en el párrafo anterior.</w:t>
      </w:r>
    </w:p>
    <w:p>
      <w:pPr>
        <w:pStyle w:val="ListParagraph"/>
        <w:numPr>
          <w:ilvl w:val="0"/>
          <w:numId w:val="96"/>
        </w:numPr>
        <w:tabs>
          <w:tab w:pos="1658" w:val="left" w:leader="none"/>
        </w:tabs>
        <w:spacing w:line="249" w:lineRule="auto" w:before="5" w:after="0"/>
        <w:ind w:left="1074" w:right="1273" w:firstLine="340"/>
        <w:jc w:val="both"/>
        <w:rPr>
          <w:sz w:val="20"/>
        </w:rPr>
      </w:pPr>
      <w:r>
        <w:rPr>
          <w:sz w:val="20"/>
        </w:rPr>
        <w:t>Cuando los criterios y normas objetivos aplicables a la selección y a la exclusión de candidatos o licitadores en procedimientos abiertos, restringidos, de licitación con negociación, en diálogos competitivos o en asociaciones para la innovación incluyan requisitos relativos a la capacidad económica, financiera, técnica y profesional del operador económico, este podrá, si lo desea y para un contrato específico, recurrir a las capacidades de otras entidades, en los términos y con los límites establecidos en el artículo 36, debiendo demostrar ante la entidad contratante que dispondrá de los medios requeridos para la ejecución del contrato específico durante la totalidad de la duración del mismo mediante la presentación del compromiso a que se refiere el artículo 36.3, el cual se aportará por el licitador que hubiera presentado la mejor oferta de conformidad con lo dispuesto en el artículo 66 antes de la adjudicación del</w:t>
      </w:r>
      <w:r>
        <w:rPr>
          <w:spacing w:val="-10"/>
          <w:sz w:val="20"/>
        </w:rPr>
        <w:t> </w:t>
      </w:r>
      <w:r>
        <w:rPr>
          <w:sz w:val="20"/>
        </w:rPr>
        <w:t>contrato.</w:t>
      </w:r>
    </w:p>
    <w:p>
      <w:pPr>
        <w:pStyle w:val="BodyText"/>
        <w:spacing w:line="249" w:lineRule="auto" w:before="9"/>
        <w:ind w:right="1273"/>
      </w:pPr>
      <w:r>
        <w:rPr/>
        <w:t>En caso de los contratos de obras, de servicios, o de contratos que impliquen la prestación de servicios o la realización de trabajos de colocación e instalación en el contexto de un contrato de suministro, las entidades contratantes podrán exigir que determinadas tareas críticas sean ejecutadas directamente por el propio licitador o, en el caso de una oferta presentada por una agrupación de empresarios de las contempladas en el artículo 31, por un participante en esa agrupación, siempre que así se haya previsto en el correspondiente pliego de condiciones con indicación de los trabajos a los que se</w:t>
      </w:r>
      <w:r>
        <w:rPr>
          <w:spacing w:val="-22"/>
        </w:rPr>
        <w:t> </w:t>
      </w:r>
      <w:r>
        <w:rPr/>
        <w:t>refiera.</w:t>
      </w:r>
    </w:p>
    <w:p>
      <w:pPr>
        <w:pStyle w:val="BodyText"/>
        <w:spacing w:before="8"/>
        <w:ind w:left="0" w:firstLine="0"/>
        <w:jc w:val="left"/>
      </w:pPr>
    </w:p>
    <w:p>
      <w:pPr>
        <w:spacing w:before="1"/>
        <w:ind w:left="1074" w:right="0" w:firstLine="0"/>
        <w:jc w:val="both"/>
        <w:rPr>
          <w:i/>
          <w:sz w:val="20"/>
        </w:rPr>
      </w:pPr>
      <w:bookmarkStart w:name="Artículo 57. Documentación acreditativa " w:id="96"/>
      <w:bookmarkEnd w:id="96"/>
      <w:r>
        <w:rPr/>
      </w:r>
      <w:r>
        <w:rPr>
          <w:b/>
          <w:sz w:val="20"/>
        </w:rPr>
        <w:t>Artículo 57. </w:t>
      </w:r>
      <w:r>
        <w:rPr>
          <w:i/>
          <w:sz w:val="20"/>
        </w:rPr>
        <w:t>Documentación acreditativa del cumplimiento de los requisitos para contratar.</w:t>
      </w:r>
    </w:p>
    <w:p>
      <w:pPr>
        <w:pStyle w:val="ListParagraph"/>
        <w:numPr>
          <w:ilvl w:val="0"/>
          <w:numId w:val="97"/>
        </w:numPr>
        <w:tabs>
          <w:tab w:pos="1648" w:val="left" w:leader="none"/>
        </w:tabs>
        <w:spacing w:line="249" w:lineRule="auto" w:before="117" w:after="0"/>
        <w:ind w:left="1074" w:right="1273" w:firstLine="340"/>
        <w:jc w:val="both"/>
        <w:rPr>
          <w:sz w:val="20"/>
        </w:rPr>
      </w:pPr>
      <w:r>
        <w:rPr>
          <w:sz w:val="20"/>
        </w:rPr>
        <w:t>En el momento de la presentación de las ofertas o de las solicitudes de participación, las entidades contratantes aceptarán como prueba preliminar del cumplimiento de los requisitos para contratar a que se refieren los artículos 30, 55 y 56 una declaración responsable del licitador o candidato, en sustitución de la documentación acreditativa de estos requisitos, que se ajustará al formulario de documento europeo único de contratación de conformidad con lo indicado en el apartado 11</w:t>
      </w:r>
      <w:r>
        <w:rPr>
          <w:spacing w:val="-10"/>
          <w:sz w:val="20"/>
        </w:rPr>
        <w:t> </w:t>
      </w:r>
      <w:r>
        <w:rPr>
          <w:sz w:val="20"/>
        </w:rPr>
        <w:t>siguiente.</w:t>
      </w:r>
    </w:p>
    <w:p>
      <w:pPr>
        <w:pStyle w:val="ListParagraph"/>
        <w:numPr>
          <w:ilvl w:val="0"/>
          <w:numId w:val="97"/>
        </w:numPr>
        <w:tabs>
          <w:tab w:pos="1704" w:val="left" w:leader="none"/>
        </w:tabs>
        <w:spacing w:line="249" w:lineRule="auto" w:before="5" w:after="0"/>
        <w:ind w:left="1074" w:right="1272" w:firstLine="340"/>
        <w:jc w:val="both"/>
        <w:rPr>
          <w:sz w:val="20"/>
        </w:rPr>
      </w:pPr>
      <w:r>
        <w:rPr>
          <w:sz w:val="20"/>
        </w:rPr>
        <w:t>En los procedimientos abiertos las ofertas irán acompañadas de la declaración responsable a que se refiere el apartado 1 anterior, que deberá estar firmada y con la correspondiente identificación, en la que el licitador ponga de manifiesto lo</w:t>
      </w:r>
      <w:r>
        <w:rPr>
          <w:spacing w:val="-24"/>
          <w:sz w:val="20"/>
        </w:rPr>
        <w:t> </w:t>
      </w:r>
      <w:r>
        <w:rPr>
          <w:sz w:val="20"/>
        </w:rPr>
        <w:t>siguiente:</w:t>
      </w:r>
    </w:p>
    <w:p>
      <w:pPr>
        <w:pStyle w:val="ListParagraph"/>
        <w:numPr>
          <w:ilvl w:val="0"/>
          <w:numId w:val="98"/>
        </w:numPr>
        <w:tabs>
          <w:tab w:pos="1650" w:val="left" w:leader="none"/>
        </w:tabs>
        <w:spacing w:line="249" w:lineRule="auto" w:before="123" w:after="0"/>
        <w:ind w:left="1074" w:right="1273" w:firstLine="340"/>
        <w:jc w:val="both"/>
        <w:rPr>
          <w:sz w:val="20"/>
        </w:rPr>
      </w:pPr>
      <w:r>
        <w:rPr>
          <w:sz w:val="20"/>
        </w:rPr>
        <w:t>Que la sociedad está válidamente constituida y que conforme a su objeto social puede presentarse a la licitación, así como que el firmante de la declaración ostenta la debida representación para la presentación de la proposición y de</w:t>
      </w:r>
      <w:r>
        <w:rPr>
          <w:spacing w:val="-14"/>
          <w:sz w:val="20"/>
        </w:rPr>
        <w:t> </w:t>
      </w:r>
      <w:r>
        <w:rPr>
          <w:sz w:val="20"/>
        </w:rPr>
        <w:t>aquella.</w:t>
      </w:r>
    </w:p>
    <w:p>
      <w:pPr>
        <w:pStyle w:val="ListParagraph"/>
        <w:numPr>
          <w:ilvl w:val="0"/>
          <w:numId w:val="98"/>
        </w:numPr>
        <w:tabs>
          <w:tab w:pos="1706" w:val="left" w:leader="none"/>
        </w:tabs>
        <w:spacing w:line="249" w:lineRule="auto" w:before="2" w:after="0"/>
        <w:ind w:left="1074" w:right="1273" w:firstLine="340"/>
        <w:jc w:val="both"/>
        <w:rPr>
          <w:sz w:val="20"/>
        </w:rPr>
      </w:pPr>
      <w:r>
        <w:rPr>
          <w:sz w:val="20"/>
        </w:rPr>
        <w:t>Que cuenta con la correspondiente clasificación, en su caso, o que cumple los requisitos de solvencia económica, financiera y técnica o profesional exigidos, en las condiciones que establezca el pliego de condiciones de conformidad con el formulario del documento europeo único de contratación a que se refiere el apartado 11</w:t>
      </w:r>
      <w:r>
        <w:rPr>
          <w:spacing w:val="-22"/>
          <w:sz w:val="20"/>
        </w:rPr>
        <w:t> </w:t>
      </w:r>
      <w:r>
        <w:rPr>
          <w:sz w:val="20"/>
        </w:rPr>
        <w:t>siguiente.</w:t>
      </w:r>
    </w:p>
    <w:p>
      <w:pPr>
        <w:pStyle w:val="ListParagraph"/>
        <w:numPr>
          <w:ilvl w:val="0"/>
          <w:numId w:val="98"/>
        </w:numPr>
        <w:tabs>
          <w:tab w:pos="1655" w:val="left" w:leader="none"/>
        </w:tabs>
        <w:spacing w:line="249" w:lineRule="auto" w:before="3" w:after="0"/>
        <w:ind w:left="1074" w:right="1274" w:firstLine="340"/>
        <w:jc w:val="both"/>
        <w:rPr>
          <w:sz w:val="20"/>
        </w:rPr>
      </w:pPr>
      <w:r>
        <w:rPr>
          <w:sz w:val="20"/>
        </w:rPr>
        <w:t>Que no está incurso en ninguna de las prohibiciones para contratar que establece la Ley 9/2017, de 8 de noviembre, por sí mismo ni por extensión como consecuencia de la aplicación el artículo 71.3 de la citada</w:t>
      </w:r>
      <w:r>
        <w:rPr>
          <w:spacing w:val="-8"/>
          <w:sz w:val="20"/>
        </w:rPr>
        <w:t> </w:t>
      </w:r>
      <w:r>
        <w:rPr>
          <w:sz w:val="20"/>
        </w:rPr>
        <w:t>ley.</w:t>
      </w:r>
    </w:p>
    <w:p>
      <w:pPr>
        <w:pStyle w:val="ListParagraph"/>
        <w:numPr>
          <w:ilvl w:val="0"/>
          <w:numId w:val="98"/>
        </w:numPr>
        <w:tabs>
          <w:tab w:pos="1744" w:val="left" w:leader="none"/>
        </w:tabs>
        <w:spacing w:line="249" w:lineRule="auto" w:before="3" w:after="0"/>
        <w:ind w:left="1074" w:right="1273" w:firstLine="340"/>
        <w:jc w:val="both"/>
        <w:rPr>
          <w:sz w:val="20"/>
        </w:rPr>
      </w:pPr>
      <w:r>
        <w:rPr>
          <w:sz w:val="20"/>
        </w:rPr>
        <w:t>La designación de una dirección de correo electrónico en que efectuar las notificaciones de conformidad con el artículo 61, en los casos en que la entidad contratante haya optado por realizar las notificaciones a través de la misma. Esta circunstancia deberá recogerse en el pliego de</w:t>
      </w:r>
      <w:r>
        <w:rPr>
          <w:spacing w:val="-5"/>
          <w:sz w:val="20"/>
        </w:rPr>
        <w:t> </w:t>
      </w:r>
      <w:r>
        <w:rPr>
          <w:sz w:val="20"/>
        </w:rPr>
        <w:t>condiciones.</w:t>
      </w:r>
    </w:p>
    <w:p>
      <w:pPr>
        <w:pStyle w:val="ListParagraph"/>
        <w:numPr>
          <w:ilvl w:val="0"/>
          <w:numId w:val="97"/>
        </w:numPr>
        <w:tabs>
          <w:tab w:pos="1698" w:val="left" w:leader="none"/>
        </w:tabs>
        <w:spacing w:line="249" w:lineRule="auto" w:before="123" w:after="0"/>
        <w:ind w:left="1074" w:right="1274" w:firstLine="340"/>
        <w:jc w:val="both"/>
        <w:rPr>
          <w:sz w:val="20"/>
        </w:rPr>
      </w:pPr>
      <w:r>
        <w:rPr>
          <w:sz w:val="20"/>
        </w:rPr>
        <w:t>En el caso de solicitudes de participación en los procedimientos restringido, de licitación con negociación, en el diálogo competitivo y en el de asociación para la innovación, la declaración responsable a que se refiere el apartado 1 anterior pondrá de manifiesto adicionalmente que se cumple con los requisitos objetivos que se hayan establecido de acuerdo con el artículo 56 del presente real decreto-ley, en las condiciones que establezca</w:t>
      </w:r>
      <w:r>
        <w:rPr>
          <w:spacing w:val="-34"/>
          <w:sz w:val="20"/>
        </w:rPr>
        <w:t> </w:t>
      </w:r>
      <w:r>
        <w:rPr>
          <w:sz w:val="20"/>
        </w:rPr>
        <w:t>el</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3" w:firstLine="0"/>
      </w:pPr>
      <w:r>
        <w:rPr/>
        <w:t>pliego de condiciones de conformidad con el formulario normalizado del documento europeo único de contratación a que se refiere el apartado 11 siguiente.</w:t>
      </w:r>
    </w:p>
    <w:p>
      <w:pPr>
        <w:pStyle w:val="ListParagraph"/>
        <w:numPr>
          <w:ilvl w:val="0"/>
          <w:numId w:val="97"/>
        </w:numPr>
        <w:tabs>
          <w:tab w:pos="1672" w:val="left" w:leader="none"/>
        </w:tabs>
        <w:spacing w:line="249" w:lineRule="auto" w:before="2" w:after="0"/>
        <w:ind w:left="1074" w:right="1273" w:firstLine="340"/>
        <w:jc w:val="both"/>
        <w:rPr>
          <w:sz w:val="20"/>
        </w:rPr>
      </w:pPr>
      <w:r>
        <w:rPr>
          <w:sz w:val="20"/>
        </w:rPr>
        <w:t>Si el empresario recurre a las capacidades de otras entidades amparándose en lo dispuesto en el artículo 56.3, cada una de ellas también deberá presentar una declaración responsable en la que figure la información pertinente para estos casos con arreglo al formulario normalizado del documento europeo único de contratación a que se refiere el apartado 11</w:t>
      </w:r>
      <w:r>
        <w:rPr>
          <w:spacing w:val="-3"/>
          <w:sz w:val="20"/>
        </w:rPr>
        <w:t> </w:t>
      </w:r>
      <w:r>
        <w:rPr>
          <w:sz w:val="20"/>
        </w:rPr>
        <w:t>siguiente.</w:t>
      </w:r>
    </w:p>
    <w:p>
      <w:pPr>
        <w:pStyle w:val="BodyText"/>
        <w:spacing w:line="249" w:lineRule="auto" w:before="4"/>
        <w:ind w:right="1274"/>
      </w:pPr>
      <w:r>
        <w:rPr/>
        <w:t>La presentación del compromiso que menciona el artículo 56.3, primer párrafo, se realizará de conformidad con lo dispuesto en el apartado 13 del presente artículo.</w:t>
      </w:r>
    </w:p>
    <w:p>
      <w:pPr>
        <w:pStyle w:val="ListParagraph"/>
        <w:numPr>
          <w:ilvl w:val="0"/>
          <w:numId w:val="97"/>
        </w:numPr>
        <w:tabs>
          <w:tab w:pos="1679" w:val="left" w:leader="none"/>
        </w:tabs>
        <w:spacing w:line="249" w:lineRule="auto" w:before="1" w:after="0"/>
        <w:ind w:left="1074" w:right="1273" w:firstLine="340"/>
        <w:jc w:val="right"/>
        <w:rPr>
          <w:sz w:val="20"/>
        </w:rPr>
      </w:pPr>
      <w:r>
        <w:rPr>
          <w:sz w:val="20"/>
        </w:rPr>
        <w:t>En</w:t>
      </w:r>
      <w:r>
        <w:rPr>
          <w:spacing w:val="38"/>
          <w:sz w:val="20"/>
        </w:rPr>
        <w:t> </w:t>
      </w:r>
      <w:r>
        <w:rPr>
          <w:sz w:val="20"/>
        </w:rPr>
        <w:t>los</w:t>
      </w:r>
      <w:r>
        <w:rPr>
          <w:spacing w:val="39"/>
          <w:sz w:val="20"/>
        </w:rPr>
        <w:t> </w:t>
      </w:r>
      <w:r>
        <w:rPr>
          <w:sz w:val="20"/>
        </w:rPr>
        <w:t>contratos</w:t>
      </w:r>
      <w:r>
        <w:rPr>
          <w:spacing w:val="39"/>
          <w:sz w:val="20"/>
        </w:rPr>
        <w:t> </w:t>
      </w:r>
      <w:r>
        <w:rPr>
          <w:sz w:val="20"/>
        </w:rPr>
        <w:t>que</w:t>
      </w:r>
      <w:r>
        <w:rPr>
          <w:spacing w:val="39"/>
          <w:sz w:val="20"/>
        </w:rPr>
        <w:t> </w:t>
      </w:r>
      <w:r>
        <w:rPr>
          <w:sz w:val="20"/>
        </w:rPr>
        <w:t>celebren</w:t>
      </w:r>
      <w:r>
        <w:rPr>
          <w:spacing w:val="38"/>
          <w:sz w:val="20"/>
        </w:rPr>
        <w:t> </w:t>
      </w:r>
      <w:r>
        <w:rPr>
          <w:sz w:val="20"/>
        </w:rPr>
        <w:t>las</w:t>
      </w:r>
      <w:r>
        <w:rPr>
          <w:spacing w:val="39"/>
          <w:sz w:val="20"/>
        </w:rPr>
        <w:t> </w:t>
      </w:r>
      <w:r>
        <w:rPr>
          <w:sz w:val="20"/>
        </w:rPr>
        <w:t>entidades</w:t>
      </w:r>
      <w:r>
        <w:rPr>
          <w:spacing w:val="39"/>
          <w:sz w:val="20"/>
        </w:rPr>
        <w:t> </w:t>
      </w:r>
      <w:r>
        <w:rPr>
          <w:sz w:val="20"/>
        </w:rPr>
        <w:t>contratantes</w:t>
      </w:r>
      <w:r>
        <w:rPr>
          <w:spacing w:val="39"/>
          <w:sz w:val="20"/>
        </w:rPr>
        <w:t> </w:t>
      </w:r>
      <w:r>
        <w:rPr>
          <w:sz w:val="20"/>
        </w:rPr>
        <w:t>pertenecientes</w:t>
      </w:r>
      <w:r>
        <w:rPr>
          <w:spacing w:val="38"/>
          <w:sz w:val="20"/>
        </w:rPr>
        <w:t> </w:t>
      </w:r>
      <w:r>
        <w:rPr>
          <w:sz w:val="20"/>
        </w:rPr>
        <w:t>al</w:t>
      </w:r>
      <w:r>
        <w:rPr>
          <w:spacing w:val="39"/>
          <w:sz w:val="20"/>
        </w:rPr>
        <w:t> </w:t>
      </w:r>
      <w:r>
        <w:rPr>
          <w:sz w:val="20"/>
        </w:rPr>
        <w:t>Sector Público,</w:t>
      </w:r>
      <w:r>
        <w:rPr>
          <w:spacing w:val="39"/>
          <w:sz w:val="20"/>
        </w:rPr>
        <w:t> </w:t>
      </w:r>
      <w:r>
        <w:rPr>
          <w:sz w:val="20"/>
        </w:rPr>
        <w:t>cuando</w:t>
      </w:r>
      <w:r>
        <w:rPr>
          <w:spacing w:val="40"/>
          <w:sz w:val="20"/>
        </w:rPr>
        <w:t> </w:t>
      </w:r>
      <w:r>
        <w:rPr>
          <w:sz w:val="20"/>
        </w:rPr>
        <w:t>las</w:t>
      </w:r>
      <w:r>
        <w:rPr>
          <w:spacing w:val="40"/>
          <w:sz w:val="20"/>
        </w:rPr>
        <w:t> </w:t>
      </w:r>
      <w:r>
        <w:rPr>
          <w:sz w:val="20"/>
        </w:rPr>
        <w:t>mismas</w:t>
      </w:r>
      <w:r>
        <w:rPr>
          <w:spacing w:val="39"/>
          <w:sz w:val="20"/>
        </w:rPr>
        <w:t> </w:t>
      </w:r>
      <w:r>
        <w:rPr>
          <w:sz w:val="20"/>
        </w:rPr>
        <w:t>exijan</w:t>
      </w:r>
      <w:r>
        <w:rPr>
          <w:spacing w:val="40"/>
          <w:sz w:val="20"/>
        </w:rPr>
        <w:t> </w:t>
      </w:r>
      <w:r>
        <w:rPr>
          <w:sz w:val="20"/>
        </w:rPr>
        <w:t>la</w:t>
      </w:r>
      <w:r>
        <w:rPr>
          <w:spacing w:val="40"/>
          <w:sz w:val="20"/>
        </w:rPr>
        <w:t> </w:t>
      </w:r>
      <w:r>
        <w:rPr>
          <w:sz w:val="20"/>
        </w:rPr>
        <w:t>constitución</w:t>
      </w:r>
      <w:r>
        <w:rPr>
          <w:spacing w:val="40"/>
          <w:sz w:val="20"/>
        </w:rPr>
        <w:t> </w:t>
      </w:r>
      <w:r>
        <w:rPr>
          <w:sz w:val="20"/>
        </w:rPr>
        <w:t>de</w:t>
      </w:r>
      <w:r>
        <w:rPr>
          <w:spacing w:val="39"/>
          <w:sz w:val="20"/>
        </w:rPr>
        <w:t> </w:t>
      </w:r>
      <w:r>
        <w:rPr>
          <w:sz w:val="20"/>
        </w:rPr>
        <w:t>garantía</w:t>
      </w:r>
      <w:r>
        <w:rPr>
          <w:spacing w:val="40"/>
          <w:sz w:val="20"/>
        </w:rPr>
        <w:t> </w:t>
      </w:r>
      <w:r>
        <w:rPr>
          <w:sz w:val="20"/>
        </w:rPr>
        <w:t>para</w:t>
      </w:r>
      <w:r>
        <w:rPr>
          <w:spacing w:val="40"/>
          <w:sz w:val="20"/>
        </w:rPr>
        <w:t> </w:t>
      </w:r>
      <w:r>
        <w:rPr>
          <w:sz w:val="20"/>
        </w:rPr>
        <w:t>poder</w:t>
      </w:r>
      <w:r>
        <w:rPr>
          <w:spacing w:val="40"/>
          <w:sz w:val="20"/>
        </w:rPr>
        <w:t> </w:t>
      </w:r>
      <w:r>
        <w:rPr>
          <w:sz w:val="20"/>
        </w:rPr>
        <w:t>presentar</w:t>
      </w:r>
      <w:r>
        <w:rPr>
          <w:spacing w:val="39"/>
          <w:sz w:val="20"/>
        </w:rPr>
        <w:t> </w:t>
      </w:r>
      <w:r>
        <w:rPr>
          <w:sz w:val="20"/>
        </w:rPr>
        <w:t>una</w:t>
      </w:r>
      <w:r>
        <w:rPr>
          <w:spacing w:val="-1"/>
          <w:sz w:val="20"/>
        </w:rPr>
        <w:t> </w:t>
      </w:r>
      <w:r>
        <w:rPr>
          <w:sz w:val="20"/>
        </w:rPr>
        <w:t>oferta,</w:t>
      </w:r>
      <w:r>
        <w:rPr>
          <w:spacing w:val="-4"/>
          <w:sz w:val="20"/>
        </w:rPr>
        <w:t> </w:t>
      </w:r>
      <w:r>
        <w:rPr>
          <w:sz w:val="20"/>
        </w:rPr>
        <w:t>esta</w:t>
      </w:r>
      <w:r>
        <w:rPr>
          <w:spacing w:val="-4"/>
          <w:sz w:val="20"/>
        </w:rPr>
        <w:t> </w:t>
      </w:r>
      <w:r>
        <w:rPr>
          <w:sz w:val="20"/>
        </w:rPr>
        <w:t>se</w:t>
      </w:r>
      <w:r>
        <w:rPr>
          <w:spacing w:val="-3"/>
          <w:sz w:val="20"/>
        </w:rPr>
        <w:t> </w:t>
      </w:r>
      <w:r>
        <w:rPr>
          <w:sz w:val="20"/>
        </w:rPr>
        <w:t>regirá</w:t>
      </w:r>
      <w:r>
        <w:rPr>
          <w:spacing w:val="-3"/>
          <w:sz w:val="20"/>
        </w:rPr>
        <w:t> </w:t>
      </w:r>
      <w:r>
        <w:rPr>
          <w:sz w:val="20"/>
        </w:rPr>
        <w:t>por</w:t>
      </w:r>
      <w:r>
        <w:rPr>
          <w:spacing w:val="-4"/>
          <w:sz w:val="20"/>
        </w:rPr>
        <w:t> </w:t>
      </w:r>
      <w:r>
        <w:rPr>
          <w:sz w:val="20"/>
        </w:rPr>
        <w:t>lo</w:t>
      </w:r>
      <w:r>
        <w:rPr>
          <w:spacing w:val="-4"/>
          <w:sz w:val="20"/>
        </w:rPr>
        <w:t> </w:t>
      </w:r>
      <w:r>
        <w:rPr>
          <w:sz w:val="20"/>
        </w:rPr>
        <w:t>dispuesto</w:t>
      </w:r>
      <w:r>
        <w:rPr>
          <w:spacing w:val="-4"/>
          <w:sz w:val="20"/>
        </w:rPr>
        <w:t> </w:t>
      </w:r>
      <w:r>
        <w:rPr>
          <w:sz w:val="20"/>
        </w:rPr>
        <w:t>en</w:t>
      </w:r>
      <w:r>
        <w:rPr>
          <w:spacing w:val="-4"/>
          <w:sz w:val="20"/>
        </w:rPr>
        <w:t> </w:t>
      </w:r>
      <w:r>
        <w:rPr>
          <w:sz w:val="20"/>
        </w:rPr>
        <w:t>el</w:t>
      </w:r>
      <w:r>
        <w:rPr>
          <w:spacing w:val="-4"/>
          <w:sz w:val="20"/>
        </w:rPr>
        <w:t> </w:t>
      </w:r>
      <w:r>
        <w:rPr>
          <w:sz w:val="20"/>
        </w:rPr>
        <w:t>artículo</w:t>
      </w:r>
      <w:r>
        <w:rPr>
          <w:spacing w:val="-4"/>
          <w:sz w:val="20"/>
        </w:rPr>
        <w:t> </w:t>
      </w:r>
      <w:r>
        <w:rPr>
          <w:sz w:val="20"/>
        </w:rPr>
        <w:t>114</w:t>
      </w:r>
      <w:r>
        <w:rPr>
          <w:spacing w:val="-4"/>
          <w:sz w:val="20"/>
        </w:rPr>
        <w:t> </w:t>
      </w:r>
      <w:r>
        <w:rPr>
          <w:sz w:val="20"/>
        </w:rPr>
        <w:t>de</w:t>
      </w:r>
      <w:r>
        <w:rPr>
          <w:spacing w:val="-4"/>
          <w:sz w:val="20"/>
        </w:rPr>
        <w:t> </w:t>
      </w:r>
      <w:r>
        <w:rPr>
          <w:sz w:val="20"/>
        </w:rPr>
        <w:t>la</w:t>
      </w:r>
      <w:r>
        <w:rPr>
          <w:spacing w:val="-4"/>
          <w:sz w:val="20"/>
        </w:rPr>
        <w:t> </w:t>
      </w:r>
      <w:r>
        <w:rPr>
          <w:sz w:val="20"/>
        </w:rPr>
        <w:t>Ley</w:t>
      </w:r>
      <w:r>
        <w:rPr>
          <w:spacing w:val="-4"/>
          <w:sz w:val="20"/>
        </w:rPr>
        <w:t> </w:t>
      </w:r>
      <w:r>
        <w:rPr>
          <w:sz w:val="20"/>
        </w:rPr>
        <w:t>9/2017,</w:t>
      </w:r>
      <w:r>
        <w:rPr>
          <w:spacing w:val="-4"/>
          <w:sz w:val="20"/>
        </w:rPr>
        <w:t> </w:t>
      </w:r>
      <w:r>
        <w:rPr>
          <w:sz w:val="20"/>
        </w:rPr>
        <w:t>de</w:t>
      </w:r>
      <w:r>
        <w:rPr>
          <w:spacing w:val="-4"/>
          <w:sz w:val="20"/>
        </w:rPr>
        <w:t> </w:t>
      </w:r>
      <w:r>
        <w:rPr>
          <w:sz w:val="20"/>
        </w:rPr>
        <w:t>8</w:t>
      </w:r>
      <w:r>
        <w:rPr>
          <w:spacing w:val="-4"/>
          <w:sz w:val="20"/>
        </w:rPr>
        <w:t> </w:t>
      </w:r>
      <w:r>
        <w:rPr>
          <w:sz w:val="20"/>
        </w:rPr>
        <w:t>de</w:t>
      </w:r>
      <w:r>
        <w:rPr>
          <w:spacing w:val="-3"/>
          <w:sz w:val="20"/>
        </w:rPr>
        <w:t> </w:t>
      </w:r>
      <w:r>
        <w:rPr>
          <w:sz w:val="20"/>
        </w:rPr>
        <w:t>noviembre.</w:t>
      </w:r>
      <w:r>
        <w:rPr>
          <w:spacing w:val="-1"/>
          <w:sz w:val="20"/>
        </w:rPr>
        <w:t> </w:t>
      </w:r>
      <w:r>
        <w:rPr>
          <w:sz w:val="20"/>
        </w:rPr>
        <w:t>En</w:t>
      </w:r>
      <w:r>
        <w:rPr>
          <w:spacing w:val="19"/>
          <w:sz w:val="20"/>
        </w:rPr>
        <w:t> </w:t>
      </w:r>
      <w:r>
        <w:rPr>
          <w:sz w:val="20"/>
        </w:rPr>
        <w:t>los</w:t>
      </w:r>
      <w:r>
        <w:rPr>
          <w:spacing w:val="20"/>
          <w:sz w:val="20"/>
        </w:rPr>
        <w:t> </w:t>
      </w:r>
      <w:r>
        <w:rPr>
          <w:sz w:val="20"/>
        </w:rPr>
        <w:t>demás</w:t>
      </w:r>
      <w:r>
        <w:rPr>
          <w:spacing w:val="19"/>
          <w:sz w:val="20"/>
        </w:rPr>
        <w:t> </w:t>
      </w:r>
      <w:r>
        <w:rPr>
          <w:sz w:val="20"/>
        </w:rPr>
        <w:t>contratos,</w:t>
      </w:r>
      <w:r>
        <w:rPr>
          <w:spacing w:val="20"/>
          <w:sz w:val="20"/>
        </w:rPr>
        <w:t> </w:t>
      </w:r>
      <w:r>
        <w:rPr>
          <w:sz w:val="20"/>
        </w:rPr>
        <w:t>cuando</w:t>
      </w:r>
      <w:r>
        <w:rPr>
          <w:spacing w:val="20"/>
          <w:sz w:val="20"/>
        </w:rPr>
        <w:t> </w:t>
      </w:r>
      <w:r>
        <w:rPr>
          <w:sz w:val="20"/>
        </w:rPr>
        <w:t>las</w:t>
      </w:r>
      <w:r>
        <w:rPr>
          <w:spacing w:val="19"/>
          <w:sz w:val="20"/>
        </w:rPr>
        <w:t> </w:t>
      </w:r>
      <w:r>
        <w:rPr>
          <w:sz w:val="20"/>
        </w:rPr>
        <w:t>entidades</w:t>
      </w:r>
      <w:r>
        <w:rPr>
          <w:spacing w:val="20"/>
          <w:sz w:val="20"/>
        </w:rPr>
        <w:t> </w:t>
      </w:r>
      <w:r>
        <w:rPr>
          <w:sz w:val="20"/>
        </w:rPr>
        <w:t>contratantes</w:t>
      </w:r>
      <w:r>
        <w:rPr>
          <w:spacing w:val="19"/>
          <w:sz w:val="20"/>
        </w:rPr>
        <w:t> </w:t>
      </w:r>
      <w:r>
        <w:rPr>
          <w:sz w:val="20"/>
        </w:rPr>
        <w:t>exijan</w:t>
      </w:r>
      <w:r>
        <w:rPr>
          <w:spacing w:val="20"/>
          <w:sz w:val="20"/>
        </w:rPr>
        <w:t> </w:t>
      </w:r>
      <w:r>
        <w:rPr>
          <w:sz w:val="20"/>
        </w:rPr>
        <w:t>la</w:t>
      </w:r>
      <w:r>
        <w:rPr>
          <w:spacing w:val="20"/>
          <w:sz w:val="20"/>
        </w:rPr>
        <w:t> </w:t>
      </w:r>
      <w:r>
        <w:rPr>
          <w:sz w:val="20"/>
        </w:rPr>
        <w:t>garantía</w:t>
      </w:r>
      <w:r>
        <w:rPr>
          <w:spacing w:val="19"/>
          <w:sz w:val="20"/>
        </w:rPr>
        <w:t> </w:t>
      </w:r>
      <w:r>
        <w:rPr>
          <w:sz w:val="20"/>
        </w:rPr>
        <w:t>a</w:t>
      </w:r>
      <w:r>
        <w:rPr>
          <w:spacing w:val="20"/>
          <w:sz w:val="20"/>
        </w:rPr>
        <w:t> </w:t>
      </w:r>
      <w:r>
        <w:rPr>
          <w:sz w:val="20"/>
        </w:rPr>
        <w:t>que</w:t>
      </w:r>
      <w:r>
        <w:rPr>
          <w:spacing w:val="20"/>
          <w:sz w:val="20"/>
        </w:rPr>
        <w:t> </w:t>
      </w:r>
      <w:r>
        <w:rPr>
          <w:sz w:val="20"/>
        </w:rPr>
        <w:t>se refiere el párrafo anterior, el empresario interesado deberá aportar el documento</w:t>
      </w:r>
      <w:r>
        <w:rPr>
          <w:spacing w:val="-11"/>
          <w:sz w:val="20"/>
        </w:rPr>
        <w:t> </w:t>
      </w:r>
      <w:r>
        <w:rPr>
          <w:sz w:val="20"/>
        </w:rPr>
        <w:t>acreditativo</w:t>
      </w:r>
    </w:p>
    <w:p>
      <w:pPr>
        <w:pStyle w:val="BodyText"/>
        <w:spacing w:before="5"/>
        <w:ind w:firstLine="0"/>
      </w:pPr>
      <w:r>
        <w:rPr/>
        <w:t>de haberla</w:t>
      </w:r>
      <w:r>
        <w:rPr>
          <w:spacing w:val="-9"/>
        </w:rPr>
        <w:t> </w:t>
      </w:r>
      <w:r>
        <w:rPr/>
        <w:t>constituido.</w:t>
      </w:r>
    </w:p>
    <w:p>
      <w:pPr>
        <w:pStyle w:val="ListParagraph"/>
        <w:numPr>
          <w:ilvl w:val="0"/>
          <w:numId w:val="97"/>
        </w:numPr>
        <w:tabs>
          <w:tab w:pos="1710" w:val="left" w:leader="none"/>
        </w:tabs>
        <w:spacing w:line="249" w:lineRule="auto" w:before="10" w:after="0"/>
        <w:ind w:left="1074" w:right="1272" w:firstLine="340"/>
        <w:jc w:val="both"/>
        <w:rPr>
          <w:sz w:val="20"/>
        </w:rPr>
      </w:pPr>
      <w:r>
        <w:rPr>
          <w:sz w:val="20"/>
        </w:rPr>
        <w:t>En los supuestos en que se concurra a la licitación en agrupación con otros empresarios amparándose en lo dispuesto en el artículo 31, se aportará una declaración responsable por cada empresa participante en la que figurará la información requerida en estos casos en el formulario del documento europeo único de contratación a que se refiere el apartado 11</w:t>
      </w:r>
      <w:r>
        <w:rPr>
          <w:spacing w:val="-3"/>
          <w:sz w:val="20"/>
        </w:rPr>
        <w:t> </w:t>
      </w:r>
      <w:r>
        <w:rPr>
          <w:sz w:val="20"/>
        </w:rPr>
        <w:t>siguiente.</w:t>
      </w:r>
    </w:p>
    <w:p>
      <w:pPr>
        <w:pStyle w:val="BodyText"/>
        <w:spacing w:line="249" w:lineRule="auto" w:before="4"/>
        <w:ind w:right="1273"/>
      </w:pPr>
      <w:r>
        <w:rPr/>
        <w:t>Adicionalmente a la declaración o declaraciones a que se refiere el párrafo anterior se aportará el compromiso de constituir esta por parte de los empresarios en caso de resultar adjudicatarios de conformidad con lo exigido en el artículo 31.4.</w:t>
      </w:r>
    </w:p>
    <w:p>
      <w:pPr>
        <w:pStyle w:val="ListParagraph"/>
        <w:numPr>
          <w:ilvl w:val="0"/>
          <w:numId w:val="97"/>
        </w:numPr>
        <w:tabs>
          <w:tab w:pos="1673" w:val="left" w:leader="none"/>
        </w:tabs>
        <w:spacing w:line="249" w:lineRule="auto" w:before="2" w:after="0"/>
        <w:ind w:left="1074" w:right="1273" w:firstLine="340"/>
        <w:jc w:val="both"/>
        <w:rPr>
          <w:sz w:val="20"/>
        </w:rPr>
      </w:pPr>
      <w:r>
        <w:rPr>
          <w:sz w:val="20"/>
        </w:rPr>
        <w:t>Además de la declaración responsable a que se refiere el apartado 1 anterior, las empresas extranjeras, en los casos en que el contrato vaya a ejecutarse en  España, deberán aportar la declaración de someterse a la jurisdicción de los juzgados y tribunales españoles de cualquier orden, para todas las incidencias que de modo directo o indirecto pudieran surgir del contrato, con renuncia, en su caso, al fuero jurisdiccional extranjero que pudiera corresponder al</w:t>
      </w:r>
      <w:r>
        <w:rPr>
          <w:spacing w:val="-3"/>
          <w:sz w:val="20"/>
        </w:rPr>
        <w:t> </w:t>
      </w:r>
      <w:r>
        <w:rPr>
          <w:sz w:val="20"/>
        </w:rPr>
        <w:t>licitante.</w:t>
      </w:r>
    </w:p>
    <w:p>
      <w:pPr>
        <w:pStyle w:val="ListParagraph"/>
        <w:numPr>
          <w:ilvl w:val="0"/>
          <w:numId w:val="97"/>
        </w:numPr>
        <w:tabs>
          <w:tab w:pos="1649" w:val="left" w:leader="none"/>
        </w:tabs>
        <w:spacing w:line="249" w:lineRule="auto" w:before="5" w:after="0"/>
        <w:ind w:left="1074" w:right="1273" w:firstLine="340"/>
        <w:jc w:val="both"/>
        <w:rPr>
          <w:sz w:val="20"/>
        </w:rPr>
      </w:pPr>
      <w:r>
        <w:rPr>
          <w:sz w:val="20"/>
        </w:rPr>
        <w:t>Cuando el pliego de condiciones prevea la división en lotes del objeto del contrato, si los requisitos de solvencia económica y financiera o técnica y profesional exigidos variaran de un lote a otro, se aportará una declaración responsable por cada lote o grupo de lotes al que se apliquen los mismos requisitos de</w:t>
      </w:r>
      <w:r>
        <w:rPr>
          <w:spacing w:val="-6"/>
          <w:sz w:val="20"/>
        </w:rPr>
        <w:t> </w:t>
      </w:r>
      <w:r>
        <w:rPr>
          <w:sz w:val="20"/>
        </w:rPr>
        <w:t>solvencia.</w:t>
      </w:r>
    </w:p>
    <w:p>
      <w:pPr>
        <w:pStyle w:val="ListParagraph"/>
        <w:numPr>
          <w:ilvl w:val="0"/>
          <w:numId w:val="97"/>
        </w:numPr>
        <w:tabs>
          <w:tab w:pos="1642" w:val="left" w:leader="none"/>
        </w:tabs>
        <w:spacing w:line="249" w:lineRule="auto" w:before="3" w:after="0"/>
        <w:ind w:left="1074" w:right="1273" w:firstLine="340"/>
        <w:jc w:val="both"/>
        <w:rPr>
          <w:sz w:val="20"/>
        </w:rPr>
      </w:pPr>
      <w:r>
        <w:rPr>
          <w:sz w:val="20"/>
        </w:rPr>
        <w:t>Cuando de conformidad con el presente real decreto-ley el pliego de condiciones exija la acreditación de cualesquiera otras circunstancias, el mismo deberá indicar la forma de su acreditación cuando no sea posible realizarla mediante la declaración responsable a que se refiere el apartado 1</w:t>
      </w:r>
      <w:r>
        <w:rPr>
          <w:spacing w:val="-4"/>
          <w:sz w:val="20"/>
        </w:rPr>
        <w:t> </w:t>
      </w:r>
      <w:r>
        <w:rPr>
          <w:sz w:val="20"/>
        </w:rPr>
        <w:t>anterior.</w:t>
      </w:r>
    </w:p>
    <w:p>
      <w:pPr>
        <w:pStyle w:val="ListParagraph"/>
        <w:numPr>
          <w:ilvl w:val="0"/>
          <w:numId w:val="97"/>
        </w:numPr>
        <w:tabs>
          <w:tab w:pos="1754" w:val="left" w:leader="none"/>
        </w:tabs>
        <w:spacing w:line="249" w:lineRule="auto" w:before="4" w:after="0"/>
        <w:ind w:left="1074" w:right="1274" w:firstLine="340"/>
        <w:jc w:val="both"/>
        <w:rPr>
          <w:sz w:val="20"/>
        </w:rPr>
      </w:pPr>
      <w:r>
        <w:rPr>
          <w:sz w:val="20"/>
        </w:rPr>
        <w:t>Las circunstancias relativas a la capacidad, solvencia y ausencia de prohibiciones de contratar, a las que se refieren los apartados anteriores, deberán concurrir en la fecha final de presentación de ofertas y subsistir en el momento de perfección del</w:t>
      </w:r>
      <w:r>
        <w:rPr>
          <w:spacing w:val="-21"/>
          <w:sz w:val="20"/>
        </w:rPr>
        <w:t> </w:t>
      </w:r>
      <w:r>
        <w:rPr>
          <w:sz w:val="20"/>
        </w:rPr>
        <w:t>contrato.</w:t>
      </w:r>
    </w:p>
    <w:p>
      <w:pPr>
        <w:pStyle w:val="ListParagraph"/>
        <w:numPr>
          <w:ilvl w:val="0"/>
          <w:numId w:val="97"/>
        </w:numPr>
        <w:tabs>
          <w:tab w:pos="1815" w:val="left" w:leader="none"/>
        </w:tabs>
        <w:spacing w:line="249" w:lineRule="auto" w:before="2" w:after="0"/>
        <w:ind w:left="1074" w:right="1274" w:firstLine="340"/>
        <w:jc w:val="both"/>
        <w:rPr>
          <w:sz w:val="20"/>
        </w:rPr>
      </w:pPr>
      <w:r>
        <w:rPr>
          <w:sz w:val="20"/>
        </w:rPr>
        <w:t>Las entidades contratantes incluirán en el pliego de condiciones, junto con la exigencia de la declaración responsable del apartado 1, el modelo al que deberá ajustarse la misma.</w:t>
      </w:r>
    </w:p>
    <w:p>
      <w:pPr>
        <w:pStyle w:val="BodyText"/>
        <w:spacing w:line="249" w:lineRule="auto" w:before="3"/>
        <w:ind w:right="1274"/>
      </w:pPr>
      <w:r>
        <w:rPr/>
        <w:t>El modelo que recoja el pliego de condiciones seguirá el formulario de documento europeo único de contratación aprobado en el seno de la Unión Europea.</w:t>
      </w:r>
    </w:p>
    <w:p>
      <w:pPr>
        <w:pStyle w:val="ListParagraph"/>
        <w:numPr>
          <w:ilvl w:val="0"/>
          <w:numId w:val="97"/>
        </w:numPr>
        <w:tabs>
          <w:tab w:pos="1814" w:val="left" w:leader="none"/>
        </w:tabs>
        <w:spacing w:line="249" w:lineRule="auto" w:before="1" w:after="0"/>
        <w:ind w:left="1074" w:right="1274" w:firstLine="340"/>
        <w:jc w:val="both"/>
        <w:rPr>
          <w:sz w:val="20"/>
        </w:rPr>
      </w:pPr>
      <w:r>
        <w:rPr>
          <w:sz w:val="20"/>
        </w:rPr>
        <w:t>Cuando la entidad contratante aprecie defectos subsanables en la declaración responsable, dará un plazo de tres días al empresario para que los</w:t>
      </w:r>
      <w:r>
        <w:rPr>
          <w:spacing w:val="-18"/>
          <w:sz w:val="20"/>
        </w:rPr>
        <w:t> </w:t>
      </w:r>
      <w:r>
        <w:rPr>
          <w:sz w:val="20"/>
        </w:rPr>
        <w:t>corrija.</w:t>
      </w:r>
    </w:p>
    <w:p>
      <w:pPr>
        <w:pStyle w:val="ListParagraph"/>
        <w:numPr>
          <w:ilvl w:val="0"/>
          <w:numId w:val="97"/>
        </w:numPr>
        <w:tabs>
          <w:tab w:pos="1778" w:val="left" w:leader="none"/>
        </w:tabs>
        <w:spacing w:line="249" w:lineRule="auto" w:before="2" w:after="0"/>
        <w:ind w:left="1074" w:right="1272" w:firstLine="340"/>
        <w:jc w:val="both"/>
        <w:rPr>
          <w:sz w:val="20"/>
        </w:rPr>
      </w:pPr>
      <w:r>
        <w:rPr>
          <w:sz w:val="20"/>
        </w:rPr>
        <w:t>La entidad contratante podrá pedir a los licitadores y candidatos que presenten la totalidad o una parte de los documentos justificativos en cualquier momento del procedimiento de licitación, cuando considere que existen dudas razonables sobre la vigencia o fiabilidad de la declaración o cuando resulte necesario para garantizar el buen desarrollo del</w:t>
      </w:r>
      <w:r>
        <w:rPr>
          <w:spacing w:val="-3"/>
          <w:sz w:val="20"/>
        </w:rPr>
        <w:t> </w:t>
      </w:r>
      <w:r>
        <w:rPr>
          <w:sz w:val="20"/>
        </w:rPr>
        <w:t>mismo.</w:t>
      </w:r>
    </w:p>
    <w:p>
      <w:pPr>
        <w:pStyle w:val="BodyText"/>
        <w:spacing w:line="249" w:lineRule="auto" w:before="4"/>
        <w:ind w:right="1273"/>
      </w:pPr>
      <w:r>
        <w:rPr/>
        <w:t>Excepto para los contratos basados en acuerdos marco, antes de la adjudicación del contrato la entidad contratante exigirá al licitador al que haya decidido adjudicar el contrato que presente los documentos justificativos actualizados. Si la entidad contratante apreciara defectos subsanables en estos documentos, dará plazo suficiente al empresario para que los corrija.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97"/>
        </w:numPr>
        <w:tabs>
          <w:tab w:pos="1791" w:val="left" w:leader="none"/>
        </w:tabs>
        <w:spacing w:line="249" w:lineRule="auto" w:before="127" w:after="0"/>
        <w:ind w:left="1074" w:right="1273" w:firstLine="340"/>
        <w:jc w:val="both"/>
        <w:rPr>
          <w:sz w:val="20"/>
        </w:rPr>
      </w:pPr>
      <w:r>
        <w:rPr>
          <w:sz w:val="20"/>
        </w:rPr>
        <w:t>No obstante lo dispuesto en el apartado anterior, los candidatos y licitadores no estarán obligados a aportar aquellos documentos justificativos u otra prueba documental de los datos que ya obraran en poder de la entidad contratante o aquellos otros que pudieran obtenerse de forma directa y gratuita, bien a través del Registro Oficial de Licitadores y Empresas Clasificadas del Sector Público o bien a través de una base de datos nacional de un Estado Miembro de la Unión Europea, como un expediente virtual de la empresa, un sistema de almacenamiento electrónico de documentos o un sistema de</w:t>
      </w:r>
      <w:r>
        <w:rPr>
          <w:spacing w:val="-34"/>
          <w:sz w:val="20"/>
        </w:rPr>
        <w:t> </w:t>
      </w:r>
      <w:r>
        <w:rPr>
          <w:sz w:val="20"/>
        </w:rPr>
        <w:t>precalificación.</w:t>
      </w:r>
    </w:p>
    <w:p>
      <w:pPr>
        <w:pStyle w:val="BodyText"/>
        <w:spacing w:before="6"/>
        <w:ind w:left="0" w:firstLine="0"/>
        <w:jc w:val="left"/>
        <w:rPr>
          <w:sz w:val="30"/>
        </w:rPr>
      </w:pPr>
    </w:p>
    <w:p>
      <w:pPr>
        <w:pStyle w:val="BodyText"/>
        <w:spacing w:before="0"/>
        <w:ind w:left="2929" w:right="3127" w:firstLine="0"/>
        <w:jc w:val="center"/>
      </w:pPr>
      <w:bookmarkStart w:name="CAPÍTULO III. Procedimientos de adjudica" w:id="97"/>
      <w:bookmarkEnd w:id="97"/>
      <w:r>
        <w:rPr/>
      </w:r>
      <w:bookmarkStart w:name="_bookmark19" w:id="98"/>
      <w:bookmarkEnd w:id="98"/>
      <w:r>
        <w:rPr/>
      </w:r>
      <w:r>
        <w:rPr/>
        <w:t>CAPÍTULO III</w:t>
      </w:r>
    </w:p>
    <w:p>
      <w:pPr>
        <w:pStyle w:val="Heading1"/>
        <w:spacing w:before="124"/>
        <w:ind w:left="2929"/>
      </w:pPr>
      <w:r>
        <w:rPr/>
        <w:t>Procedimientos de adjudicación</w:t>
      </w:r>
    </w:p>
    <w:p>
      <w:pPr>
        <w:pStyle w:val="BodyText"/>
        <w:spacing w:before="6"/>
        <w:ind w:left="0" w:firstLine="0"/>
        <w:jc w:val="left"/>
        <w:rPr>
          <w:b/>
        </w:rPr>
      </w:pPr>
    </w:p>
    <w:p>
      <w:pPr>
        <w:pStyle w:val="Heading2"/>
        <w:spacing w:before="1"/>
        <w:ind w:left="2929"/>
        <w:rPr>
          <w:i/>
        </w:rPr>
      </w:pPr>
      <w:bookmarkStart w:name="Sección 1.ª Normas generales" w:id="99"/>
      <w:bookmarkEnd w:id="99"/>
      <w:r>
        <w:rPr>
          <w:b w:val="0"/>
          <w:i w:val="0"/>
        </w:rPr>
      </w:r>
      <w:bookmarkStart w:name="_bookmark20" w:id="100"/>
      <w:bookmarkEnd w:id="100"/>
      <w:r>
        <w:rPr>
          <w:b w:val="0"/>
          <w:i w:val="0"/>
        </w:rPr>
      </w:r>
      <w:r>
        <w:rPr>
          <w:i/>
        </w:rPr>
        <w:t>Sección 1.ª Normas generales</w:t>
      </w:r>
    </w:p>
    <w:p>
      <w:pPr>
        <w:pStyle w:val="BodyText"/>
        <w:spacing w:before="5"/>
        <w:ind w:left="0" w:firstLine="0"/>
        <w:jc w:val="left"/>
        <w:rPr>
          <w:b/>
          <w:i/>
          <w:sz w:val="30"/>
        </w:rPr>
      </w:pPr>
    </w:p>
    <w:p>
      <w:pPr>
        <w:spacing w:before="0"/>
        <w:ind w:left="1074" w:right="0" w:firstLine="0"/>
        <w:jc w:val="both"/>
        <w:rPr>
          <w:i/>
          <w:sz w:val="20"/>
        </w:rPr>
      </w:pPr>
      <w:bookmarkStart w:name="Artículo 58. Principios generales." w:id="101"/>
      <w:bookmarkEnd w:id="101"/>
      <w:r>
        <w:rPr/>
      </w:r>
      <w:r>
        <w:rPr>
          <w:b/>
          <w:sz w:val="20"/>
        </w:rPr>
        <w:t>Artículo 58. </w:t>
      </w:r>
      <w:r>
        <w:rPr>
          <w:i/>
          <w:sz w:val="20"/>
        </w:rPr>
        <w:t>Principios generales.</w:t>
      </w:r>
    </w:p>
    <w:p>
      <w:pPr>
        <w:pStyle w:val="ListParagraph"/>
        <w:numPr>
          <w:ilvl w:val="0"/>
          <w:numId w:val="99"/>
        </w:numPr>
        <w:tabs>
          <w:tab w:pos="1656" w:val="left" w:leader="none"/>
        </w:tabs>
        <w:spacing w:line="249" w:lineRule="auto" w:before="117" w:after="0"/>
        <w:ind w:left="1074" w:right="1271" w:firstLine="340"/>
        <w:jc w:val="both"/>
        <w:rPr>
          <w:sz w:val="20"/>
        </w:rPr>
      </w:pPr>
      <w:r>
        <w:rPr>
          <w:sz w:val="20"/>
        </w:rPr>
        <w:t>Cuando se ponga de manifiesto que la información o documentación presentada por los operadores económicos es incompleta o errónea, o cuando falten documentos específicos, las entidades contratantes, tendrán que pedir a los operadores económicos afectados que presenten, complementen, aclaren o completen la información o documentación pertinente en un plazo de tres días, siempre que dichas peticiones se realicen cumpliendo totalmente los principios de igualdad de trato, transparencia, libre competencia, así como los principios de garantía de unidad de mercado que establece la Ley 20/2013, de 9 de diciembre, de garantía de la unidad de</w:t>
      </w:r>
      <w:r>
        <w:rPr>
          <w:spacing w:val="-18"/>
          <w:sz w:val="20"/>
        </w:rPr>
        <w:t> </w:t>
      </w:r>
      <w:r>
        <w:rPr>
          <w:sz w:val="20"/>
        </w:rPr>
        <w:t>mercado.</w:t>
      </w:r>
    </w:p>
    <w:p>
      <w:pPr>
        <w:pStyle w:val="ListParagraph"/>
        <w:numPr>
          <w:ilvl w:val="0"/>
          <w:numId w:val="99"/>
        </w:numPr>
        <w:tabs>
          <w:tab w:pos="1727" w:val="left" w:leader="none"/>
        </w:tabs>
        <w:spacing w:line="249" w:lineRule="auto" w:before="7" w:after="0"/>
        <w:ind w:left="1074" w:right="1273" w:firstLine="340"/>
        <w:jc w:val="both"/>
        <w:rPr>
          <w:sz w:val="20"/>
        </w:rPr>
      </w:pPr>
      <w:r>
        <w:rPr>
          <w:sz w:val="20"/>
        </w:rPr>
        <w:t>Las entidades contratantes comprobarán que las ofertas presentadas por los licitadores seleccionados se ajustan a las normas y requisitos aplicables a dichas ofertas y adjudicarán el contrato basándose en los criterios previstos en los artículos 66 y 69, teniendo en cuenta el artículo</w:t>
      </w:r>
      <w:r>
        <w:rPr>
          <w:spacing w:val="-4"/>
          <w:sz w:val="20"/>
        </w:rPr>
        <w:t> </w:t>
      </w:r>
      <w:r>
        <w:rPr>
          <w:sz w:val="20"/>
        </w:rPr>
        <w:t>68.</w:t>
      </w:r>
    </w:p>
    <w:p>
      <w:pPr>
        <w:pStyle w:val="ListParagraph"/>
        <w:numPr>
          <w:ilvl w:val="0"/>
          <w:numId w:val="99"/>
        </w:numPr>
        <w:tabs>
          <w:tab w:pos="1679" w:val="left" w:leader="none"/>
        </w:tabs>
        <w:spacing w:line="249" w:lineRule="auto" w:before="3" w:after="0"/>
        <w:ind w:left="1074" w:right="1273" w:firstLine="340"/>
        <w:jc w:val="both"/>
        <w:rPr>
          <w:sz w:val="20"/>
        </w:rPr>
      </w:pPr>
      <w:r>
        <w:rPr>
          <w:sz w:val="20"/>
        </w:rPr>
        <w:t>Las entidades contratantes no adjudicarán un contrato al licitador que presente la mejor oferta de conformidad con lo dispuesto en el artículo 66 cuando hayan comprobado que la oferta no cumple las obligaciones aplicables contempladas en el artículo</w:t>
      </w:r>
      <w:r>
        <w:rPr>
          <w:spacing w:val="-30"/>
          <w:sz w:val="20"/>
        </w:rPr>
        <w:t> </w:t>
      </w:r>
      <w:r>
        <w:rPr>
          <w:sz w:val="20"/>
        </w:rPr>
        <w:t>27.4.</w:t>
      </w:r>
    </w:p>
    <w:p>
      <w:pPr>
        <w:pStyle w:val="BodyText"/>
        <w:spacing w:before="5"/>
        <w:ind w:left="0" w:firstLine="0"/>
        <w:jc w:val="left"/>
      </w:pPr>
    </w:p>
    <w:p>
      <w:pPr>
        <w:spacing w:before="0"/>
        <w:ind w:left="1074" w:right="0" w:firstLine="0"/>
        <w:jc w:val="both"/>
        <w:rPr>
          <w:i/>
          <w:sz w:val="20"/>
        </w:rPr>
      </w:pPr>
      <w:bookmarkStart w:name="Artículo 59. Exclusión de actuaciones y " w:id="102"/>
      <w:bookmarkEnd w:id="102"/>
      <w:r>
        <w:rPr/>
      </w:r>
      <w:r>
        <w:rPr>
          <w:b/>
          <w:sz w:val="20"/>
        </w:rPr>
        <w:t>Artículo 59. </w:t>
      </w:r>
      <w:r>
        <w:rPr>
          <w:i/>
          <w:sz w:val="20"/>
        </w:rPr>
        <w:t>Exclusión de actuaciones y prácticas restrictivas de la competencia.</w:t>
      </w:r>
    </w:p>
    <w:p>
      <w:pPr>
        <w:pStyle w:val="ListParagraph"/>
        <w:numPr>
          <w:ilvl w:val="0"/>
          <w:numId w:val="100"/>
        </w:numPr>
        <w:tabs>
          <w:tab w:pos="1650" w:val="left" w:leader="none"/>
        </w:tabs>
        <w:spacing w:line="249" w:lineRule="auto" w:before="118" w:after="0"/>
        <w:ind w:left="1074" w:right="1273" w:firstLine="340"/>
        <w:jc w:val="both"/>
        <w:rPr>
          <w:sz w:val="20"/>
        </w:rPr>
      </w:pPr>
      <w:r>
        <w:rPr>
          <w:sz w:val="20"/>
        </w:rPr>
        <w:t>En los procedimientos de adjudicación y en el caso de adjudicación sobre la base de un acuerdo marco, quedará excluido cualquier tipo de acuerdo, práctica restrictiva o abusiva que produzca o pueda producir el efecto de impedir, restringir o falsear la competencia en los términos previstos en la Ley 15/2007, de 3 de julio, de Defensa de la Competencia. Únicamente podrá requerirse información a los candidatos o a los licitadores con el objeto de que los mismos precisen o completen el contenido de sus ofertas, así como los requisitos exigidos</w:t>
      </w:r>
      <w:r>
        <w:rPr>
          <w:spacing w:val="-5"/>
          <w:sz w:val="20"/>
        </w:rPr>
        <w:t> </w:t>
      </w:r>
      <w:r>
        <w:rPr>
          <w:sz w:val="20"/>
        </w:rPr>
        <w:t>por</w:t>
      </w:r>
      <w:r>
        <w:rPr>
          <w:spacing w:val="-4"/>
          <w:sz w:val="20"/>
        </w:rPr>
        <w:t> </w:t>
      </w:r>
      <w:r>
        <w:rPr>
          <w:sz w:val="20"/>
        </w:rPr>
        <w:t>las</w:t>
      </w:r>
      <w:r>
        <w:rPr>
          <w:spacing w:val="-4"/>
          <w:sz w:val="20"/>
        </w:rPr>
        <w:t> </w:t>
      </w:r>
      <w:r>
        <w:rPr>
          <w:sz w:val="20"/>
        </w:rPr>
        <w:t>entidades</w:t>
      </w:r>
      <w:r>
        <w:rPr>
          <w:spacing w:val="-4"/>
          <w:sz w:val="20"/>
        </w:rPr>
        <w:t> </w:t>
      </w:r>
      <w:r>
        <w:rPr>
          <w:sz w:val="20"/>
        </w:rPr>
        <w:t>contratantes,</w:t>
      </w:r>
      <w:r>
        <w:rPr>
          <w:spacing w:val="-3"/>
          <w:sz w:val="20"/>
        </w:rPr>
        <w:t> </w:t>
      </w:r>
      <w:r>
        <w:rPr>
          <w:sz w:val="20"/>
        </w:rPr>
        <w:t>siempre</w:t>
      </w:r>
      <w:r>
        <w:rPr>
          <w:spacing w:val="-3"/>
          <w:sz w:val="20"/>
        </w:rPr>
        <w:t> </w:t>
      </w:r>
      <w:r>
        <w:rPr>
          <w:sz w:val="20"/>
        </w:rPr>
        <w:t>que</w:t>
      </w:r>
      <w:r>
        <w:rPr>
          <w:spacing w:val="-4"/>
          <w:sz w:val="20"/>
        </w:rPr>
        <w:t> </w:t>
      </w:r>
      <w:r>
        <w:rPr>
          <w:sz w:val="20"/>
        </w:rPr>
        <w:t>ello</w:t>
      </w:r>
      <w:r>
        <w:rPr>
          <w:spacing w:val="-4"/>
          <w:sz w:val="20"/>
        </w:rPr>
        <w:t> </w:t>
      </w:r>
      <w:r>
        <w:rPr>
          <w:sz w:val="20"/>
        </w:rPr>
        <w:t>no</w:t>
      </w:r>
      <w:r>
        <w:rPr>
          <w:spacing w:val="-4"/>
          <w:sz w:val="20"/>
        </w:rPr>
        <w:t> </w:t>
      </w:r>
      <w:r>
        <w:rPr>
          <w:sz w:val="20"/>
        </w:rPr>
        <w:t>tenga</w:t>
      </w:r>
      <w:r>
        <w:rPr>
          <w:spacing w:val="-3"/>
          <w:sz w:val="20"/>
        </w:rPr>
        <w:t> </w:t>
      </w:r>
      <w:r>
        <w:rPr>
          <w:sz w:val="20"/>
        </w:rPr>
        <w:t>un</w:t>
      </w:r>
      <w:r>
        <w:rPr>
          <w:spacing w:val="-4"/>
          <w:sz w:val="20"/>
        </w:rPr>
        <w:t> </w:t>
      </w:r>
      <w:r>
        <w:rPr>
          <w:sz w:val="20"/>
        </w:rPr>
        <w:t>efecto</w:t>
      </w:r>
      <w:r>
        <w:rPr>
          <w:spacing w:val="-4"/>
          <w:sz w:val="20"/>
        </w:rPr>
        <w:t> </w:t>
      </w:r>
      <w:r>
        <w:rPr>
          <w:sz w:val="20"/>
        </w:rPr>
        <w:t>discriminatorio.</w:t>
      </w:r>
    </w:p>
    <w:p>
      <w:pPr>
        <w:pStyle w:val="ListParagraph"/>
        <w:numPr>
          <w:ilvl w:val="0"/>
          <w:numId w:val="100"/>
        </w:numPr>
        <w:tabs>
          <w:tab w:pos="1647" w:val="left" w:leader="none"/>
        </w:tabs>
        <w:spacing w:line="249" w:lineRule="auto" w:before="6" w:after="0"/>
        <w:ind w:left="1074" w:right="1272" w:firstLine="340"/>
        <w:jc w:val="both"/>
        <w:rPr>
          <w:sz w:val="20"/>
        </w:rPr>
      </w:pPr>
      <w:r>
        <w:rPr>
          <w:sz w:val="20"/>
        </w:rPr>
        <w:t>Las entidades contratantes velarán durante todo el procedimiento de adjudicación por la salvaguarda de la libre competencia. Así, tanto ellos como la Junta Consultiva de Contratación Pública del Estado o, en su caso, los órganos consultivos o equivalentes en materia de contratación pública de las Comunidades Autónomas, y los órganos competentes para resolver las reclamaciones en materia de contratación a que se refiere el artículo 119  de este real decreto-ley, notificarán a la Comisión Nacional de los Mercados y la Competencia o, en su caso, a las autoridades de competencia autonómicas, cualesquiera hechos de los que tengan conocimiento en el ejercicio de sus funciones que puedan constituir una infracción a la legislación de defensa de la competencia. En particular, comunicarán cualquier indicio de acuerdo, decisión o recomendación colectiva, o práctica concertada o conscientemente paralela entre los licitadores, que tengan por objeto, produzca o pueda producir el efecto de impedir, restringir o falsear la competencia en el proceso de contratación.</w:t>
      </w:r>
    </w:p>
    <w:p>
      <w:pPr>
        <w:pStyle w:val="ListParagraph"/>
        <w:numPr>
          <w:ilvl w:val="0"/>
          <w:numId w:val="100"/>
        </w:numPr>
        <w:tabs>
          <w:tab w:pos="1707" w:val="left" w:leader="none"/>
        </w:tabs>
        <w:spacing w:line="249" w:lineRule="auto" w:before="10" w:after="0"/>
        <w:ind w:left="1074" w:right="1274" w:firstLine="340"/>
        <w:jc w:val="both"/>
        <w:rPr>
          <w:sz w:val="20"/>
        </w:rPr>
      </w:pPr>
      <w:r>
        <w:rPr>
          <w:sz w:val="20"/>
        </w:rPr>
        <w:t>Cualquiera que sea el procedimiento de adjudicación de un contrato no podrá rechazarse a ningún candidato o licitador por la sola circunstancia de su condición</w:t>
      </w:r>
      <w:r>
        <w:rPr>
          <w:spacing w:val="11"/>
          <w:sz w:val="20"/>
        </w:rPr>
        <w:t> </w:t>
      </w:r>
      <w:r>
        <w:rPr>
          <w:sz w:val="20"/>
        </w:rPr>
        <w:t>de persona física o</w:t>
      </w:r>
      <w:r>
        <w:rPr>
          <w:spacing w:val="-3"/>
          <w:sz w:val="20"/>
        </w:rPr>
        <w:t> </w:t>
      </w:r>
      <w:r>
        <w:rPr>
          <w:sz w:val="20"/>
        </w:rPr>
        <w:t>jurídica.</w:t>
      </w:r>
    </w:p>
    <w:p>
      <w:pPr>
        <w:pStyle w:val="BodyText"/>
        <w:spacing w:line="249" w:lineRule="auto" w:before="3"/>
        <w:ind w:right="1272"/>
      </w:pPr>
      <w:r>
        <w:rPr/>
        <w:t>No obstante, en el caso de los contratos de servicios, de obras, de concesión de servicios, de concesión de obras, así como en el de los contratos de suministro que tengan</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por objeto además servicios u operaciones de colocación e instalación, también podrá exigirse a las personas jurídicas que indiquen en sus ofertas, o en sus solicitudes de participación, el nombre y la cualificación profesional de las personas responsables de la ejecución del contrato de que se trate.</w:t>
      </w:r>
    </w:p>
    <w:p>
      <w:pPr>
        <w:pStyle w:val="BodyText"/>
        <w:spacing w:before="5"/>
        <w:ind w:left="0" w:firstLine="0"/>
        <w:jc w:val="left"/>
      </w:pPr>
    </w:p>
    <w:p>
      <w:pPr>
        <w:spacing w:before="0"/>
        <w:ind w:left="1074" w:right="0" w:firstLine="0"/>
        <w:jc w:val="both"/>
        <w:rPr>
          <w:i/>
          <w:sz w:val="20"/>
        </w:rPr>
      </w:pPr>
      <w:bookmarkStart w:name="Artículo 60. Cómputo de plazos." w:id="103"/>
      <w:bookmarkEnd w:id="103"/>
      <w:r>
        <w:rPr/>
      </w:r>
      <w:r>
        <w:rPr>
          <w:b/>
          <w:sz w:val="20"/>
        </w:rPr>
        <w:t>Artículo 60. </w:t>
      </w:r>
      <w:r>
        <w:rPr>
          <w:i/>
          <w:sz w:val="20"/>
        </w:rPr>
        <w:t>Cómputo de plazos.</w:t>
      </w:r>
    </w:p>
    <w:p>
      <w:pPr>
        <w:pStyle w:val="ListParagraph"/>
        <w:numPr>
          <w:ilvl w:val="0"/>
          <w:numId w:val="101"/>
        </w:numPr>
        <w:tabs>
          <w:tab w:pos="1675" w:val="left" w:leader="none"/>
        </w:tabs>
        <w:spacing w:line="249" w:lineRule="auto" w:before="118" w:after="0"/>
        <w:ind w:left="1074" w:right="1272" w:firstLine="340"/>
        <w:jc w:val="both"/>
        <w:rPr>
          <w:sz w:val="20"/>
        </w:rPr>
      </w:pPr>
      <w:r>
        <w:rPr>
          <w:sz w:val="20"/>
        </w:rPr>
        <w:t>Todos los plazos establecidos en este real decreto-ley, salvo que en la misma se indique que son de días hábiles, se entenderán referidos a días naturales. Si el último día del plazo fuera inhábil, se entenderá que aquel concluye el primer día hábil siguiente. No obstante, deberá indicarse en el anuncio que sirva como medio de convocatoria de licitación o en la invitación, cuando el medio de convocatoria hubiera sido un anuncio sobre la existencia de un sistema de clasificación, el día y hora en que finalice el plazo para la presentación de proposiciones o de solicitudes de</w:t>
      </w:r>
      <w:r>
        <w:rPr>
          <w:spacing w:val="-12"/>
          <w:sz w:val="20"/>
        </w:rPr>
        <w:t> </w:t>
      </w:r>
      <w:r>
        <w:rPr>
          <w:sz w:val="20"/>
        </w:rPr>
        <w:t>participación.</w:t>
      </w:r>
    </w:p>
    <w:p>
      <w:pPr>
        <w:pStyle w:val="ListParagraph"/>
        <w:numPr>
          <w:ilvl w:val="0"/>
          <w:numId w:val="101"/>
        </w:numPr>
        <w:tabs>
          <w:tab w:pos="1653" w:val="left" w:leader="none"/>
        </w:tabs>
        <w:spacing w:line="249" w:lineRule="auto" w:before="6" w:after="0"/>
        <w:ind w:left="1074" w:right="1273" w:firstLine="340"/>
        <w:jc w:val="both"/>
        <w:rPr>
          <w:sz w:val="20"/>
        </w:rPr>
      </w:pPr>
      <w:r>
        <w:rPr>
          <w:sz w:val="20"/>
        </w:rPr>
        <w:t>Al fijar los plazos de presentación de las solicitudes de participación y de las ofertas, las entidades contratantes tendrán especialmente en cuenta la complejidad del contrato y el tiempo que razonablemente pueda ser necesario para preparar aquellas, sin perjuicio de los plazos mínimos que se regulan en los artículos 82 a</w:t>
      </w:r>
      <w:r>
        <w:rPr>
          <w:spacing w:val="-11"/>
          <w:sz w:val="20"/>
        </w:rPr>
        <w:t> </w:t>
      </w:r>
      <w:r>
        <w:rPr>
          <w:sz w:val="20"/>
        </w:rPr>
        <w:t>87.</w:t>
      </w:r>
    </w:p>
    <w:p>
      <w:pPr>
        <w:pStyle w:val="ListParagraph"/>
        <w:numPr>
          <w:ilvl w:val="0"/>
          <w:numId w:val="101"/>
        </w:numPr>
        <w:tabs>
          <w:tab w:pos="1676" w:val="left" w:leader="none"/>
        </w:tabs>
        <w:spacing w:line="249" w:lineRule="auto" w:before="3" w:after="0"/>
        <w:ind w:left="1074" w:right="1272" w:firstLine="340"/>
        <w:jc w:val="both"/>
        <w:rPr>
          <w:sz w:val="20"/>
        </w:rPr>
      </w:pPr>
      <w:r>
        <w:rPr>
          <w:sz w:val="20"/>
        </w:rPr>
        <w:t>Cuando las ofertas solo puedan realizarse después de visitar los lugares o previa consulta «in situ» de los documentos que se adjunten a los pliegos de condiciones, los plazos para la presentación de ofertas, que serán superiores a los establecidos para cada procedimiento con carácter general, se fijarán de forma que todos los operadores económicos afectados puedan tener conocimiento de toda la información necesaria para elaborar las</w:t>
      </w:r>
      <w:r>
        <w:rPr>
          <w:spacing w:val="-3"/>
          <w:sz w:val="20"/>
        </w:rPr>
        <w:t> </w:t>
      </w:r>
      <w:r>
        <w:rPr>
          <w:sz w:val="20"/>
        </w:rPr>
        <w:t>mismas.</w:t>
      </w:r>
    </w:p>
    <w:p>
      <w:pPr>
        <w:pStyle w:val="ListParagraph"/>
        <w:numPr>
          <w:ilvl w:val="0"/>
          <w:numId w:val="101"/>
        </w:numPr>
        <w:tabs>
          <w:tab w:pos="1692" w:val="left" w:leader="none"/>
        </w:tabs>
        <w:spacing w:line="249" w:lineRule="auto" w:before="5" w:after="0"/>
        <w:ind w:left="1074" w:right="1273" w:firstLine="340"/>
        <w:jc w:val="both"/>
        <w:rPr>
          <w:sz w:val="20"/>
        </w:rPr>
      </w:pPr>
      <w:r>
        <w:rPr>
          <w:sz w:val="20"/>
        </w:rPr>
        <w:t>En los casos que se indican a continuación, las entidades contratantes</w:t>
      </w:r>
      <w:r>
        <w:rPr>
          <w:spacing w:val="18"/>
          <w:sz w:val="20"/>
        </w:rPr>
        <w:t> </w:t>
      </w:r>
      <w:r>
        <w:rPr>
          <w:sz w:val="20"/>
        </w:rPr>
        <w:t>deberán prorrogar el plazo para la presentación de ofertas, de forma que todos los operadores económicos afectados puedan tener conocimiento de toda la información necesaria para elaborar las</w:t>
      </w:r>
      <w:r>
        <w:rPr>
          <w:spacing w:val="-3"/>
          <w:sz w:val="20"/>
        </w:rPr>
        <w:t> </w:t>
      </w:r>
      <w:r>
        <w:rPr>
          <w:sz w:val="20"/>
        </w:rPr>
        <w:t>mismas:</w:t>
      </w:r>
    </w:p>
    <w:p>
      <w:pPr>
        <w:pStyle w:val="ListParagraph"/>
        <w:numPr>
          <w:ilvl w:val="0"/>
          <w:numId w:val="102"/>
        </w:numPr>
        <w:tabs>
          <w:tab w:pos="1663" w:val="left" w:leader="none"/>
        </w:tabs>
        <w:spacing w:line="249" w:lineRule="auto" w:before="123" w:after="0"/>
        <w:ind w:left="1074" w:right="1273" w:firstLine="340"/>
        <w:jc w:val="both"/>
        <w:rPr>
          <w:sz w:val="20"/>
        </w:rPr>
      </w:pPr>
      <w:r>
        <w:rPr>
          <w:sz w:val="20"/>
        </w:rPr>
        <w:t>Cuando, por cualquier razón, no se le hubiera facilitado a un operador económico, al menos seis días antes de que finalice el plazo fijado para la presentación de las ofertas, la información adicional a que se refiere el artículo 64.1, siempre y cuando la misma hubiera sido solicitada por el operador económico con antelación suficiente. En el caso del procedimiento abierto acelerado contemplado en el artículo 82.5, este plazo será de cuatro días.</w:t>
      </w:r>
    </w:p>
    <w:p>
      <w:pPr>
        <w:pStyle w:val="BodyText"/>
        <w:spacing w:line="249" w:lineRule="auto" w:before="5"/>
        <w:ind w:right="1274"/>
      </w:pPr>
      <w:r>
        <w:rPr/>
        <w:t>No obstante, si la información adicional no se hubiera solicitado con antelación suficiente o tuviera una importancia irrelevante a efectos de la preparación de ofertas admisibles, las entidades contratantes no estarán obligadas a prorrogar los plazos.</w:t>
      </w:r>
    </w:p>
    <w:p>
      <w:pPr>
        <w:pStyle w:val="BodyText"/>
        <w:spacing w:line="249" w:lineRule="auto" w:before="3"/>
        <w:ind w:right="1274"/>
      </w:pPr>
      <w:r>
        <w:rPr/>
        <w:t>En todo caso se considerará información relevante a los efectos de este artículo la siguiente:</w:t>
      </w:r>
    </w:p>
    <w:p>
      <w:pPr>
        <w:pStyle w:val="ListParagraph"/>
        <w:numPr>
          <w:ilvl w:val="0"/>
          <w:numId w:val="103"/>
        </w:numPr>
        <w:tabs>
          <w:tab w:pos="1583" w:val="left" w:leader="none"/>
        </w:tabs>
        <w:spacing w:line="240" w:lineRule="auto" w:before="121" w:after="0"/>
        <w:ind w:left="1582" w:right="0" w:hanging="169"/>
        <w:jc w:val="both"/>
        <w:rPr>
          <w:sz w:val="20"/>
        </w:rPr>
      </w:pPr>
      <w:r>
        <w:rPr>
          <w:sz w:val="20"/>
        </w:rPr>
        <w:t>º Cualquier información adicional transmitida a un</w:t>
      </w:r>
      <w:r>
        <w:rPr>
          <w:spacing w:val="-10"/>
          <w:sz w:val="20"/>
        </w:rPr>
        <w:t> </w:t>
      </w:r>
      <w:r>
        <w:rPr>
          <w:sz w:val="20"/>
        </w:rPr>
        <w:t>licitador.</w:t>
      </w:r>
    </w:p>
    <w:p>
      <w:pPr>
        <w:pStyle w:val="ListParagraph"/>
        <w:numPr>
          <w:ilvl w:val="0"/>
          <w:numId w:val="103"/>
        </w:numPr>
        <w:tabs>
          <w:tab w:pos="1583" w:val="left" w:leader="none"/>
        </w:tabs>
        <w:spacing w:line="249" w:lineRule="auto" w:before="10" w:after="0"/>
        <w:ind w:left="1074" w:right="1279" w:firstLine="340"/>
        <w:jc w:val="both"/>
        <w:rPr>
          <w:sz w:val="20"/>
        </w:rPr>
      </w:pPr>
      <w:r>
        <w:rPr>
          <w:sz w:val="20"/>
        </w:rPr>
        <w:t>º Cualquier información asociada a elementos referidos en los pliegos y documentos de la</w:t>
      </w:r>
      <w:r>
        <w:rPr>
          <w:spacing w:val="-1"/>
          <w:sz w:val="20"/>
        </w:rPr>
        <w:t> </w:t>
      </w:r>
      <w:r>
        <w:rPr>
          <w:sz w:val="20"/>
        </w:rPr>
        <w:t>contratación.</w:t>
      </w:r>
    </w:p>
    <w:p>
      <w:pPr>
        <w:pStyle w:val="ListParagraph"/>
        <w:numPr>
          <w:ilvl w:val="0"/>
          <w:numId w:val="102"/>
        </w:numPr>
        <w:tabs>
          <w:tab w:pos="1689" w:val="left" w:leader="none"/>
        </w:tabs>
        <w:spacing w:line="249" w:lineRule="auto" w:before="122" w:after="0"/>
        <w:ind w:left="1074" w:right="1274" w:firstLine="340"/>
        <w:jc w:val="both"/>
        <w:rPr>
          <w:sz w:val="20"/>
        </w:rPr>
      </w:pPr>
      <w:r>
        <w:rPr>
          <w:sz w:val="20"/>
        </w:rPr>
        <w:t>Cuando se introduzcan modificaciones significativas en los pliegos de condiciones que, de haber figurado inicialmente, hubieran permitido la admisión a la licitación de candidatos distintos o atraído a más participantes en el procedimiento de</w:t>
      </w:r>
      <w:r>
        <w:rPr>
          <w:spacing w:val="-29"/>
          <w:sz w:val="20"/>
        </w:rPr>
        <w:t> </w:t>
      </w:r>
      <w:r>
        <w:rPr>
          <w:sz w:val="20"/>
        </w:rPr>
        <w:t>licitación.</w:t>
      </w:r>
    </w:p>
    <w:p>
      <w:pPr>
        <w:pStyle w:val="BodyText"/>
        <w:ind w:left="1414" w:firstLine="0"/>
      </w:pPr>
      <w:r>
        <w:rPr/>
        <w:t>En todo caso se considerará modificación significativa de los pliegos la que afecte a:</w:t>
      </w:r>
    </w:p>
    <w:p>
      <w:pPr>
        <w:pStyle w:val="ListParagraph"/>
        <w:numPr>
          <w:ilvl w:val="0"/>
          <w:numId w:val="104"/>
        </w:numPr>
        <w:tabs>
          <w:tab w:pos="1583" w:val="left" w:leader="none"/>
        </w:tabs>
        <w:spacing w:line="240" w:lineRule="auto" w:before="130" w:after="0"/>
        <w:ind w:left="1582" w:right="0" w:hanging="169"/>
        <w:jc w:val="left"/>
        <w:rPr>
          <w:sz w:val="20"/>
        </w:rPr>
      </w:pPr>
      <w:r>
        <w:rPr>
          <w:sz w:val="20"/>
        </w:rPr>
        <w:t>º La clasificación</w:t>
      </w:r>
      <w:r>
        <w:rPr>
          <w:spacing w:val="-3"/>
          <w:sz w:val="20"/>
        </w:rPr>
        <w:t> </w:t>
      </w:r>
      <w:r>
        <w:rPr>
          <w:sz w:val="20"/>
        </w:rPr>
        <w:t>requerida.</w:t>
      </w:r>
    </w:p>
    <w:p>
      <w:pPr>
        <w:pStyle w:val="ListParagraph"/>
        <w:numPr>
          <w:ilvl w:val="0"/>
          <w:numId w:val="104"/>
        </w:numPr>
        <w:tabs>
          <w:tab w:pos="1583" w:val="left" w:leader="none"/>
        </w:tabs>
        <w:spacing w:line="240" w:lineRule="auto" w:before="10" w:after="0"/>
        <w:ind w:left="1582" w:right="0" w:hanging="169"/>
        <w:jc w:val="left"/>
        <w:rPr>
          <w:sz w:val="20"/>
        </w:rPr>
      </w:pPr>
      <w:r>
        <w:rPr>
          <w:sz w:val="20"/>
        </w:rPr>
        <w:t>º El importe y plazo del</w:t>
      </w:r>
      <w:r>
        <w:rPr>
          <w:spacing w:val="-5"/>
          <w:sz w:val="20"/>
        </w:rPr>
        <w:t> </w:t>
      </w:r>
      <w:r>
        <w:rPr>
          <w:sz w:val="20"/>
        </w:rPr>
        <w:t>contrato.</w:t>
      </w:r>
    </w:p>
    <w:p>
      <w:pPr>
        <w:pStyle w:val="ListParagraph"/>
        <w:numPr>
          <w:ilvl w:val="0"/>
          <w:numId w:val="104"/>
        </w:numPr>
        <w:tabs>
          <w:tab w:pos="1583" w:val="left" w:leader="none"/>
        </w:tabs>
        <w:spacing w:line="240" w:lineRule="auto" w:before="11" w:after="0"/>
        <w:ind w:left="1582" w:right="0" w:hanging="169"/>
        <w:jc w:val="left"/>
        <w:rPr>
          <w:sz w:val="20"/>
        </w:rPr>
      </w:pPr>
      <w:r>
        <w:rPr>
          <w:sz w:val="20"/>
        </w:rPr>
        <w:t>º Las obligaciones del</w:t>
      </w:r>
      <w:r>
        <w:rPr>
          <w:spacing w:val="-6"/>
          <w:sz w:val="20"/>
        </w:rPr>
        <w:t> </w:t>
      </w:r>
      <w:r>
        <w:rPr>
          <w:sz w:val="20"/>
        </w:rPr>
        <w:t>adjudicatario.</w:t>
      </w:r>
    </w:p>
    <w:p>
      <w:pPr>
        <w:pStyle w:val="ListParagraph"/>
        <w:numPr>
          <w:ilvl w:val="0"/>
          <w:numId w:val="104"/>
        </w:numPr>
        <w:tabs>
          <w:tab w:pos="1583" w:val="left" w:leader="none"/>
        </w:tabs>
        <w:spacing w:line="249" w:lineRule="auto" w:before="10" w:after="0"/>
        <w:ind w:left="1414" w:right="4934" w:firstLine="0"/>
        <w:jc w:val="left"/>
        <w:rPr>
          <w:sz w:val="20"/>
        </w:rPr>
      </w:pPr>
      <w:r>
        <w:rPr>
          <w:sz w:val="20"/>
        </w:rPr>
        <w:t>º El cambio o variación del objeto del contrato. 5.º Las prescripciones</w:t>
      </w:r>
      <w:r>
        <w:rPr>
          <w:spacing w:val="-5"/>
          <w:sz w:val="20"/>
        </w:rPr>
        <w:t> </w:t>
      </w:r>
      <w:r>
        <w:rPr>
          <w:sz w:val="20"/>
        </w:rPr>
        <w:t>técnicas.</w:t>
      </w:r>
    </w:p>
    <w:p>
      <w:pPr>
        <w:pStyle w:val="BodyText"/>
        <w:spacing w:line="249" w:lineRule="auto" w:before="121"/>
        <w:ind w:right="1276"/>
      </w:pPr>
      <w:r>
        <w:rPr/>
        <w:t>La duración de la prórroga será proporcional a la importancia de la información o de la modificación a que se refieren las letras a) y b) anteriores, respectivamente.</w:t>
      </w:r>
    </w:p>
    <w:p>
      <w:pPr>
        <w:pStyle w:val="ListParagraph"/>
        <w:numPr>
          <w:ilvl w:val="0"/>
          <w:numId w:val="104"/>
        </w:numPr>
        <w:tabs>
          <w:tab w:pos="1649" w:val="left" w:leader="none"/>
        </w:tabs>
        <w:spacing w:line="249" w:lineRule="auto" w:before="2" w:after="0"/>
        <w:ind w:left="1074" w:right="1273" w:firstLine="340"/>
        <w:jc w:val="both"/>
        <w:rPr>
          <w:sz w:val="20"/>
        </w:rPr>
      </w:pPr>
      <w:r>
        <w:rPr>
          <w:sz w:val="20"/>
        </w:rPr>
        <w:t>La presentación de proposiciones o la recepción de la documentación necesaria para la presentación de las mismas en cualquier procedimiento, no podrá suponer la exigencia de cantidad alguna a los</w:t>
      </w:r>
      <w:r>
        <w:rPr>
          <w:spacing w:val="-4"/>
          <w:sz w:val="20"/>
        </w:rPr>
        <w:t> </w:t>
      </w:r>
      <w:r>
        <w:rPr>
          <w:sz w:val="20"/>
        </w:rPr>
        <w:t>licitadores.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61. Normas aplicables a las com" w:id="104"/>
      <w:bookmarkEnd w:id="104"/>
      <w:r>
        <w:rPr/>
      </w:r>
      <w:r>
        <w:rPr>
          <w:b/>
          <w:sz w:val="20"/>
        </w:rPr>
        <w:t>Artículo 61. </w:t>
      </w:r>
      <w:r>
        <w:rPr>
          <w:i/>
          <w:sz w:val="20"/>
        </w:rPr>
        <w:t>Normas aplicables a las comunicaciones.</w:t>
      </w:r>
    </w:p>
    <w:p>
      <w:pPr>
        <w:pStyle w:val="ListParagraph"/>
        <w:numPr>
          <w:ilvl w:val="0"/>
          <w:numId w:val="105"/>
        </w:numPr>
        <w:tabs>
          <w:tab w:pos="1741" w:val="left" w:leader="none"/>
        </w:tabs>
        <w:spacing w:line="249" w:lineRule="auto" w:before="118" w:after="0"/>
        <w:ind w:left="1074" w:right="1273" w:firstLine="340"/>
        <w:jc w:val="both"/>
        <w:rPr>
          <w:sz w:val="20"/>
        </w:rPr>
      </w:pPr>
      <w:r>
        <w:rPr>
          <w:sz w:val="20"/>
        </w:rPr>
        <w:t>Con carácter general las entidades contratantes garantizarán que todas las comunicaciones y todos los intercambios de información contemplados en el presente real decreto-ley y, en particular, la transmisión electrónica se lleven a cabo utilizando medios de comunicación de conformidad con los requisitos establecidos en el presente</w:t>
      </w:r>
      <w:r>
        <w:rPr>
          <w:spacing w:val="-19"/>
          <w:sz w:val="20"/>
        </w:rPr>
        <w:t> </w:t>
      </w:r>
      <w:r>
        <w:rPr>
          <w:sz w:val="20"/>
        </w:rPr>
        <w:t>artículo.</w:t>
      </w:r>
    </w:p>
    <w:p>
      <w:pPr>
        <w:pStyle w:val="BodyText"/>
        <w:spacing w:line="249" w:lineRule="auto" w:before="3"/>
        <w:ind w:right="1272"/>
      </w:pPr>
      <w:r>
        <w:rPr/>
        <w:t>La tramitación de los procedimientos de adjudicación de contratos regulados en el presente real decreto-ley conllevará la práctica de las notificaciones y comunicaciones derivadas de los mismos por medios exclusivamente electrónicos.</w:t>
      </w:r>
    </w:p>
    <w:p>
      <w:pPr>
        <w:pStyle w:val="BodyText"/>
        <w:spacing w:line="249" w:lineRule="auto" w:before="3"/>
        <w:ind w:right="1274"/>
      </w:pPr>
      <w:r>
        <w:rPr/>
        <w:t>Sin perjuicio de lo establecido anteriormente, en los procedimientos de contratación de las entidades contratantes que pertenezcan al Sector Público, resultará de aplicación el apartado 1 de la disposición adicional decimoquinta de la Ley 9/2017, de 8 de noviembre, referido a la práctica de notificaciones.</w:t>
      </w:r>
    </w:p>
    <w:p>
      <w:pPr>
        <w:pStyle w:val="ListParagraph"/>
        <w:numPr>
          <w:ilvl w:val="0"/>
          <w:numId w:val="105"/>
        </w:numPr>
        <w:tabs>
          <w:tab w:pos="1693" w:val="left" w:leader="none"/>
        </w:tabs>
        <w:spacing w:line="249" w:lineRule="auto" w:before="3" w:after="0"/>
        <w:ind w:left="1074" w:right="1273" w:firstLine="340"/>
        <w:jc w:val="both"/>
        <w:rPr>
          <w:sz w:val="20"/>
        </w:rPr>
      </w:pPr>
      <w:r>
        <w:rPr>
          <w:sz w:val="20"/>
        </w:rPr>
        <w:t>Las herramientas y dispositivos que deberán utilizarse para la comunicación por medios electrónicos, así como sus características técnicas, deberán ser no discriminatorios, estar disponibles de forma general, ser compatibles con los productos informáticos de uso general, y no deberán restringir el acceso de los operadores económicos al procedimiento de licitación.</w:t>
      </w:r>
    </w:p>
    <w:p>
      <w:pPr>
        <w:pStyle w:val="ListParagraph"/>
        <w:numPr>
          <w:ilvl w:val="0"/>
          <w:numId w:val="105"/>
        </w:numPr>
        <w:tabs>
          <w:tab w:pos="1680" w:val="left" w:leader="none"/>
        </w:tabs>
        <w:spacing w:line="249" w:lineRule="auto" w:before="4" w:after="0"/>
        <w:ind w:left="1074" w:right="1274" w:firstLine="340"/>
        <w:jc w:val="both"/>
        <w:rPr>
          <w:sz w:val="20"/>
        </w:rPr>
      </w:pPr>
      <w:r>
        <w:rPr>
          <w:sz w:val="20"/>
        </w:rPr>
        <w:t>No obstante lo dispuesto en el apartado 1, las entidades contratantes no estarán obligadas a exigir la utilización de medios de comunicación electrónicos en el proceso de presentación de ofertas en los siguientes</w:t>
      </w:r>
      <w:r>
        <w:rPr>
          <w:spacing w:val="-7"/>
          <w:sz w:val="20"/>
        </w:rPr>
        <w:t> </w:t>
      </w:r>
      <w:r>
        <w:rPr>
          <w:sz w:val="20"/>
        </w:rPr>
        <w:t>casos:</w:t>
      </w:r>
    </w:p>
    <w:p>
      <w:pPr>
        <w:pStyle w:val="ListParagraph"/>
        <w:numPr>
          <w:ilvl w:val="0"/>
          <w:numId w:val="106"/>
        </w:numPr>
        <w:tabs>
          <w:tab w:pos="1676" w:val="left" w:leader="none"/>
        </w:tabs>
        <w:spacing w:line="249" w:lineRule="auto" w:before="122" w:after="0"/>
        <w:ind w:left="1074" w:right="1273" w:firstLine="340"/>
        <w:jc w:val="both"/>
        <w:rPr>
          <w:sz w:val="20"/>
        </w:rPr>
      </w:pPr>
      <w:r>
        <w:rPr>
          <w:sz w:val="20"/>
        </w:rPr>
        <w:t>Cuando debido al carácter especializado de la contratación la utilización de medios electrónicos de comunicación requeriría el uso de herramientas, dispositivos o formatos de archivo específicos que no estén en general disponibles o que no acepten los programas generalmente</w:t>
      </w:r>
      <w:r>
        <w:rPr>
          <w:spacing w:val="-2"/>
          <w:sz w:val="20"/>
        </w:rPr>
        <w:t> </w:t>
      </w:r>
      <w:r>
        <w:rPr>
          <w:sz w:val="20"/>
        </w:rPr>
        <w:t>disponibles.</w:t>
      </w:r>
    </w:p>
    <w:p>
      <w:pPr>
        <w:pStyle w:val="ListParagraph"/>
        <w:numPr>
          <w:ilvl w:val="0"/>
          <w:numId w:val="106"/>
        </w:numPr>
        <w:tabs>
          <w:tab w:pos="1721" w:val="left" w:leader="none"/>
        </w:tabs>
        <w:spacing w:line="249" w:lineRule="auto" w:before="4" w:after="0"/>
        <w:ind w:left="1074" w:right="1274" w:firstLine="340"/>
        <w:jc w:val="both"/>
        <w:rPr>
          <w:sz w:val="20"/>
        </w:rPr>
      </w:pPr>
      <w:r>
        <w:rPr>
          <w:sz w:val="20"/>
        </w:rPr>
        <w:t>Cuando las aplicaciones que soportan formatos de archivo adecuados para la descripción de las ofertas utilicen formatos de archivo que no puedan ser procesados por otros programas abiertos o generalmente disponibles o estén sujetas a un régimen de licencias de uso privativo y la entidad contratante no pueda ofrecerlas para su descarga o utilización a</w:t>
      </w:r>
      <w:r>
        <w:rPr>
          <w:spacing w:val="-3"/>
          <w:sz w:val="20"/>
        </w:rPr>
        <w:t> </w:t>
      </w:r>
      <w:r>
        <w:rPr>
          <w:sz w:val="20"/>
        </w:rPr>
        <w:t>distancia.</w:t>
      </w:r>
    </w:p>
    <w:p>
      <w:pPr>
        <w:pStyle w:val="ListParagraph"/>
        <w:numPr>
          <w:ilvl w:val="0"/>
          <w:numId w:val="106"/>
        </w:numPr>
        <w:tabs>
          <w:tab w:pos="1693" w:val="left" w:leader="none"/>
        </w:tabs>
        <w:spacing w:line="249" w:lineRule="auto" w:before="4" w:after="0"/>
        <w:ind w:left="1074" w:right="1274" w:firstLine="340"/>
        <w:jc w:val="both"/>
        <w:rPr>
          <w:sz w:val="20"/>
        </w:rPr>
      </w:pPr>
      <w:r>
        <w:rPr>
          <w:sz w:val="20"/>
        </w:rPr>
        <w:t>Cuando la utilización de comunicaciones electrónicas conlleve necesariamente la utilización de equipos ofimáticos especializados de los que no disponen generalmente las entidades</w:t>
      </w:r>
      <w:r>
        <w:rPr>
          <w:spacing w:val="-2"/>
          <w:sz w:val="20"/>
        </w:rPr>
        <w:t> </w:t>
      </w:r>
      <w:r>
        <w:rPr>
          <w:sz w:val="20"/>
        </w:rPr>
        <w:t>contratantes.</w:t>
      </w:r>
    </w:p>
    <w:p>
      <w:pPr>
        <w:pStyle w:val="ListParagraph"/>
        <w:numPr>
          <w:ilvl w:val="0"/>
          <w:numId w:val="106"/>
        </w:numPr>
        <w:tabs>
          <w:tab w:pos="1661" w:val="left" w:leader="none"/>
        </w:tabs>
        <w:spacing w:line="249" w:lineRule="auto" w:before="2" w:after="0"/>
        <w:ind w:left="1074" w:right="1274" w:firstLine="340"/>
        <w:jc w:val="both"/>
        <w:rPr>
          <w:sz w:val="20"/>
        </w:rPr>
      </w:pPr>
      <w:r>
        <w:rPr>
          <w:sz w:val="20"/>
        </w:rPr>
        <w:t>Cuando los pliegos de condiciones obliguen a la presentación de modelos físicos o a escala que no puedan ser transmitidos utilizando medios</w:t>
      </w:r>
      <w:r>
        <w:rPr>
          <w:spacing w:val="-12"/>
          <w:sz w:val="20"/>
        </w:rPr>
        <w:t> </w:t>
      </w:r>
      <w:r>
        <w:rPr>
          <w:sz w:val="20"/>
        </w:rPr>
        <w:t>electrónicos.</w:t>
      </w:r>
    </w:p>
    <w:p>
      <w:pPr>
        <w:pStyle w:val="BodyText"/>
        <w:spacing w:line="249" w:lineRule="auto" w:before="122"/>
        <w:ind w:right="1272"/>
      </w:pPr>
      <w:r>
        <w:rPr/>
        <w:t>Con respecto a los intercambios de información para los que no se utilicen medios de comunicación electrónicos de acuerdo con lo dispuesto en este apartado, la comunicación se realizará por correo o por cualquier otro medio apropiado o mediante una combinación de correo u otro medio apropiado y medios electrónicos. Los medios de comunicación que se utilicen en todo caso habrán de permitir acreditar fehacientemente la comunicación  realizada.</w:t>
      </w:r>
    </w:p>
    <w:p>
      <w:pPr>
        <w:pStyle w:val="BodyText"/>
        <w:spacing w:line="249" w:lineRule="auto" w:before="5"/>
        <w:ind w:right="1274"/>
      </w:pPr>
      <w:r>
        <w:rPr/>
        <w:t>Corresponde a las entidades contratantes que permitan, con arreglo al párrafo anterior del presente apartado, la utilización de medios de comunicación que no sean electrónicos en el proceso de presentación de ofertas, dejar constancia documental de los motivos para ello en un informe específico.</w:t>
      </w:r>
    </w:p>
    <w:p>
      <w:pPr>
        <w:pStyle w:val="ListParagraph"/>
        <w:numPr>
          <w:ilvl w:val="0"/>
          <w:numId w:val="105"/>
        </w:numPr>
        <w:tabs>
          <w:tab w:pos="1755" w:val="left" w:leader="none"/>
        </w:tabs>
        <w:spacing w:line="249" w:lineRule="auto" w:before="3" w:after="0"/>
        <w:ind w:left="1074" w:right="1274" w:firstLine="340"/>
        <w:jc w:val="both"/>
        <w:rPr>
          <w:sz w:val="20"/>
        </w:rPr>
      </w:pPr>
      <w:r>
        <w:rPr>
          <w:sz w:val="20"/>
        </w:rPr>
        <w:t>Las entidades contratantes tampoco estarán obligadas a exigir medios de comunicación electrónicos en el proceso de presentación de ofertas cuando el uso de medios de comunicación no electrónicos sea necesario bien por una violación de la seguridad de dichos medios de comunicación electrónicos o bien para proteger información especialmente sensible que requiera de un nivel tan alto de protección que no se pueda garantizar adecuadamente utilizando dispositivos y herramientas electrónicos de los que disponen en general los operadores económicos o de los que se pueda disponer a través de otros medios de acceso alternativos a los efectos del apartado 8</w:t>
      </w:r>
      <w:r>
        <w:rPr>
          <w:spacing w:val="-20"/>
          <w:sz w:val="20"/>
        </w:rPr>
        <w:t> </w:t>
      </w:r>
      <w:r>
        <w:rPr>
          <w:sz w:val="20"/>
        </w:rPr>
        <w:t>siguiente.</w:t>
      </w:r>
    </w:p>
    <w:p>
      <w:pPr>
        <w:pStyle w:val="BodyText"/>
        <w:spacing w:line="249" w:lineRule="auto" w:before="7"/>
        <w:ind w:right="1274"/>
      </w:pPr>
      <w:r>
        <w:rPr/>
        <w:t>Corresponde a las entidades contratantes que permitan, con arreglo al párrafo anterior del presente apartado, la utilización de medios de comunicación que no sean electrónicos en</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firstLine="0"/>
      </w:pPr>
      <w:r>
        <w:rPr/>
        <w:t>el proceso de presentación de ofertas, dejar constancia documental de los motivos para ello en un informe específico.</w:t>
      </w:r>
    </w:p>
    <w:p>
      <w:pPr>
        <w:pStyle w:val="ListParagraph"/>
        <w:numPr>
          <w:ilvl w:val="0"/>
          <w:numId w:val="105"/>
        </w:numPr>
        <w:tabs>
          <w:tab w:pos="1652" w:val="left" w:leader="none"/>
        </w:tabs>
        <w:spacing w:line="249" w:lineRule="auto" w:before="1" w:after="0"/>
        <w:ind w:left="1074" w:right="1273" w:firstLine="340"/>
        <w:jc w:val="both"/>
        <w:rPr>
          <w:sz w:val="20"/>
        </w:rPr>
      </w:pPr>
      <w:r>
        <w:rPr>
          <w:sz w:val="20"/>
        </w:rPr>
        <w:t>No obstante lo dispuesto en el apartado 1, podrá utilizarse la comunicación oral para comunicaciones distintas de las que se refieren a los elementos esenciales de un procedimiento de licitación, siempre que el contenido de la comunicación oral esté suficientemente documentado. A este fin, los elementos esenciales del procedimiento de licitación incluyen los pliegos de condiciones, las solicitudes de participación y las ofertas. En particular, las comunicaciones orales con los licitadores que puedan incidir sustancialmente en el contenido y la evaluación de las ofertas estarán documentadas de modo suficiente y a través de los medios adecuados, como los archivos o resúmenes escritos o sonoros de los principales elementos de la</w:t>
      </w:r>
      <w:r>
        <w:rPr>
          <w:spacing w:val="-5"/>
          <w:sz w:val="20"/>
        </w:rPr>
        <w:t> </w:t>
      </w:r>
      <w:r>
        <w:rPr>
          <w:sz w:val="20"/>
        </w:rPr>
        <w:t>comunicación.</w:t>
      </w:r>
    </w:p>
    <w:p>
      <w:pPr>
        <w:pStyle w:val="ListParagraph"/>
        <w:numPr>
          <w:ilvl w:val="0"/>
          <w:numId w:val="105"/>
        </w:numPr>
        <w:tabs>
          <w:tab w:pos="1756" w:val="left" w:leader="none"/>
        </w:tabs>
        <w:spacing w:line="249" w:lineRule="auto" w:before="8" w:after="0"/>
        <w:ind w:left="1074" w:right="1273" w:firstLine="340"/>
        <w:jc w:val="both"/>
        <w:rPr>
          <w:sz w:val="20"/>
        </w:rPr>
      </w:pPr>
      <w:r>
        <w:rPr>
          <w:sz w:val="20"/>
        </w:rPr>
        <w:t>Las entidades contratantes velarán por que en todas las comunicaciones, intercambios y almacenamiento de información se preserven la integridad de los datos y la confidencialidad de las ofertas y de las solicitudes de participación, de manera que las primeras no examinarán el contenido de las ofertas y solicitudes de participación hasta que haya expirado el plazo previsto para su presentación y hasta el momento fijado para su apertura.</w:t>
      </w:r>
    </w:p>
    <w:p>
      <w:pPr>
        <w:pStyle w:val="ListParagraph"/>
        <w:numPr>
          <w:ilvl w:val="0"/>
          <w:numId w:val="105"/>
        </w:numPr>
        <w:tabs>
          <w:tab w:pos="1724" w:val="left" w:leader="none"/>
        </w:tabs>
        <w:spacing w:line="249" w:lineRule="auto" w:before="5" w:after="0"/>
        <w:ind w:left="1074" w:right="1272" w:firstLine="340"/>
        <w:jc w:val="both"/>
        <w:rPr>
          <w:sz w:val="20"/>
        </w:rPr>
      </w:pPr>
      <w:r>
        <w:rPr>
          <w:sz w:val="20"/>
        </w:rPr>
        <w:t>Para los contratos de obras y en los concursos de proyectos las entidades contratantes podrán exigir el uso de herramientas electrónicas específicas, tales como herramientas de modelado digital de la información de la construcción, BIM, o herramientas similares. En estos casos las entidades contratantes ofrecerán medios de acceso alternativos según lo dispuesto en el apartado siguiente hasta el momento en que dichas herramientas estén generalmente</w:t>
      </w:r>
      <w:r>
        <w:rPr>
          <w:spacing w:val="-5"/>
          <w:sz w:val="20"/>
        </w:rPr>
        <w:t> </w:t>
      </w:r>
      <w:r>
        <w:rPr>
          <w:sz w:val="20"/>
        </w:rPr>
        <w:t>disponibles.</w:t>
      </w:r>
    </w:p>
    <w:p>
      <w:pPr>
        <w:pStyle w:val="ListParagraph"/>
        <w:numPr>
          <w:ilvl w:val="0"/>
          <w:numId w:val="105"/>
        </w:numPr>
        <w:tabs>
          <w:tab w:pos="1700" w:val="left" w:leader="none"/>
        </w:tabs>
        <w:spacing w:line="249" w:lineRule="auto" w:before="4" w:after="0"/>
        <w:ind w:left="1074" w:right="1273" w:firstLine="340"/>
        <w:jc w:val="both"/>
        <w:rPr>
          <w:sz w:val="20"/>
        </w:rPr>
      </w:pPr>
      <w:r>
        <w:rPr>
          <w:sz w:val="20"/>
        </w:rPr>
        <w:t>Cuando sea necesario las entidades contratantes podrán exigir la utilización de herramientas que no estén disponibles de forma general, a condición de que las mismas ofrezcan medios de acceso</w:t>
      </w:r>
      <w:r>
        <w:rPr>
          <w:spacing w:val="-5"/>
          <w:sz w:val="20"/>
        </w:rPr>
        <w:t> </w:t>
      </w:r>
      <w:r>
        <w:rPr>
          <w:sz w:val="20"/>
        </w:rPr>
        <w:t>alternativos.</w:t>
      </w:r>
    </w:p>
    <w:p>
      <w:pPr>
        <w:pStyle w:val="BodyText"/>
        <w:spacing w:line="249" w:lineRule="auto" w:before="3"/>
        <w:ind w:right="1273"/>
      </w:pPr>
      <w:r>
        <w:rPr/>
        <w:t>Se considerará que las entidades contratantes ofrecen medios de acceso alternativos cuando se dé alguna de las situaciones siguientes:</w:t>
      </w:r>
    </w:p>
    <w:p>
      <w:pPr>
        <w:pStyle w:val="ListParagraph"/>
        <w:numPr>
          <w:ilvl w:val="0"/>
          <w:numId w:val="107"/>
        </w:numPr>
        <w:tabs>
          <w:tab w:pos="1664" w:val="left" w:leader="none"/>
        </w:tabs>
        <w:spacing w:line="249" w:lineRule="auto" w:before="122" w:after="0"/>
        <w:ind w:left="1074" w:right="1274" w:firstLine="340"/>
        <w:jc w:val="both"/>
        <w:rPr>
          <w:sz w:val="20"/>
        </w:rPr>
      </w:pPr>
      <w:r>
        <w:rPr>
          <w:sz w:val="20"/>
        </w:rPr>
        <w:t>Cuando estas ofrezcan gratuitamente un acceso libre, directo y completo por medios electrónicos a esas herramientas y dispositivos a partir de la fecha de publicación del anuncio que sirva como medio de convocatoria de licitación o a partir de la fecha del envío de la invitación. En el anuncio que sirva de convocatoria de licitación o en la invitación se especificará la dirección de internet en la que puede accederse a esas herramientas y dispositivos.</w:t>
      </w:r>
    </w:p>
    <w:p>
      <w:pPr>
        <w:pStyle w:val="ListParagraph"/>
        <w:numPr>
          <w:ilvl w:val="0"/>
          <w:numId w:val="107"/>
        </w:numPr>
        <w:tabs>
          <w:tab w:pos="1656" w:val="left" w:leader="none"/>
        </w:tabs>
        <w:spacing w:line="249" w:lineRule="auto" w:before="4" w:after="0"/>
        <w:ind w:left="1074" w:right="1274" w:firstLine="340"/>
        <w:jc w:val="both"/>
        <w:rPr>
          <w:sz w:val="20"/>
        </w:rPr>
      </w:pPr>
      <w:r>
        <w:rPr>
          <w:sz w:val="20"/>
        </w:rPr>
        <w:t>Cuando estas garanticen que los licitadores que, por causa que no les sea imputable, no tengan acceso a las herramientas y dispositivos de que se trate, o no tengan la posibilidad de obtenerlos en el plazo fijado, puedan tener acceso al procedimiento de contratación utilizando mecanismos de acceso provisionales disponibles gratuitamente en línea.</w:t>
      </w:r>
    </w:p>
    <w:p>
      <w:pPr>
        <w:pStyle w:val="ListParagraph"/>
        <w:numPr>
          <w:ilvl w:val="0"/>
          <w:numId w:val="107"/>
        </w:numPr>
        <w:tabs>
          <w:tab w:pos="1637" w:val="left" w:leader="none"/>
        </w:tabs>
        <w:spacing w:line="240" w:lineRule="auto" w:before="5" w:after="0"/>
        <w:ind w:left="1636" w:right="0" w:hanging="223"/>
        <w:jc w:val="both"/>
        <w:rPr>
          <w:sz w:val="20"/>
        </w:rPr>
      </w:pPr>
      <w:r>
        <w:rPr>
          <w:sz w:val="20"/>
        </w:rPr>
        <w:t>Cuando estas admitan un canal alternativo para la presentación electrónica de</w:t>
      </w:r>
      <w:r>
        <w:rPr>
          <w:spacing w:val="-29"/>
          <w:sz w:val="20"/>
        </w:rPr>
        <w:t> </w:t>
      </w:r>
      <w:r>
        <w:rPr>
          <w:sz w:val="20"/>
        </w:rPr>
        <w:t>ofertas.</w:t>
      </w:r>
    </w:p>
    <w:p>
      <w:pPr>
        <w:pStyle w:val="ListParagraph"/>
        <w:numPr>
          <w:ilvl w:val="0"/>
          <w:numId w:val="105"/>
        </w:numPr>
        <w:tabs>
          <w:tab w:pos="1697" w:val="left" w:leader="none"/>
        </w:tabs>
        <w:spacing w:line="249" w:lineRule="auto" w:before="130" w:after="0"/>
        <w:ind w:left="1074" w:right="1273" w:firstLine="340"/>
        <w:jc w:val="both"/>
        <w:rPr>
          <w:sz w:val="20"/>
        </w:rPr>
      </w:pPr>
      <w:r>
        <w:rPr>
          <w:sz w:val="20"/>
        </w:rPr>
        <w:t>Además de los requisitos establecidos en el anexo IV, para las herramientas y dispositivos de transmisión y recepción electrónica de las ofertas y de recepción electrónica de las solicitudes de participación se aplicarán las normas</w:t>
      </w:r>
      <w:r>
        <w:rPr>
          <w:spacing w:val="-13"/>
          <w:sz w:val="20"/>
        </w:rPr>
        <w:t> </w:t>
      </w:r>
      <w:r>
        <w:rPr>
          <w:sz w:val="20"/>
        </w:rPr>
        <w:t>siguientes:</w:t>
      </w:r>
    </w:p>
    <w:p>
      <w:pPr>
        <w:pStyle w:val="ListParagraph"/>
        <w:numPr>
          <w:ilvl w:val="0"/>
          <w:numId w:val="108"/>
        </w:numPr>
        <w:tabs>
          <w:tab w:pos="1666" w:val="left" w:leader="none"/>
        </w:tabs>
        <w:spacing w:line="249" w:lineRule="auto" w:before="122" w:after="0"/>
        <w:ind w:left="1074" w:right="1273" w:firstLine="340"/>
        <w:jc w:val="both"/>
        <w:rPr>
          <w:sz w:val="20"/>
        </w:rPr>
      </w:pPr>
      <w:r>
        <w:rPr>
          <w:sz w:val="20"/>
        </w:rPr>
        <w:t>La información relativa a las especificaciones para la presentación electrónica de las ofertas y las solicitudes de participación, incluido el cifrado y la validación de la fecha, deberá estar a disposición de todas las partes</w:t>
      </w:r>
      <w:r>
        <w:rPr>
          <w:spacing w:val="-10"/>
          <w:sz w:val="20"/>
        </w:rPr>
        <w:t> </w:t>
      </w:r>
      <w:r>
        <w:rPr>
          <w:sz w:val="20"/>
        </w:rPr>
        <w:t>interesadas.</w:t>
      </w:r>
    </w:p>
    <w:p>
      <w:pPr>
        <w:pStyle w:val="ListParagraph"/>
        <w:numPr>
          <w:ilvl w:val="0"/>
          <w:numId w:val="108"/>
        </w:numPr>
        <w:tabs>
          <w:tab w:pos="1661" w:val="left" w:leader="none"/>
        </w:tabs>
        <w:spacing w:line="249" w:lineRule="auto" w:before="3" w:after="0"/>
        <w:ind w:left="1074" w:right="1273" w:firstLine="340"/>
        <w:jc w:val="both"/>
        <w:rPr>
          <w:sz w:val="20"/>
        </w:rPr>
      </w:pPr>
      <w:r>
        <w:rPr>
          <w:sz w:val="20"/>
        </w:rPr>
        <w:t>Las entidades contratantes deberán especificar el nivel de seguridad exigido para los medios de comunicación electrónicos utilizados en las diferentes fases de cada procedimiento de contratación que deberá ser proporcional a los riesgos asociados a los intercambios de información a</w:t>
      </w:r>
      <w:r>
        <w:rPr>
          <w:spacing w:val="-5"/>
          <w:sz w:val="20"/>
        </w:rPr>
        <w:t> </w:t>
      </w:r>
      <w:r>
        <w:rPr>
          <w:sz w:val="20"/>
        </w:rPr>
        <w:t>realizar.</w:t>
      </w:r>
    </w:p>
    <w:p>
      <w:pPr>
        <w:pStyle w:val="BodyText"/>
        <w:spacing w:line="249" w:lineRule="auto" w:before="3"/>
        <w:ind w:right="1272"/>
      </w:pPr>
      <w:r>
        <w:rPr/>
        <w:t>A estos efectos, las entidades contratantes podrán exigir el uso de una firma electrónica reconocida de acuerdo con la Ley 59/2003, de 19 de diciembre, de firma electrónica o de otros mecanismos que permitan garantizar la vinculación del firmante con los datos firmados y la integridad de la información intercambiada.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Mediante Orden del Ministerio de Hacienda se establecerán las condiciones de utilización de las firmas electrónicas en los procedimientos de contratación regulados en el presente real</w:t>
      </w:r>
      <w:r>
        <w:rPr>
          <w:spacing w:val="-2"/>
        </w:rPr>
        <w:t> </w:t>
      </w:r>
      <w:r>
        <w:rPr/>
        <w:t>decreto-ley.</w:t>
      </w:r>
    </w:p>
    <w:p>
      <w:pPr>
        <w:pStyle w:val="ListParagraph"/>
        <w:numPr>
          <w:ilvl w:val="0"/>
          <w:numId w:val="108"/>
        </w:numPr>
        <w:tabs>
          <w:tab w:pos="1651" w:val="left" w:leader="none"/>
        </w:tabs>
        <w:spacing w:line="249" w:lineRule="auto" w:before="2" w:after="0"/>
        <w:ind w:left="1074" w:right="1272" w:firstLine="340"/>
        <w:jc w:val="both"/>
        <w:rPr>
          <w:sz w:val="20"/>
        </w:rPr>
      </w:pPr>
      <w:r>
        <w:rPr>
          <w:sz w:val="20"/>
        </w:rPr>
        <w:t>En los procedimientos de adjudicación de contratos, el envío por medios electrónicos de las ofertas podrá hacerse en dos fases, transmitiendo primero la huella electrónica de la oferta, con cuya recepción se considerará efectuada su presentación a todos los efectos, y después la oferta propiamente dicha en un plazo máximo de 24 horas; de no efectuarse esta segunda remisión en el plazo indicado, se considerará que la oferta ha sido retirada. Se entiende por huella electrónica de la oferta el conjunto de datos cuyo proceso de generación garantiza que se relacionan de manera inequívoca con el contenido de la oferta propiamente dicha, y que permiten detectar posibles alteraciones del contenido de esta garantizando su integridad. Las copias electrónicas de los documentos que deban incorporarse al expediente, autenticadas con la firma electrónica reconocida del órgano habilitado para su recepción surtirán iguales efectos y tendrán igual valor que las copias compulsadas de esos documentos.</w:t>
      </w:r>
    </w:p>
    <w:p>
      <w:pPr>
        <w:pStyle w:val="ListParagraph"/>
        <w:numPr>
          <w:ilvl w:val="0"/>
          <w:numId w:val="108"/>
        </w:numPr>
        <w:tabs>
          <w:tab w:pos="1696" w:val="left" w:leader="none"/>
        </w:tabs>
        <w:spacing w:line="249" w:lineRule="auto" w:before="10" w:after="0"/>
        <w:ind w:left="1074" w:right="1271" w:firstLine="340"/>
        <w:jc w:val="both"/>
        <w:rPr>
          <w:sz w:val="20"/>
        </w:rPr>
      </w:pPr>
      <w:r>
        <w:rPr>
          <w:sz w:val="20"/>
        </w:rPr>
        <w:t>Los licitadores o candidatos que presenten sus documentos de forma electrónica podrán presentar a la entidad contratante, en soporte físico electrónico, una copia de seguridad de dichos documentos de acuerdo con los términos fijados mediante Orden del Ministro de Hacienda, y siempre de acuerdo con lo establecido a tal efecto por la entidad contratante.</w:t>
      </w:r>
    </w:p>
    <w:p>
      <w:pPr>
        <w:pStyle w:val="ListParagraph"/>
        <w:numPr>
          <w:ilvl w:val="0"/>
          <w:numId w:val="108"/>
        </w:numPr>
        <w:tabs>
          <w:tab w:pos="1721" w:val="left" w:leader="none"/>
        </w:tabs>
        <w:spacing w:line="249" w:lineRule="auto" w:before="4" w:after="0"/>
        <w:ind w:left="1074" w:right="1273" w:firstLine="340"/>
        <w:jc w:val="both"/>
        <w:rPr>
          <w:sz w:val="20"/>
        </w:rPr>
      </w:pPr>
      <w:r>
        <w:rPr>
          <w:sz w:val="20"/>
        </w:rPr>
        <w:t>Los formatos de los documentos electrónicos que integran los expedientes de contratación deberán ajustarse a especificaciones públicamente disponibles y de uso no sujeto a restricciones, que garanticen la libre y plena accesibilidad a los mismos por la entidad contratante, los órganos de fiscalización y control, los órganos jurisdiccionales y los interesados, durante el plazo que establece el artículo 124.2. En los procedimientos de adjudicación de contratos, los formatos admisibles deberán indicarse en el anuncio, en la invitación o en los pliegos de</w:t>
      </w:r>
      <w:r>
        <w:rPr>
          <w:spacing w:val="-8"/>
          <w:sz w:val="20"/>
        </w:rPr>
        <w:t> </w:t>
      </w:r>
      <w:r>
        <w:rPr>
          <w:sz w:val="20"/>
        </w:rPr>
        <w:t>condiciones.</w:t>
      </w:r>
    </w:p>
    <w:p>
      <w:pPr>
        <w:pStyle w:val="ListParagraph"/>
        <w:numPr>
          <w:ilvl w:val="0"/>
          <w:numId w:val="108"/>
        </w:numPr>
        <w:tabs>
          <w:tab w:pos="1648" w:val="left" w:leader="none"/>
        </w:tabs>
        <w:spacing w:line="249" w:lineRule="auto" w:before="6" w:after="0"/>
        <w:ind w:left="1074" w:right="1274" w:firstLine="340"/>
        <w:jc w:val="both"/>
        <w:rPr>
          <w:sz w:val="20"/>
        </w:rPr>
      </w:pPr>
      <w:r>
        <w:rPr>
          <w:sz w:val="20"/>
        </w:rPr>
        <w:t>Los programas y aplicaciones necesarios para la presentación electrónica de las ofertas y solicitudes de participación deberán ser de amplio uso, fácil acceso y no discriminatorios, o deberán ponerse a disposición de los interesados por la entidad contratante.</w:t>
      </w:r>
    </w:p>
    <w:p>
      <w:pPr>
        <w:pStyle w:val="ListParagraph"/>
        <w:numPr>
          <w:ilvl w:val="0"/>
          <w:numId w:val="108"/>
        </w:numPr>
        <w:tabs>
          <w:tab w:pos="1730" w:val="left" w:leader="none"/>
        </w:tabs>
        <w:spacing w:line="249" w:lineRule="auto" w:before="3" w:after="0"/>
        <w:ind w:left="1074" w:right="1271" w:firstLine="340"/>
        <w:jc w:val="both"/>
        <w:rPr>
          <w:sz w:val="20"/>
        </w:rPr>
      </w:pPr>
      <w:r>
        <w:rPr>
          <w:sz w:val="20"/>
        </w:rPr>
        <w:t>Los sistemas de comunicaciones y para el intercambio y almacenamiento de información deberán poder garantizar de forma razonable, según el estado de la técnica, la integridad de los datos transmitidos y que solo las personas o unidades competentes, en la fecha señalada para ello, puedan tener acceso a los mismos, o que en caso de quebrantamiento de esta prohibición de acceso, la violación pueda detectarse con claridad. Estos sistemas deberán asimismo ofrecer suficiente seguridad, de acuerdo con el estado de la técnica, frente a los virus informáticos y otro tipo de programas o códigos nocivos, pudiendo establecerse reglamentariamente otras medidas que, respetando los principios de confidencialidad e integridad de las ofertas e igualdad entre los licitadores, se dirijan a minimizar su incidencia en los</w:t>
      </w:r>
      <w:r>
        <w:rPr>
          <w:spacing w:val="-5"/>
          <w:sz w:val="20"/>
        </w:rPr>
        <w:t> </w:t>
      </w:r>
      <w:r>
        <w:rPr>
          <w:sz w:val="20"/>
        </w:rPr>
        <w:t>procedimientos.</w:t>
      </w:r>
    </w:p>
    <w:p>
      <w:pPr>
        <w:pStyle w:val="ListParagraph"/>
        <w:numPr>
          <w:ilvl w:val="0"/>
          <w:numId w:val="108"/>
        </w:numPr>
        <w:tabs>
          <w:tab w:pos="1682" w:val="left" w:leader="none"/>
        </w:tabs>
        <w:spacing w:line="249" w:lineRule="auto" w:before="8" w:after="0"/>
        <w:ind w:left="1074" w:right="1272" w:firstLine="340"/>
        <w:jc w:val="both"/>
        <w:rPr>
          <w:sz w:val="20"/>
        </w:rPr>
      </w:pPr>
      <w:r>
        <w:rPr>
          <w:sz w:val="20"/>
        </w:rPr>
        <w:t>Las aplicaciones que se utilicen para efectuar las comunicaciones, notificaciones y envíos documentales entre el licitador o contratista y la entidad contratante deberán poder acreditar la fecha y hora de su emisión o recepción, la integridad de su contenido y el remitente y destinatario de las mismas. En especial, estas aplicaciones deberán garantizar que se deja constancia de la hora y la fecha exactas de la recepción de las proposiciones o de las solicitudes de participación y de cuanta documentación deba presentarse ante la entidad</w:t>
      </w:r>
      <w:r>
        <w:rPr>
          <w:spacing w:val="-2"/>
          <w:sz w:val="20"/>
        </w:rPr>
        <w:t> </w:t>
      </w:r>
      <w:r>
        <w:rPr>
          <w:sz w:val="20"/>
        </w:rPr>
        <w:t>contratante.</w:t>
      </w:r>
    </w:p>
    <w:p>
      <w:pPr>
        <w:pStyle w:val="ListParagraph"/>
        <w:numPr>
          <w:ilvl w:val="0"/>
          <w:numId w:val="105"/>
        </w:numPr>
        <w:tabs>
          <w:tab w:pos="1752" w:val="left" w:leader="none"/>
        </w:tabs>
        <w:spacing w:line="249" w:lineRule="auto" w:before="126" w:after="0"/>
        <w:ind w:left="1074" w:right="1273" w:firstLine="340"/>
        <w:jc w:val="both"/>
        <w:rPr>
          <w:sz w:val="20"/>
        </w:rPr>
      </w:pPr>
      <w:r>
        <w:rPr>
          <w:sz w:val="20"/>
        </w:rPr>
        <w:t>Mediante Orden del Ministerio de Hacienda se definirán las especificaciones técnicas para la utilización de medios electrónicos en los procedimientos de contratación regulados  en el presente real</w:t>
      </w:r>
      <w:r>
        <w:rPr>
          <w:spacing w:val="-4"/>
          <w:sz w:val="20"/>
        </w:rPr>
        <w:t> </w:t>
      </w:r>
      <w:r>
        <w:rPr>
          <w:sz w:val="20"/>
        </w:rPr>
        <w:t>decreto-ley.</w:t>
      </w:r>
    </w:p>
    <w:p>
      <w:pPr>
        <w:pStyle w:val="BodyText"/>
        <w:spacing w:before="5"/>
        <w:ind w:left="0" w:firstLine="0"/>
        <w:jc w:val="left"/>
      </w:pPr>
    </w:p>
    <w:p>
      <w:pPr>
        <w:spacing w:before="0"/>
        <w:ind w:left="1074" w:right="0" w:firstLine="0"/>
        <w:jc w:val="both"/>
        <w:rPr>
          <w:i/>
          <w:sz w:val="20"/>
        </w:rPr>
      </w:pPr>
      <w:bookmarkStart w:name="Artículo 62. Participación previa de can" w:id="105"/>
      <w:bookmarkEnd w:id="105"/>
      <w:r>
        <w:rPr/>
      </w:r>
      <w:r>
        <w:rPr>
          <w:b/>
          <w:sz w:val="20"/>
        </w:rPr>
        <w:t>Artículo 62. </w:t>
      </w:r>
      <w:r>
        <w:rPr>
          <w:i/>
          <w:sz w:val="20"/>
        </w:rPr>
        <w:t>Participación previa de candidatos o licitadores.</w:t>
      </w:r>
    </w:p>
    <w:p>
      <w:pPr>
        <w:pStyle w:val="ListParagraph"/>
        <w:numPr>
          <w:ilvl w:val="0"/>
          <w:numId w:val="109"/>
        </w:numPr>
        <w:tabs>
          <w:tab w:pos="1675" w:val="left" w:leader="none"/>
        </w:tabs>
        <w:spacing w:line="249" w:lineRule="auto" w:before="118" w:after="0"/>
        <w:ind w:left="1074" w:right="1274" w:firstLine="340"/>
        <w:jc w:val="both"/>
        <w:rPr>
          <w:sz w:val="20"/>
        </w:rPr>
      </w:pPr>
      <w:r>
        <w:rPr>
          <w:sz w:val="20"/>
        </w:rPr>
        <w:t>Cuando un candidato o licitador, o una empresa vinculada a un candidato o a un licitador, haya asesorado a la entidad contratante, en el contexto del artículo 41, o haya participado</w:t>
      </w:r>
      <w:r>
        <w:rPr>
          <w:spacing w:val="10"/>
          <w:sz w:val="20"/>
        </w:rPr>
        <w:t> </w:t>
      </w:r>
      <w:r>
        <w:rPr>
          <w:sz w:val="20"/>
        </w:rPr>
        <w:t>de</w:t>
      </w:r>
      <w:r>
        <w:rPr>
          <w:spacing w:val="11"/>
          <w:sz w:val="20"/>
        </w:rPr>
        <w:t> </w:t>
      </w:r>
      <w:r>
        <w:rPr>
          <w:sz w:val="20"/>
        </w:rPr>
        <w:t>algún</w:t>
      </w:r>
      <w:r>
        <w:rPr>
          <w:spacing w:val="10"/>
          <w:sz w:val="20"/>
        </w:rPr>
        <w:t> </w:t>
      </w:r>
      <w:r>
        <w:rPr>
          <w:sz w:val="20"/>
        </w:rPr>
        <w:t>otro</w:t>
      </w:r>
      <w:r>
        <w:rPr>
          <w:spacing w:val="11"/>
          <w:sz w:val="20"/>
        </w:rPr>
        <w:t> </w:t>
      </w:r>
      <w:r>
        <w:rPr>
          <w:sz w:val="20"/>
        </w:rPr>
        <w:t>modo</w:t>
      </w:r>
      <w:r>
        <w:rPr>
          <w:spacing w:val="10"/>
          <w:sz w:val="20"/>
        </w:rPr>
        <w:t> </w:t>
      </w:r>
      <w:r>
        <w:rPr>
          <w:sz w:val="20"/>
        </w:rPr>
        <w:t>en</w:t>
      </w:r>
      <w:r>
        <w:rPr>
          <w:spacing w:val="11"/>
          <w:sz w:val="20"/>
        </w:rPr>
        <w:t> </w:t>
      </w:r>
      <w:r>
        <w:rPr>
          <w:sz w:val="20"/>
        </w:rPr>
        <w:t>la</w:t>
      </w:r>
      <w:r>
        <w:rPr>
          <w:spacing w:val="10"/>
          <w:sz w:val="20"/>
        </w:rPr>
        <w:t> </w:t>
      </w:r>
      <w:r>
        <w:rPr>
          <w:sz w:val="20"/>
        </w:rPr>
        <w:t>preparación</w:t>
      </w:r>
      <w:r>
        <w:rPr>
          <w:spacing w:val="11"/>
          <w:sz w:val="20"/>
        </w:rPr>
        <w:t> </w:t>
      </w:r>
      <w:r>
        <w:rPr>
          <w:sz w:val="20"/>
        </w:rPr>
        <w:t>del</w:t>
      </w:r>
      <w:r>
        <w:rPr>
          <w:spacing w:val="10"/>
          <w:sz w:val="20"/>
        </w:rPr>
        <w:t> </w:t>
      </w:r>
      <w:r>
        <w:rPr>
          <w:sz w:val="20"/>
        </w:rPr>
        <w:t>procedimiento</w:t>
      </w:r>
      <w:r>
        <w:rPr>
          <w:spacing w:val="11"/>
          <w:sz w:val="20"/>
        </w:rPr>
        <w:t> </w:t>
      </w:r>
      <w:r>
        <w:rPr>
          <w:sz w:val="20"/>
        </w:rPr>
        <w:t>de</w:t>
      </w:r>
      <w:r>
        <w:rPr>
          <w:spacing w:val="10"/>
          <w:sz w:val="20"/>
        </w:rPr>
        <w:t> </w:t>
      </w:r>
      <w:r>
        <w:rPr>
          <w:sz w:val="20"/>
        </w:rPr>
        <w:t>licitación,</w:t>
      </w:r>
      <w:r>
        <w:rPr>
          <w:spacing w:val="11"/>
          <w:sz w:val="20"/>
        </w:rPr>
        <w:t> </w:t>
      </w:r>
      <w:r>
        <w:rPr>
          <w:sz w:val="20"/>
        </w:rPr>
        <w:t>la</w:t>
      </w:r>
      <w:r>
        <w:rPr>
          <w:spacing w:val="10"/>
          <w:sz w:val="20"/>
        </w:rPr>
        <w:t> </w:t>
      </w:r>
      <w:r>
        <w:rPr>
          <w:sz w:val="20"/>
        </w:rPr>
        <w:t>entidad</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hanging="1"/>
      </w:pPr>
      <w:r>
        <w:rPr/>
        <w:t>contratante tomará las medidas adecuadas para garantizar que la participación de ese candidato o licitador no distorsione la competencia.</w:t>
      </w:r>
    </w:p>
    <w:p>
      <w:pPr>
        <w:pStyle w:val="ListParagraph"/>
        <w:numPr>
          <w:ilvl w:val="0"/>
          <w:numId w:val="109"/>
        </w:numPr>
        <w:tabs>
          <w:tab w:pos="1655" w:val="left" w:leader="none"/>
        </w:tabs>
        <w:spacing w:line="249" w:lineRule="auto" w:before="1" w:after="0"/>
        <w:ind w:left="1074" w:right="1273" w:firstLine="340"/>
        <w:jc w:val="both"/>
        <w:rPr>
          <w:sz w:val="20"/>
        </w:rPr>
      </w:pPr>
      <w:r>
        <w:rPr>
          <w:sz w:val="20"/>
        </w:rPr>
        <w:t>Las medidas a las que se refiere el apartado anterior incluirán la comunicación a los demás candidatos y licitadores de la información pertinente intercambiada en el marco de la participación del candidato o licitador en la preparación del procedimiento de contratación o como resultado de tal participación, así como el establecimiento de plazos adecuados para  la recepción de las ofertas. El candidato o el licitador en cuestión solo será excluido del procedimiento cuando no haya otro medio de garantizar el cumplimiento del principio de igualdad de</w:t>
      </w:r>
      <w:r>
        <w:rPr>
          <w:spacing w:val="-3"/>
          <w:sz w:val="20"/>
        </w:rPr>
        <w:t> </w:t>
      </w:r>
      <w:r>
        <w:rPr>
          <w:sz w:val="20"/>
        </w:rPr>
        <w:t>trato.</w:t>
      </w:r>
    </w:p>
    <w:p>
      <w:pPr>
        <w:pStyle w:val="ListParagraph"/>
        <w:numPr>
          <w:ilvl w:val="0"/>
          <w:numId w:val="109"/>
        </w:numPr>
        <w:tabs>
          <w:tab w:pos="1650" w:val="left" w:leader="none"/>
        </w:tabs>
        <w:spacing w:line="249" w:lineRule="auto" w:before="6" w:after="0"/>
        <w:ind w:left="1074" w:right="1274" w:firstLine="340"/>
        <w:jc w:val="both"/>
        <w:rPr>
          <w:sz w:val="20"/>
        </w:rPr>
      </w:pPr>
      <w:r>
        <w:rPr>
          <w:sz w:val="20"/>
        </w:rPr>
        <w:t>Antes de proceder a la exclusión, deberá darse audiencia al candidato o licitador que puede ser excluido, a fin de que justifique que su previa participación en la preparación del procedimiento de contratación no afecta negativamente a la</w:t>
      </w:r>
      <w:r>
        <w:rPr>
          <w:spacing w:val="-14"/>
          <w:sz w:val="20"/>
        </w:rPr>
        <w:t> </w:t>
      </w:r>
      <w:r>
        <w:rPr>
          <w:sz w:val="20"/>
        </w:rPr>
        <w:t>competencia.</w:t>
      </w:r>
    </w:p>
    <w:p>
      <w:pPr>
        <w:pStyle w:val="BodyText"/>
        <w:spacing w:before="5"/>
        <w:ind w:left="0" w:firstLine="0"/>
        <w:jc w:val="left"/>
      </w:pPr>
    </w:p>
    <w:p>
      <w:pPr>
        <w:spacing w:before="0"/>
        <w:ind w:left="1074" w:right="0" w:firstLine="0"/>
        <w:jc w:val="both"/>
        <w:rPr>
          <w:i/>
          <w:sz w:val="20"/>
        </w:rPr>
      </w:pPr>
      <w:bookmarkStart w:name="Artículo 63. Invitación a los candidatos" w:id="106"/>
      <w:bookmarkEnd w:id="106"/>
      <w:r>
        <w:rPr/>
      </w:r>
      <w:r>
        <w:rPr>
          <w:b/>
          <w:sz w:val="20"/>
        </w:rPr>
        <w:t>Artículo 63. </w:t>
      </w:r>
      <w:r>
        <w:rPr>
          <w:i/>
          <w:sz w:val="20"/>
        </w:rPr>
        <w:t>Invitación a los candidatos seleccionados.</w:t>
      </w:r>
    </w:p>
    <w:p>
      <w:pPr>
        <w:pStyle w:val="ListParagraph"/>
        <w:numPr>
          <w:ilvl w:val="0"/>
          <w:numId w:val="110"/>
        </w:numPr>
        <w:tabs>
          <w:tab w:pos="1647" w:val="left" w:leader="none"/>
        </w:tabs>
        <w:spacing w:line="249" w:lineRule="auto" w:before="118" w:after="0"/>
        <w:ind w:left="1074" w:right="1273" w:firstLine="340"/>
        <w:jc w:val="both"/>
        <w:rPr>
          <w:sz w:val="20"/>
        </w:rPr>
      </w:pPr>
      <w:r>
        <w:rPr>
          <w:sz w:val="20"/>
        </w:rPr>
        <w:t>En los procedimientos restringidos, en los diálogos competitivos, en los de asociación para la innovación y en los procedimientos de licitación con negociación, las entidades contratantes invitarán simultáneamente y por escrito a los candidatos seleccionados a presentar sus ofertas, a participar en el diálogo o a negociar con el contenido establecido en el anexo</w:t>
      </w:r>
      <w:r>
        <w:rPr>
          <w:spacing w:val="-3"/>
          <w:sz w:val="20"/>
        </w:rPr>
        <w:t> </w:t>
      </w:r>
      <w:r>
        <w:rPr>
          <w:sz w:val="20"/>
        </w:rPr>
        <w:t>V.</w:t>
      </w:r>
    </w:p>
    <w:p>
      <w:pPr>
        <w:pStyle w:val="BodyText"/>
        <w:spacing w:line="249" w:lineRule="auto" w:before="4"/>
        <w:ind w:right="1274"/>
      </w:pPr>
      <w:r>
        <w:rPr/>
        <w:t>Cuando se utilice el anuncio sobre la existencia de un sistema de clasificación como medio de convocatoria de licitación, las entidades contratantes invitarán simultáneamente y por escrito a aquellas empresas seleccionadas según lo indicado en el artículo 40 a que confirmen su interés respecto de ese concreto procedimiento de contratación.</w:t>
      </w:r>
    </w:p>
    <w:p>
      <w:pPr>
        <w:pStyle w:val="ListParagraph"/>
        <w:numPr>
          <w:ilvl w:val="0"/>
          <w:numId w:val="110"/>
        </w:numPr>
        <w:tabs>
          <w:tab w:pos="1677" w:val="left" w:leader="none"/>
        </w:tabs>
        <w:spacing w:line="249" w:lineRule="auto" w:before="3" w:after="0"/>
        <w:ind w:left="1074" w:right="1274" w:firstLine="340"/>
        <w:jc w:val="both"/>
        <w:rPr>
          <w:sz w:val="20"/>
        </w:rPr>
      </w:pPr>
      <w:r>
        <w:rPr>
          <w:sz w:val="20"/>
        </w:rPr>
        <w:t>Las invitaciones a que se refiere el apartado 1 del presente artículo incluirán una referencia a la dirección electrónica en la que pueda consultarse directamente por medios electrónicos los pliegos de condiciones. Las invitaciones deberán ir acompañadas de los pliegos de condiciones, cuando, de acuerdo con lo establecido en el artículo 43.3, esta documentación no haya sido objeto de un acceso libre, directo, completo y gratuito y no se haya puesto a disposición de otra manera. Además, las invitaciones mencionadas en el apartado</w:t>
      </w:r>
      <w:r>
        <w:rPr>
          <w:spacing w:val="-4"/>
          <w:sz w:val="20"/>
        </w:rPr>
        <w:t> </w:t>
      </w:r>
      <w:r>
        <w:rPr>
          <w:sz w:val="20"/>
        </w:rPr>
        <w:t>1</w:t>
      </w:r>
      <w:r>
        <w:rPr>
          <w:spacing w:val="-3"/>
          <w:sz w:val="20"/>
        </w:rPr>
        <w:t> </w:t>
      </w:r>
      <w:r>
        <w:rPr>
          <w:sz w:val="20"/>
        </w:rPr>
        <w:t>del</w:t>
      </w:r>
      <w:r>
        <w:rPr>
          <w:spacing w:val="-3"/>
          <w:sz w:val="20"/>
        </w:rPr>
        <w:t> </w:t>
      </w:r>
      <w:r>
        <w:rPr>
          <w:sz w:val="20"/>
        </w:rPr>
        <w:t>presente</w:t>
      </w:r>
      <w:r>
        <w:rPr>
          <w:spacing w:val="-3"/>
          <w:sz w:val="20"/>
        </w:rPr>
        <w:t> </w:t>
      </w:r>
      <w:r>
        <w:rPr>
          <w:sz w:val="20"/>
        </w:rPr>
        <w:t>artículo</w:t>
      </w:r>
      <w:r>
        <w:rPr>
          <w:spacing w:val="-4"/>
          <w:sz w:val="20"/>
        </w:rPr>
        <w:t> </w:t>
      </w:r>
      <w:r>
        <w:rPr>
          <w:sz w:val="20"/>
        </w:rPr>
        <w:t>deberán</w:t>
      </w:r>
      <w:r>
        <w:rPr>
          <w:spacing w:val="-3"/>
          <w:sz w:val="20"/>
        </w:rPr>
        <w:t> </w:t>
      </w:r>
      <w:r>
        <w:rPr>
          <w:sz w:val="20"/>
        </w:rPr>
        <w:t>incluir</w:t>
      </w:r>
      <w:r>
        <w:rPr>
          <w:spacing w:val="-3"/>
          <w:sz w:val="20"/>
        </w:rPr>
        <w:t> </w:t>
      </w:r>
      <w:r>
        <w:rPr>
          <w:sz w:val="20"/>
        </w:rPr>
        <w:t>la</w:t>
      </w:r>
      <w:r>
        <w:rPr>
          <w:spacing w:val="-3"/>
          <w:sz w:val="20"/>
        </w:rPr>
        <w:t> </w:t>
      </w:r>
      <w:r>
        <w:rPr>
          <w:sz w:val="20"/>
        </w:rPr>
        <w:t>información</w:t>
      </w:r>
      <w:r>
        <w:rPr>
          <w:spacing w:val="-4"/>
          <w:sz w:val="20"/>
        </w:rPr>
        <w:t> </w:t>
      </w:r>
      <w:r>
        <w:rPr>
          <w:sz w:val="20"/>
        </w:rPr>
        <w:t>indicada</w:t>
      </w:r>
      <w:r>
        <w:rPr>
          <w:spacing w:val="-3"/>
          <w:sz w:val="20"/>
        </w:rPr>
        <w:t> </w:t>
      </w:r>
      <w:r>
        <w:rPr>
          <w:sz w:val="20"/>
        </w:rPr>
        <w:t>en</w:t>
      </w:r>
      <w:r>
        <w:rPr>
          <w:spacing w:val="-3"/>
          <w:sz w:val="20"/>
        </w:rPr>
        <w:t> </w:t>
      </w:r>
      <w:r>
        <w:rPr>
          <w:sz w:val="20"/>
        </w:rPr>
        <w:t>el</w:t>
      </w:r>
      <w:r>
        <w:rPr>
          <w:spacing w:val="-3"/>
          <w:sz w:val="20"/>
        </w:rPr>
        <w:t> </w:t>
      </w:r>
      <w:r>
        <w:rPr>
          <w:sz w:val="20"/>
        </w:rPr>
        <w:t>anexo</w:t>
      </w:r>
      <w:r>
        <w:rPr>
          <w:spacing w:val="-4"/>
          <w:sz w:val="20"/>
        </w:rPr>
        <w:t> </w:t>
      </w:r>
      <w:r>
        <w:rPr>
          <w:sz w:val="20"/>
        </w:rPr>
        <w:t>V.</w:t>
      </w:r>
    </w:p>
    <w:p>
      <w:pPr>
        <w:pStyle w:val="BodyText"/>
        <w:spacing w:before="8"/>
        <w:ind w:left="0" w:firstLine="0"/>
        <w:jc w:val="left"/>
      </w:pPr>
    </w:p>
    <w:p>
      <w:pPr>
        <w:spacing w:before="0"/>
        <w:ind w:left="1074" w:right="0" w:firstLine="0"/>
        <w:jc w:val="both"/>
        <w:rPr>
          <w:i/>
          <w:sz w:val="20"/>
        </w:rPr>
      </w:pPr>
      <w:bookmarkStart w:name="Artículo 64. Información a los candidato" w:id="107"/>
      <w:bookmarkEnd w:id="107"/>
      <w:r>
        <w:rPr/>
      </w:r>
      <w:r>
        <w:rPr>
          <w:b/>
          <w:sz w:val="20"/>
        </w:rPr>
        <w:t>Artículo 64. </w:t>
      </w:r>
      <w:r>
        <w:rPr>
          <w:i/>
          <w:sz w:val="20"/>
        </w:rPr>
        <w:t>Información a los candidatos y licitadores.</w:t>
      </w:r>
    </w:p>
    <w:p>
      <w:pPr>
        <w:pStyle w:val="ListParagraph"/>
        <w:numPr>
          <w:ilvl w:val="0"/>
          <w:numId w:val="111"/>
        </w:numPr>
        <w:tabs>
          <w:tab w:pos="1659" w:val="left" w:leader="none"/>
        </w:tabs>
        <w:spacing w:line="249" w:lineRule="auto" w:before="118" w:after="0"/>
        <w:ind w:left="1074" w:right="1272" w:firstLine="340"/>
        <w:jc w:val="both"/>
        <w:rPr>
          <w:sz w:val="20"/>
        </w:rPr>
      </w:pPr>
      <w:r>
        <w:rPr>
          <w:sz w:val="20"/>
        </w:rPr>
        <w:t>Siempre que se haya solicitado con antelación suficiente, las entidades contratantes proporcionarán a todos los interesados en el procedimiento de licitación, a más tardar 6 días antes de que finalice el plazo fijado para la presentación de ofertas, aquella información adicional sobre los pliegos de condiciones y demás documentación complementaria que estos soliciten. Cuando se trate de contratos de obras, suministros o servicios el plazo de seis días se reducirá a cuatro días en el caso a que se refiere el artículo</w:t>
      </w:r>
      <w:r>
        <w:rPr>
          <w:spacing w:val="-18"/>
          <w:sz w:val="20"/>
        </w:rPr>
        <w:t> </w:t>
      </w:r>
      <w:r>
        <w:rPr>
          <w:sz w:val="20"/>
        </w:rPr>
        <w:t>82.5.</w:t>
      </w:r>
    </w:p>
    <w:p>
      <w:pPr>
        <w:pStyle w:val="ListParagraph"/>
        <w:numPr>
          <w:ilvl w:val="0"/>
          <w:numId w:val="111"/>
        </w:numPr>
        <w:tabs>
          <w:tab w:pos="1645" w:val="left" w:leader="none"/>
        </w:tabs>
        <w:spacing w:line="249" w:lineRule="auto" w:before="5" w:after="0"/>
        <w:ind w:left="1074" w:right="1271" w:firstLine="340"/>
        <w:jc w:val="both"/>
        <w:rPr>
          <w:sz w:val="20"/>
        </w:rPr>
      </w:pPr>
      <w:r>
        <w:rPr>
          <w:sz w:val="20"/>
        </w:rPr>
        <w:t>Las entidades contratantes informarán lo antes posible a cada candidato y licitador de las decisiones tomadas en relación con la celebración de un acuerdo marco, con la adjudicación del contrato o con la admisión a un sistema dinámico de adquisición, incluidos los motivos por los que hayan decidido no celebrar un acuerdo marco, no adjudicar un contrato para el que se haya efectuado una convocatoria de licitación o volver a iniciar el procedimiento, o no aplicar un sistema dinámico de</w:t>
      </w:r>
      <w:r>
        <w:rPr>
          <w:spacing w:val="-13"/>
          <w:sz w:val="20"/>
        </w:rPr>
        <w:t> </w:t>
      </w:r>
      <w:r>
        <w:rPr>
          <w:sz w:val="20"/>
        </w:rPr>
        <w:t>adquisición.</w:t>
      </w:r>
    </w:p>
    <w:p>
      <w:pPr>
        <w:pStyle w:val="ListParagraph"/>
        <w:numPr>
          <w:ilvl w:val="0"/>
          <w:numId w:val="111"/>
        </w:numPr>
        <w:tabs>
          <w:tab w:pos="1702" w:val="left" w:leader="none"/>
        </w:tabs>
        <w:spacing w:line="249" w:lineRule="auto" w:before="5" w:after="0"/>
        <w:ind w:left="1074" w:right="1274" w:firstLine="340"/>
        <w:jc w:val="both"/>
        <w:rPr>
          <w:sz w:val="20"/>
        </w:rPr>
      </w:pPr>
      <w:r>
        <w:rPr>
          <w:sz w:val="20"/>
        </w:rPr>
        <w:t>A petición del candidato o licitador de que se trate, las entidades contratantes comunicarán, lo antes posible, y en cualquier caso en un plazo de quince días contados a partir de la recepción de una solicitud por</w:t>
      </w:r>
      <w:r>
        <w:rPr>
          <w:spacing w:val="-8"/>
          <w:sz w:val="20"/>
        </w:rPr>
        <w:t> </w:t>
      </w:r>
      <w:r>
        <w:rPr>
          <w:sz w:val="20"/>
        </w:rPr>
        <w:t>escrito:</w:t>
      </w:r>
    </w:p>
    <w:p>
      <w:pPr>
        <w:pStyle w:val="ListParagraph"/>
        <w:numPr>
          <w:ilvl w:val="0"/>
          <w:numId w:val="112"/>
        </w:numPr>
        <w:tabs>
          <w:tab w:pos="1674" w:val="left" w:leader="none"/>
        </w:tabs>
        <w:spacing w:line="249" w:lineRule="auto" w:before="122" w:after="0"/>
        <w:ind w:left="1074" w:right="1273" w:firstLine="340"/>
        <w:jc w:val="both"/>
        <w:rPr>
          <w:sz w:val="20"/>
        </w:rPr>
      </w:pPr>
      <w:r>
        <w:rPr>
          <w:sz w:val="20"/>
        </w:rPr>
        <w:t>A todos los candidatos descartados, las razones por las que se ha desestimado su candidatura,</w:t>
      </w:r>
    </w:p>
    <w:p>
      <w:pPr>
        <w:pStyle w:val="ListParagraph"/>
        <w:numPr>
          <w:ilvl w:val="0"/>
          <w:numId w:val="112"/>
        </w:numPr>
        <w:tabs>
          <w:tab w:pos="1681" w:val="left" w:leader="none"/>
        </w:tabs>
        <w:spacing w:line="249" w:lineRule="auto" w:before="2" w:after="0"/>
        <w:ind w:left="1074" w:right="1273" w:firstLine="340"/>
        <w:jc w:val="both"/>
        <w:rPr>
          <w:sz w:val="20"/>
        </w:rPr>
      </w:pPr>
      <w:r>
        <w:rPr>
          <w:sz w:val="20"/>
        </w:rPr>
        <w:t>a todos los licitadores descartados, las razones por las que se ha desestimado su oferta, incluidos, en los casos contemplados en el artículo 45, apartados 6 y 7, los motivos  de su decisión de no equivalencia o de su decisión de que las obras, suministros o servicios no se ajustan a los requisitos de rendimiento o a las exigencias funcionales</w:t>
      </w:r>
      <w:r>
        <w:rPr>
          <w:spacing w:val="-21"/>
          <w:sz w:val="20"/>
        </w:rPr>
        <w:t> </w:t>
      </w:r>
      <w:r>
        <w:rPr>
          <w:sz w:val="20"/>
        </w:rPr>
        <w:t>requeridas,</w:t>
      </w:r>
    </w:p>
    <w:p>
      <w:pPr>
        <w:pStyle w:val="ListParagraph"/>
        <w:numPr>
          <w:ilvl w:val="0"/>
          <w:numId w:val="112"/>
        </w:numPr>
        <w:tabs>
          <w:tab w:pos="1700" w:val="left" w:leader="none"/>
        </w:tabs>
        <w:spacing w:line="249" w:lineRule="auto" w:before="3" w:after="0"/>
        <w:ind w:left="1074" w:right="1273" w:firstLine="340"/>
        <w:jc w:val="both"/>
        <w:rPr>
          <w:sz w:val="20"/>
        </w:rPr>
      </w:pPr>
      <w:r>
        <w:rPr>
          <w:sz w:val="20"/>
        </w:rPr>
        <w:t>a todo licitador que haya presentado una oferta admisible, las características y ventajas relativas de la oferta seleccionada, así como el nombre del adjudicatario o las partes en el acuerdo marco,</w:t>
      </w:r>
      <w:r>
        <w:rPr>
          <w:spacing w:val="-5"/>
          <w:sz w:val="20"/>
        </w:rPr>
        <w:t> </w:t>
      </w:r>
      <w:r>
        <w:rPr>
          <w:sz w:val="20"/>
        </w:rPr>
        <w:t>y</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12"/>
        </w:numPr>
        <w:tabs>
          <w:tab w:pos="1711" w:val="left" w:leader="none"/>
        </w:tabs>
        <w:spacing w:line="249" w:lineRule="auto" w:before="127" w:after="0"/>
        <w:ind w:left="1074" w:right="1275" w:firstLine="340"/>
        <w:jc w:val="both"/>
        <w:rPr>
          <w:sz w:val="20"/>
        </w:rPr>
      </w:pPr>
      <w:r>
        <w:rPr>
          <w:sz w:val="20"/>
        </w:rPr>
        <w:t>a todo licitador que haya presentado una oferta admisible, el desarrollo de las negociaciones y el diálogo con los</w:t>
      </w:r>
      <w:r>
        <w:rPr>
          <w:spacing w:val="-7"/>
          <w:sz w:val="20"/>
        </w:rPr>
        <w:t> </w:t>
      </w:r>
      <w:r>
        <w:rPr>
          <w:sz w:val="20"/>
        </w:rPr>
        <w:t>licitadores.</w:t>
      </w:r>
    </w:p>
    <w:p>
      <w:pPr>
        <w:pStyle w:val="ListParagraph"/>
        <w:numPr>
          <w:ilvl w:val="0"/>
          <w:numId w:val="111"/>
        </w:numPr>
        <w:tabs>
          <w:tab w:pos="1649" w:val="left" w:leader="none"/>
        </w:tabs>
        <w:spacing w:line="249" w:lineRule="auto" w:before="121" w:after="0"/>
        <w:ind w:left="1074" w:right="1273" w:firstLine="340"/>
        <w:jc w:val="both"/>
        <w:rPr>
          <w:sz w:val="20"/>
        </w:rPr>
      </w:pPr>
      <w:r>
        <w:rPr>
          <w:sz w:val="20"/>
        </w:rPr>
        <w:t>Las entidades contratantes podrán decidir no comunicar determinados datos relativos a la adjudicación del contrato, la celebración del acuerdo marco o la admisión a un sistema dinámico de adquisición, cuando su divulgación pudiera dificultar la aplicación del real decreto-ley, ser contraria al interés público, perjudicar los intereses comerciales legítimos de determinados</w:t>
      </w:r>
      <w:r>
        <w:rPr>
          <w:spacing w:val="-5"/>
          <w:sz w:val="20"/>
        </w:rPr>
        <w:t> </w:t>
      </w:r>
      <w:r>
        <w:rPr>
          <w:sz w:val="20"/>
        </w:rPr>
        <w:t>operadores,</w:t>
      </w:r>
      <w:r>
        <w:rPr>
          <w:spacing w:val="-5"/>
          <w:sz w:val="20"/>
        </w:rPr>
        <w:t> </w:t>
      </w:r>
      <w:r>
        <w:rPr>
          <w:sz w:val="20"/>
        </w:rPr>
        <w:t>públicos</w:t>
      </w:r>
      <w:r>
        <w:rPr>
          <w:spacing w:val="-4"/>
          <w:sz w:val="20"/>
        </w:rPr>
        <w:t> </w:t>
      </w:r>
      <w:r>
        <w:rPr>
          <w:sz w:val="20"/>
        </w:rPr>
        <w:t>o</w:t>
      </w:r>
      <w:r>
        <w:rPr>
          <w:spacing w:val="-5"/>
          <w:sz w:val="20"/>
        </w:rPr>
        <w:t> </w:t>
      </w:r>
      <w:r>
        <w:rPr>
          <w:sz w:val="20"/>
        </w:rPr>
        <w:t>privados,</w:t>
      </w:r>
      <w:r>
        <w:rPr>
          <w:spacing w:val="-5"/>
          <w:sz w:val="20"/>
        </w:rPr>
        <w:t> </w:t>
      </w:r>
      <w:r>
        <w:rPr>
          <w:sz w:val="20"/>
        </w:rPr>
        <w:t>o</w:t>
      </w:r>
      <w:r>
        <w:rPr>
          <w:spacing w:val="-4"/>
          <w:sz w:val="20"/>
        </w:rPr>
        <w:t> </w:t>
      </w:r>
      <w:r>
        <w:rPr>
          <w:sz w:val="20"/>
        </w:rPr>
        <w:t>perjudicar</w:t>
      </w:r>
      <w:r>
        <w:rPr>
          <w:spacing w:val="-5"/>
          <w:sz w:val="20"/>
        </w:rPr>
        <w:t> </w:t>
      </w:r>
      <w:r>
        <w:rPr>
          <w:sz w:val="20"/>
        </w:rPr>
        <w:t>la</w:t>
      </w:r>
      <w:r>
        <w:rPr>
          <w:spacing w:val="-4"/>
          <w:sz w:val="20"/>
        </w:rPr>
        <w:t> </w:t>
      </w:r>
      <w:r>
        <w:rPr>
          <w:sz w:val="20"/>
        </w:rPr>
        <w:t>competencia</w:t>
      </w:r>
      <w:r>
        <w:rPr>
          <w:spacing w:val="-4"/>
          <w:sz w:val="20"/>
        </w:rPr>
        <w:t> </w:t>
      </w:r>
      <w:r>
        <w:rPr>
          <w:sz w:val="20"/>
        </w:rPr>
        <w:t>leal</w:t>
      </w:r>
      <w:r>
        <w:rPr>
          <w:spacing w:val="-5"/>
          <w:sz w:val="20"/>
        </w:rPr>
        <w:t> </w:t>
      </w:r>
      <w:r>
        <w:rPr>
          <w:sz w:val="20"/>
        </w:rPr>
        <w:t>entre</w:t>
      </w:r>
      <w:r>
        <w:rPr>
          <w:spacing w:val="-4"/>
          <w:sz w:val="20"/>
        </w:rPr>
        <w:t> </w:t>
      </w:r>
      <w:r>
        <w:rPr>
          <w:sz w:val="20"/>
        </w:rPr>
        <w:t>ellos.</w:t>
      </w:r>
    </w:p>
    <w:p>
      <w:pPr>
        <w:pStyle w:val="BodyText"/>
        <w:spacing w:before="7"/>
        <w:ind w:left="0" w:firstLine="0"/>
        <w:jc w:val="left"/>
      </w:pPr>
    </w:p>
    <w:p>
      <w:pPr>
        <w:spacing w:before="0"/>
        <w:ind w:left="1074" w:right="0" w:firstLine="0"/>
        <w:jc w:val="both"/>
        <w:rPr>
          <w:i/>
          <w:sz w:val="20"/>
        </w:rPr>
      </w:pPr>
      <w:bookmarkStart w:name="Artículo 65. Contratos reservados." w:id="108"/>
      <w:bookmarkEnd w:id="108"/>
      <w:r>
        <w:rPr/>
      </w:r>
      <w:r>
        <w:rPr>
          <w:b/>
          <w:sz w:val="20"/>
        </w:rPr>
        <w:t>Artículo 65. </w:t>
      </w:r>
      <w:r>
        <w:rPr>
          <w:i/>
          <w:sz w:val="20"/>
        </w:rPr>
        <w:t>Contratos reservados.</w:t>
      </w:r>
    </w:p>
    <w:p>
      <w:pPr>
        <w:pStyle w:val="ListParagraph"/>
        <w:numPr>
          <w:ilvl w:val="0"/>
          <w:numId w:val="113"/>
        </w:numPr>
        <w:tabs>
          <w:tab w:pos="1748" w:val="left" w:leader="none"/>
        </w:tabs>
        <w:spacing w:line="249" w:lineRule="auto" w:before="118" w:after="0"/>
        <w:ind w:left="1074" w:right="1272" w:firstLine="340"/>
        <w:jc w:val="both"/>
        <w:rPr>
          <w:sz w:val="20"/>
        </w:rPr>
      </w:pPr>
      <w:r>
        <w:rPr>
          <w:sz w:val="20"/>
        </w:rPr>
        <w:t>Las entidades contratantes podrán reservar el derecho a participar en los procedimientos de adjudicación de determinados contratos o de determinados lotes de los mismos a Centros Especiales de Empleo de iniciativa social y a empresas de inserción reguladas en la Ley 44/2007, de 13 de diciembre, para la regulación del régimen de las empresas de inserción reguladas, respectivamente, en el texto refundido de la Ley General de derechos de las personas con discapacidad y de su inclusión social, aprobada mediante Real Decreto Legislativo 1/2013, de 29 de noviembre, y en la Ley 44/2007, de 13 de septiembre, para la regulación del régimen de las empresas de inserción, que cumplan con los requisitos establecidos en dicha normativa para tener esta consideración, o un porcentaje mínimo de reserva de la ejecución de estos contratos en el marco de programas de empleo protegido, a condición de que el porcentaje de trabajadores con discapacidad o en situación de exclusión social de los Centros Especiales de Empleo, de las empresas de inserción o de los programas sean los previstos en su normativa de referencia y, en todo caso, al menos  del 30 por</w:t>
      </w:r>
      <w:r>
        <w:rPr>
          <w:spacing w:val="-4"/>
          <w:sz w:val="20"/>
        </w:rPr>
        <w:t> </w:t>
      </w:r>
      <w:r>
        <w:rPr>
          <w:sz w:val="20"/>
        </w:rPr>
        <w:t>100.</w:t>
      </w:r>
    </w:p>
    <w:p>
      <w:pPr>
        <w:pStyle w:val="BodyText"/>
        <w:spacing w:line="249" w:lineRule="auto" w:before="11"/>
        <w:ind w:right="1274"/>
      </w:pPr>
      <w:r>
        <w:rPr/>
        <w:t>No obstante lo dispuesto en el párrafo anterior, mediante Acuerdo del Consejo de Ministros o del órgano competente en el ámbito de las Comunidades Autónomas y de las Entidades Locales, se fijarán porcentajes mínimos de reserva del derecho a participar en los procedimientos de adjudicación, de las entidades contratantes pertenecientes al Sector Público, de determinados contratos o de determinados lotes de los mismos a las entidades a que se refiere el párrafo anterior.</w:t>
      </w:r>
    </w:p>
    <w:p>
      <w:pPr>
        <w:pStyle w:val="BodyText"/>
        <w:spacing w:line="249" w:lineRule="auto" w:before="5"/>
        <w:ind w:right="1274"/>
      </w:pPr>
      <w:r>
        <w:rPr/>
        <w:t>En el referido Acuerdo del Consejo de Ministros o del órgano competente en el ámbito de las Comunidades Autónomas y de las Entidades Locales, se fijarán las condiciones mínimas para garantizar el cumplimiento de lo establecido en el primer párrafo de este apartado.</w:t>
      </w:r>
    </w:p>
    <w:p>
      <w:pPr>
        <w:pStyle w:val="BodyText"/>
        <w:spacing w:line="249" w:lineRule="auto"/>
        <w:ind w:right="1273"/>
      </w:pPr>
      <w:r>
        <w:rPr/>
        <w:t>El Acuerdo del Consejo de Ministros a que se refiere este apartado deberá adoptarse en el plazo máximo de un año a contar desde la entrada en vigor de este real decreto-ley. Si transcurrido este plazo el Acuerdo del Consejo de Ministros no se hubiera adoptado, las entidades contratantes del sector público estatal deberán aplicar el porcentaje mínimo de reserva del 7 por ciento, que se incrementará hasta un 10 por ciento a los cuatro años de la entrada en vigor de este real decreto-ley, sobre el importe global de los procedimientos de adjudicación de suministros y servicios incluidos en los códigos CPV recogidos en el anexo VI de la Ley 9/2017, de 8 de noviembre celebrados en el ejercicio anterior a aquel al que se refiera la reserva, en los términos indicados en el primer párrafo de este</w:t>
      </w:r>
      <w:r>
        <w:rPr>
          <w:spacing w:val="-26"/>
        </w:rPr>
        <w:t> </w:t>
      </w:r>
      <w:r>
        <w:rPr/>
        <w:t>apartado.</w:t>
      </w:r>
    </w:p>
    <w:p>
      <w:pPr>
        <w:pStyle w:val="ListParagraph"/>
        <w:numPr>
          <w:ilvl w:val="0"/>
          <w:numId w:val="113"/>
        </w:numPr>
        <w:tabs>
          <w:tab w:pos="1654" w:val="left" w:leader="none"/>
        </w:tabs>
        <w:spacing w:line="249" w:lineRule="auto" w:before="8" w:after="0"/>
        <w:ind w:left="1074" w:right="1274" w:firstLine="340"/>
        <w:jc w:val="both"/>
        <w:rPr>
          <w:sz w:val="20"/>
        </w:rPr>
      </w:pPr>
      <w:r>
        <w:rPr>
          <w:sz w:val="20"/>
        </w:rPr>
        <w:t>Sin perjuicio de lo establecido en el apartado 1, las entidades contratantes que sean poder adjudicador podrán reservar a determinadas organizaciones el derecho a participar en los procedimientos de licitación de los contratos de servicios de carácter social, cultural y de salud que enumera el anexo I bajo los códigos CPV 75121000-0, 75122000-7, 75123000-4, 79622000-0, 79624000-4, 79625000-1, 80110000-8, 80300000-7, 80420000-4, 80430000-7, 80511000-9, 80520000-5, 80590000-6, desde 85000000-9 hasta 85323000-9, 92500000-6, 92600000-7, 98133000-4 y</w:t>
      </w:r>
      <w:r>
        <w:rPr>
          <w:spacing w:val="-3"/>
          <w:sz w:val="20"/>
        </w:rPr>
        <w:t> </w:t>
      </w:r>
      <w:r>
        <w:rPr>
          <w:sz w:val="20"/>
        </w:rPr>
        <w:t>98133110-8.</w:t>
      </w:r>
    </w:p>
    <w:p>
      <w:pPr>
        <w:pStyle w:val="BodyText"/>
        <w:spacing w:line="249" w:lineRule="auto" w:before="6"/>
        <w:ind w:right="1274"/>
      </w:pPr>
      <w:r>
        <w:rPr/>
        <w:t>Las organizaciones a que se refiere el apartado 1 deberán cumplir todas y cada una de las condiciones siguientes:</w:t>
      </w:r>
    </w:p>
    <w:p>
      <w:pPr>
        <w:pStyle w:val="ListParagraph"/>
        <w:numPr>
          <w:ilvl w:val="0"/>
          <w:numId w:val="114"/>
        </w:numPr>
        <w:tabs>
          <w:tab w:pos="1677" w:val="left" w:leader="none"/>
        </w:tabs>
        <w:spacing w:line="249" w:lineRule="auto" w:before="121" w:after="0"/>
        <w:ind w:left="1074" w:right="1274" w:firstLine="340"/>
        <w:jc w:val="both"/>
        <w:rPr>
          <w:sz w:val="20"/>
        </w:rPr>
      </w:pPr>
      <w:r>
        <w:rPr>
          <w:sz w:val="20"/>
        </w:rPr>
        <w:t>Que su objetivo sea la realización de una misión de servicio público vinculada a la prestación de los servicios contemplados en el apartado</w:t>
      </w:r>
      <w:r>
        <w:rPr>
          <w:spacing w:val="-11"/>
          <w:sz w:val="20"/>
        </w:rPr>
        <w:t> </w:t>
      </w:r>
      <w:r>
        <w:rPr>
          <w:sz w:val="20"/>
        </w:rPr>
        <w:t>primero.</w:t>
      </w:r>
    </w:p>
    <w:p>
      <w:pPr>
        <w:pStyle w:val="ListParagraph"/>
        <w:numPr>
          <w:ilvl w:val="0"/>
          <w:numId w:val="114"/>
        </w:numPr>
        <w:tabs>
          <w:tab w:pos="1659" w:val="left" w:leader="none"/>
        </w:tabs>
        <w:spacing w:line="249" w:lineRule="auto" w:before="2" w:after="0"/>
        <w:ind w:left="1074" w:right="1273" w:firstLine="340"/>
        <w:jc w:val="both"/>
        <w:rPr>
          <w:sz w:val="20"/>
        </w:rPr>
      </w:pPr>
      <w:r>
        <w:rPr>
          <w:sz w:val="20"/>
        </w:rPr>
        <w:t>Que los beneficios se reinviertan con el fin de alcanzar el objetivo de la organización; o en caso de que se distribuyan o redistribuyan beneficios, la distribución o redistribución deberá realizarse con arreglo a criterios de</w:t>
      </w:r>
      <w:r>
        <w:rPr>
          <w:spacing w:val="-7"/>
          <w:sz w:val="20"/>
        </w:rPr>
        <w:t> </w:t>
      </w:r>
      <w:r>
        <w:rPr>
          <w:sz w:val="20"/>
        </w:rPr>
        <w:t>participación.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14"/>
        </w:numPr>
        <w:tabs>
          <w:tab w:pos="1695" w:val="left" w:leader="none"/>
        </w:tabs>
        <w:spacing w:line="249" w:lineRule="auto" w:before="127" w:after="0"/>
        <w:ind w:left="1074" w:right="1276" w:firstLine="340"/>
        <w:jc w:val="both"/>
        <w:rPr>
          <w:sz w:val="20"/>
        </w:rPr>
      </w:pPr>
      <w:r>
        <w:rPr>
          <w:sz w:val="20"/>
        </w:rPr>
        <w:t>Que las estructuras de dirección o propiedad de la organización que ejecute el contrato se basen en la propiedad de los empleados, o en principios de participación, o exijan la participación activa de los empleados, los usuarios o las partes</w:t>
      </w:r>
      <w:r>
        <w:rPr>
          <w:spacing w:val="-40"/>
          <w:sz w:val="20"/>
        </w:rPr>
        <w:t> </w:t>
      </w:r>
      <w:r>
        <w:rPr>
          <w:sz w:val="20"/>
        </w:rPr>
        <w:t>interesadas.</w:t>
      </w:r>
    </w:p>
    <w:p>
      <w:pPr>
        <w:pStyle w:val="ListParagraph"/>
        <w:numPr>
          <w:ilvl w:val="0"/>
          <w:numId w:val="114"/>
        </w:numPr>
        <w:tabs>
          <w:tab w:pos="1677" w:val="left" w:leader="none"/>
        </w:tabs>
        <w:spacing w:line="249" w:lineRule="auto" w:before="2" w:after="0"/>
        <w:ind w:left="1074" w:right="1272" w:firstLine="340"/>
        <w:jc w:val="both"/>
        <w:rPr>
          <w:sz w:val="20"/>
        </w:rPr>
      </w:pPr>
      <w:r>
        <w:rPr>
          <w:sz w:val="20"/>
        </w:rPr>
        <w:t>Que el poder adjudicador de que se trate no haya adjudicado a la organización un contrato para los servicios en cuestión con arreglo al presente artículo en los tres años precedentes.</w:t>
      </w:r>
    </w:p>
    <w:p>
      <w:pPr>
        <w:pStyle w:val="BodyText"/>
        <w:spacing w:before="123"/>
        <w:ind w:left="1414" w:firstLine="0"/>
        <w:jc w:val="left"/>
      </w:pPr>
      <w:r>
        <w:rPr/>
        <w:t>La duración máxima del contrato que se adjudique no excederá de tres años.</w:t>
      </w:r>
    </w:p>
    <w:p>
      <w:pPr>
        <w:pStyle w:val="ListParagraph"/>
        <w:numPr>
          <w:ilvl w:val="0"/>
          <w:numId w:val="113"/>
        </w:numPr>
        <w:tabs>
          <w:tab w:pos="1637" w:val="left" w:leader="none"/>
        </w:tabs>
        <w:spacing w:line="240" w:lineRule="auto" w:before="10" w:after="0"/>
        <w:ind w:left="1636" w:right="0" w:hanging="223"/>
        <w:jc w:val="left"/>
        <w:rPr>
          <w:sz w:val="20"/>
        </w:rPr>
      </w:pPr>
      <w:r>
        <w:rPr>
          <w:sz w:val="20"/>
        </w:rPr>
        <w:t>En la convocatoria de licitación se hará referencia al presente</w:t>
      </w:r>
      <w:r>
        <w:rPr>
          <w:spacing w:val="-12"/>
          <w:sz w:val="20"/>
        </w:rPr>
        <w:t> </w:t>
      </w:r>
      <w:r>
        <w:rPr>
          <w:sz w:val="20"/>
        </w:rPr>
        <w:t>artículo.</w:t>
      </w:r>
    </w:p>
    <w:p>
      <w:pPr>
        <w:pStyle w:val="BodyText"/>
        <w:spacing w:before="0"/>
        <w:ind w:left="0" w:firstLine="0"/>
        <w:jc w:val="left"/>
        <w:rPr>
          <w:sz w:val="21"/>
        </w:rPr>
      </w:pPr>
    </w:p>
    <w:p>
      <w:pPr>
        <w:spacing w:before="1"/>
        <w:ind w:left="1074" w:right="0" w:firstLine="0"/>
        <w:jc w:val="both"/>
        <w:rPr>
          <w:i/>
          <w:sz w:val="20"/>
        </w:rPr>
      </w:pPr>
      <w:bookmarkStart w:name="Artículo 66. Criterios de adjudicación d" w:id="109"/>
      <w:bookmarkEnd w:id="109"/>
      <w:r>
        <w:rPr/>
      </w:r>
      <w:r>
        <w:rPr>
          <w:b/>
          <w:sz w:val="20"/>
        </w:rPr>
        <w:t>Artículo 66. </w:t>
      </w:r>
      <w:r>
        <w:rPr>
          <w:i/>
          <w:sz w:val="20"/>
        </w:rPr>
        <w:t>Criterios de adjudicación del contrato.</w:t>
      </w:r>
    </w:p>
    <w:p>
      <w:pPr>
        <w:pStyle w:val="ListParagraph"/>
        <w:numPr>
          <w:ilvl w:val="0"/>
          <w:numId w:val="115"/>
        </w:numPr>
        <w:tabs>
          <w:tab w:pos="1656" w:val="left" w:leader="none"/>
        </w:tabs>
        <w:spacing w:line="249" w:lineRule="auto" w:before="117" w:after="0"/>
        <w:ind w:left="1074" w:right="1273" w:firstLine="340"/>
        <w:jc w:val="both"/>
        <w:rPr>
          <w:sz w:val="20"/>
        </w:rPr>
      </w:pPr>
      <w:r>
        <w:rPr>
          <w:sz w:val="20"/>
        </w:rPr>
        <w:t>La adjudicación de los contratos se realizará utilizando una pluralidad de criterios de adjudicación en base a la mejor relación</w:t>
      </w:r>
      <w:r>
        <w:rPr>
          <w:spacing w:val="-7"/>
          <w:sz w:val="20"/>
        </w:rPr>
        <w:t> </w:t>
      </w:r>
      <w:r>
        <w:rPr>
          <w:sz w:val="20"/>
        </w:rPr>
        <w:t>calidad-precio.</w:t>
      </w:r>
    </w:p>
    <w:p>
      <w:pPr>
        <w:pStyle w:val="BodyText"/>
        <w:spacing w:line="249" w:lineRule="auto"/>
        <w:ind w:right="1274"/>
      </w:pPr>
      <w:r>
        <w:rPr/>
        <w:t>Previa justificación en el expediente, los contratos se podrán adjudicar con arreglo a criterios basados en un planteamiento que atienda a la mejor relación coste-eficacia, sobre la base del precio o coste, como el cálculo del coste del ciclo de vida con arreglo al artículo 67.</w:t>
      </w:r>
    </w:p>
    <w:p>
      <w:pPr>
        <w:pStyle w:val="ListParagraph"/>
        <w:numPr>
          <w:ilvl w:val="0"/>
          <w:numId w:val="115"/>
        </w:numPr>
        <w:tabs>
          <w:tab w:pos="1681" w:val="left" w:leader="none"/>
        </w:tabs>
        <w:spacing w:line="249" w:lineRule="auto" w:before="2" w:after="0"/>
        <w:ind w:left="1074" w:right="1274" w:firstLine="340"/>
        <w:jc w:val="both"/>
        <w:rPr>
          <w:sz w:val="20"/>
        </w:rPr>
      </w:pPr>
      <w:r>
        <w:rPr>
          <w:sz w:val="20"/>
        </w:rPr>
        <w:t>La mejor relación calidad-precio se evaluará con arreglo a criterios económicos y cualitativos.</w:t>
      </w:r>
    </w:p>
    <w:p>
      <w:pPr>
        <w:pStyle w:val="BodyText"/>
        <w:spacing w:line="249" w:lineRule="auto"/>
        <w:ind w:right="1272"/>
      </w:pPr>
      <w:r>
        <w:rPr/>
        <w:t>Los criterios cualitativos que establezca la entidad contratante para evaluar la mejor relación calidad-precio podrán incluir aspectos medioambientales o sociales, vinculados al objeto del contrato en la forma establecida en el apartado 6 de este artículo, que podrán ser, entre otros, los siguientes:</w:t>
      </w:r>
    </w:p>
    <w:p>
      <w:pPr>
        <w:pStyle w:val="ListParagraph"/>
        <w:numPr>
          <w:ilvl w:val="0"/>
          <w:numId w:val="116"/>
        </w:numPr>
        <w:tabs>
          <w:tab w:pos="1582" w:val="left" w:leader="none"/>
        </w:tabs>
        <w:spacing w:line="249" w:lineRule="auto" w:before="123" w:after="0"/>
        <w:ind w:left="1074" w:right="1273" w:firstLine="340"/>
        <w:jc w:val="both"/>
        <w:rPr>
          <w:sz w:val="20"/>
        </w:rPr>
      </w:pPr>
      <w:r>
        <w:rPr>
          <w:sz w:val="20"/>
        </w:rPr>
        <w:t>º La calidad, incluido el valor técnico, las características estéticas y funcionales, la accesibilidad, el diseño universal o diseño para todas las personas usuarias, las características sociales, medioambientales e innovadoras, y la comercialización y sus condiciones.</w:t>
      </w:r>
    </w:p>
    <w:p>
      <w:pPr>
        <w:pStyle w:val="BodyText"/>
        <w:spacing w:line="249" w:lineRule="auto" w:before="4"/>
        <w:ind w:right="1272"/>
      </w:pPr>
      <w:r>
        <w:rPr/>
        <w:t>Las características medioambientales se referirán, entre otras, a la reducción del nivel de emisión de gases de efecto invernadero y otros contaminantes atmosféricos; al empleo de medidas de ahorro y eficiencia energética y a la utilización de energía procedentes de fuentes renovables durante la ejecución del contrato; y al mantenimiento o mejora de los recursos naturales que puedan verse afectados por la ejecución del</w:t>
      </w:r>
      <w:r>
        <w:rPr>
          <w:spacing w:val="-18"/>
        </w:rPr>
        <w:t> </w:t>
      </w:r>
      <w:r>
        <w:rPr/>
        <w:t>contrato.</w:t>
      </w:r>
    </w:p>
    <w:p>
      <w:pPr>
        <w:pStyle w:val="BodyText"/>
        <w:spacing w:line="249" w:lineRule="auto" w:before="4"/>
        <w:ind w:right="1272"/>
      </w:pPr>
      <w:r>
        <w:rPr/>
        <w:t>Las características sociales del contrato se referirán, entre otras, a las siguientes finalidades: al fomento de la integración social de personas con discapacidad, personas desfavorecidas o miembros de grupos vulnerables entre las personas asignadas a la ejecución del contrato y, en general, la inserción sociolaboral de personas con discapacidad o en situación o riesgo de exclusión social; la subcontratación con Centros Especiales de Empleo o Empresas de Inserción; los planes de igualdad de género que se apliquen en la ejecución del contrato y, en general, la igualdad entre mujeres y hombres; el fomento de la contratación femenina; la conciliación de la vida laboral, personal y familiar; la mejora de las condiciones laborales y salariales; la estabilidad en el empleo; la contratación de un mayor número de personas para la ejecución del contrato; la formación y la protección de la salud y la seguridad en el trabajo; la aplicación de criterios éticos y de responsabilidad social a la prestación contractual; o los criterios referidos al suministro o a la utilización de productos basados en un comercio equitativo durante la ejecución del</w:t>
      </w:r>
      <w:r>
        <w:rPr>
          <w:spacing w:val="-15"/>
        </w:rPr>
        <w:t> </w:t>
      </w:r>
      <w:r>
        <w:rPr/>
        <w:t>contrato.</w:t>
      </w:r>
    </w:p>
    <w:p>
      <w:pPr>
        <w:pStyle w:val="ListParagraph"/>
        <w:numPr>
          <w:ilvl w:val="0"/>
          <w:numId w:val="116"/>
        </w:numPr>
        <w:tabs>
          <w:tab w:pos="1583" w:val="left" w:leader="none"/>
        </w:tabs>
        <w:spacing w:line="249" w:lineRule="auto" w:before="10" w:after="0"/>
        <w:ind w:left="1074" w:right="1275" w:firstLine="340"/>
        <w:jc w:val="both"/>
        <w:rPr>
          <w:sz w:val="20"/>
        </w:rPr>
      </w:pPr>
      <w:r>
        <w:rPr>
          <w:sz w:val="20"/>
        </w:rPr>
        <w:t>º La organización, cualificación y experiencia del personal adscrito al contrato que vaya a ejecutar el mismo, siempre y cuando la calidad de dicho personal pueda afectar de manera significativa a su mejor</w:t>
      </w:r>
      <w:r>
        <w:rPr>
          <w:spacing w:val="-2"/>
          <w:sz w:val="20"/>
        </w:rPr>
        <w:t> </w:t>
      </w:r>
      <w:r>
        <w:rPr>
          <w:sz w:val="20"/>
        </w:rPr>
        <w:t>ejecución.</w:t>
      </w:r>
    </w:p>
    <w:p>
      <w:pPr>
        <w:pStyle w:val="ListParagraph"/>
        <w:numPr>
          <w:ilvl w:val="0"/>
          <w:numId w:val="116"/>
        </w:numPr>
        <w:tabs>
          <w:tab w:pos="1583" w:val="left" w:leader="none"/>
        </w:tabs>
        <w:spacing w:line="249" w:lineRule="auto" w:before="3" w:after="0"/>
        <w:ind w:left="1074" w:right="1271" w:firstLine="340"/>
        <w:jc w:val="both"/>
        <w:rPr>
          <w:sz w:val="20"/>
        </w:rPr>
      </w:pPr>
      <w:r>
        <w:rPr>
          <w:sz w:val="20"/>
        </w:rPr>
        <w:t>º El servicio posventa y la asistencia técnica y condiciones de entrega tales como la fecha en que esta última debe producirse, el proceso de entrega, el plazo de entrega o ejecución y los compromisos relativos a recambios y seguridad del</w:t>
      </w:r>
      <w:r>
        <w:rPr>
          <w:spacing w:val="-8"/>
          <w:sz w:val="20"/>
        </w:rPr>
        <w:t> </w:t>
      </w:r>
      <w:r>
        <w:rPr>
          <w:sz w:val="20"/>
        </w:rPr>
        <w:t>suministro.</w:t>
      </w:r>
    </w:p>
    <w:p>
      <w:pPr>
        <w:pStyle w:val="BodyText"/>
        <w:spacing w:line="249" w:lineRule="auto" w:before="122"/>
        <w:ind w:right="1273"/>
      </w:pPr>
      <w:r>
        <w:rPr/>
        <w:t>Los criterios cualitativos deberán ir acompañados de un criterio relacionado con los costes el cual, a elección de la entidad contratante, podrá ser el precio o un planteamiento basado en la rentabilidad, como el coste del ciclo de vida calculado de conformidad con lo dispuesto en el artículo 67.</w:t>
      </w:r>
    </w:p>
    <w:p>
      <w:pPr>
        <w:pStyle w:val="ListParagraph"/>
        <w:numPr>
          <w:ilvl w:val="0"/>
          <w:numId w:val="117"/>
        </w:numPr>
        <w:tabs>
          <w:tab w:pos="1665" w:val="left" w:leader="none"/>
        </w:tabs>
        <w:spacing w:line="249" w:lineRule="auto" w:before="4" w:after="0"/>
        <w:ind w:left="1074" w:right="1275" w:firstLine="340"/>
        <w:jc w:val="both"/>
        <w:rPr>
          <w:sz w:val="20"/>
        </w:rPr>
      </w:pPr>
      <w:r>
        <w:rPr>
          <w:sz w:val="20"/>
        </w:rPr>
        <w:t>La aplicación de más de un criterio de adjudicación procederá, en todo caso, en la adjudicación de los siguientes</w:t>
      </w:r>
      <w:r>
        <w:rPr>
          <w:spacing w:val="-4"/>
          <w:sz w:val="20"/>
        </w:rPr>
        <w:t> </w:t>
      </w:r>
      <w:r>
        <w:rPr>
          <w:sz w:val="20"/>
        </w:rPr>
        <w:t>contratos: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118"/>
        </w:numPr>
        <w:tabs>
          <w:tab w:pos="1746" w:val="left" w:leader="none"/>
        </w:tabs>
        <w:spacing w:line="249" w:lineRule="auto" w:before="126" w:after="0"/>
        <w:ind w:left="1074" w:right="1273" w:firstLine="340"/>
        <w:jc w:val="both"/>
        <w:rPr>
          <w:sz w:val="20"/>
        </w:rPr>
      </w:pPr>
      <w:r>
        <w:rPr>
          <w:sz w:val="20"/>
        </w:rPr>
        <w:t>Aquellos cuyos proyectos o presupuestos no hayan podido ser establecidos previamente y deban ser presentados por los candidatos o</w:t>
      </w:r>
      <w:r>
        <w:rPr>
          <w:spacing w:val="-14"/>
          <w:sz w:val="20"/>
        </w:rPr>
        <w:t> </w:t>
      </w:r>
      <w:r>
        <w:rPr>
          <w:sz w:val="20"/>
        </w:rPr>
        <w:t>licitadores.</w:t>
      </w:r>
    </w:p>
    <w:p>
      <w:pPr>
        <w:pStyle w:val="ListParagraph"/>
        <w:numPr>
          <w:ilvl w:val="0"/>
          <w:numId w:val="118"/>
        </w:numPr>
        <w:tabs>
          <w:tab w:pos="1720" w:val="left" w:leader="none"/>
        </w:tabs>
        <w:spacing w:line="249" w:lineRule="auto" w:before="2" w:after="0"/>
        <w:ind w:left="1074" w:right="1271" w:firstLine="340"/>
        <w:jc w:val="both"/>
        <w:rPr>
          <w:sz w:val="20"/>
        </w:rPr>
      </w:pPr>
      <w:r>
        <w:rPr>
          <w:sz w:val="20"/>
        </w:rPr>
        <w:t>Cuando la entidad contratante considere que la definición de la prestación es susceptible de ser mejorada por otras soluciones técnicas o por reducciones en su plazo de ejecución.</w:t>
      </w:r>
    </w:p>
    <w:p>
      <w:pPr>
        <w:pStyle w:val="ListParagraph"/>
        <w:numPr>
          <w:ilvl w:val="0"/>
          <w:numId w:val="118"/>
        </w:numPr>
        <w:tabs>
          <w:tab w:pos="1698" w:val="left" w:leader="none"/>
        </w:tabs>
        <w:spacing w:line="249" w:lineRule="auto" w:before="2" w:after="0"/>
        <w:ind w:left="1074" w:right="1272" w:firstLine="340"/>
        <w:jc w:val="both"/>
        <w:rPr>
          <w:sz w:val="20"/>
        </w:rPr>
      </w:pPr>
      <w:r>
        <w:rPr>
          <w:sz w:val="20"/>
        </w:rPr>
        <w:t>Aquellos para cuya ejecución facilite la entidad contratante materiales o medios auxiliares cuya buena utilización exija garantías especiales por parte de los</w:t>
      </w:r>
      <w:r>
        <w:rPr>
          <w:spacing w:val="-38"/>
          <w:sz w:val="20"/>
        </w:rPr>
        <w:t> </w:t>
      </w:r>
      <w:r>
        <w:rPr>
          <w:sz w:val="20"/>
        </w:rPr>
        <w:t>contratistas.</w:t>
      </w:r>
    </w:p>
    <w:p>
      <w:pPr>
        <w:pStyle w:val="ListParagraph"/>
        <w:numPr>
          <w:ilvl w:val="0"/>
          <w:numId w:val="118"/>
        </w:numPr>
        <w:tabs>
          <w:tab w:pos="1699" w:val="left" w:leader="none"/>
        </w:tabs>
        <w:spacing w:line="249" w:lineRule="auto" w:before="2" w:after="0"/>
        <w:ind w:left="1074" w:right="1273" w:firstLine="340"/>
        <w:jc w:val="both"/>
        <w:rPr>
          <w:sz w:val="20"/>
        </w:rPr>
      </w:pPr>
      <w:r>
        <w:rPr>
          <w:sz w:val="20"/>
        </w:rPr>
        <w:t>Aquellos que requieran el empleo de tecnología especialmente avanzada o cuya ejecución sea particularmente</w:t>
      </w:r>
      <w:r>
        <w:rPr>
          <w:spacing w:val="-3"/>
          <w:sz w:val="20"/>
        </w:rPr>
        <w:t> </w:t>
      </w:r>
      <w:r>
        <w:rPr>
          <w:sz w:val="20"/>
        </w:rPr>
        <w:t>compleja.</w:t>
      </w:r>
    </w:p>
    <w:p>
      <w:pPr>
        <w:pStyle w:val="ListParagraph"/>
        <w:numPr>
          <w:ilvl w:val="0"/>
          <w:numId w:val="118"/>
        </w:numPr>
        <w:tabs>
          <w:tab w:pos="1648" w:val="left" w:leader="none"/>
        </w:tabs>
        <w:spacing w:line="240" w:lineRule="auto" w:before="1" w:after="0"/>
        <w:ind w:left="1647" w:right="0" w:hanging="234"/>
        <w:jc w:val="both"/>
        <w:rPr>
          <w:sz w:val="20"/>
        </w:rPr>
      </w:pPr>
      <w:r>
        <w:rPr>
          <w:sz w:val="20"/>
        </w:rPr>
        <w:t>Contratos de concesión de obras y de concesión de</w:t>
      </w:r>
      <w:r>
        <w:rPr>
          <w:spacing w:val="-8"/>
          <w:sz w:val="20"/>
        </w:rPr>
        <w:t> </w:t>
      </w:r>
      <w:r>
        <w:rPr>
          <w:sz w:val="20"/>
        </w:rPr>
        <w:t>servicios.</w:t>
      </w:r>
    </w:p>
    <w:p>
      <w:pPr>
        <w:pStyle w:val="ListParagraph"/>
        <w:numPr>
          <w:ilvl w:val="0"/>
          <w:numId w:val="118"/>
        </w:numPr>
        <w:tabs>
          <w:tab w:pos="1644" w:val="left" w:leader="none"/>
        </w:tabs>
        <w:spacing w:line="249" w:lineRule="auto" w:before="11" w:after="0"/>
        <w:ind w:left="1074" w:right="1274" w:firstLine="340"/>
        <w:jc w:val="both"/>
        <w:rPr>
          <w:sz w:val="20"/>
        </w:rPr>
      </w:pPr>
      <w:r>
        <w:rPr>
          <w:sz w:val="20"/>
        </w:rPr>
        <w:t>Contratos de suministros, salvo que los productos a adquirir estén perfectamente definidos y no sea posible variar los plazos de entrega ni introducir modificaciones de ninguna clase en el contrato, siendo por consiguiente el precio el único factor determinante de la</w:t>
      </w:r>
      <w:r>
        <w:rPr>
          <w:spacing w:val="-3"/>
          <w:sz w:val="20"/>
        </w:rPr>
        <w:t> </w:t>
      </w:r>
      <w:r>
        <w:rPr>
          <w:sz w:val="20"/>
        </w:rPr>
        <w:t>adjudicación.</w:t>
      </w:r>
    </w:p>
    <w:p>
      <w:pPr>
        <w:pStyle w:val="ListParagraph"/>
        <w:numPr>
          <w:ilvl w:val="0"/>
          <w:numId w:val="118"/>
        </w:numPr>
        <w:tabs>
          <w:tab w:pos="1700" w:val="left" w:leader="none"/>
        </w:tabs>
        <w:spacing w:line="249" w:lineRule="auto" w:before="3" w:after="0"/>
        <w:ind w:left="1074" w:right="1274" w:firstLine="340"/>
        <w:jc w:val="both"/>
        <w:rPr>
          <w:sz w:val="20"/>
        </w:rPr>
      </w:pPr>
      <w:r>
        <w:rPr>
          <w:sz w:val="20"/>
        </w:rPr>
        <w:t>Contratos de servicios, salvo que las prestaciones estén perfectamente definidas técnicamente y no sea posible variar los plazos de entrega ni introducir modificaciones de ninguna clase en el contrato, siendo por consiguiente el precio el único factor determinante de la</w:t>
      </w:r>
      <w:r>
        <w:rPr>
          <w:spacing w:val="-3"/>
          <w:sz w:val="20"/>
        </w:rPr>
        <w:t> </w:t>
      </w:r>
      <w:r>
        <w:rPr>
          <w:sz w:val="20"/>
        </w:rPr>
        <w:t>adjudicación.</w:t>
      </w:r>
    </w:p>
    <w:p>
      <w:pPr>
        <w:pStyle w:val="BodyText"/>
        <w:spacing w:line="249" w:lineRule="auto" w:before="3"/>
        <w:ind w:right="1272"/>
      </w:pPr>
      <w:r>
        <w:rPr/>
        <w:t>En los contratos de servicios que tengan por objeto prestaciones de carácter intelectual, como los servicios de ingeniería y arquitectura, y en los contratos de prestación de servicios sociales si fomentan la integración social de personas desfavorecidas o miembros de grupos vulnerables entre las personas asignadas a la ejecución del contrato, promueven el empleo de personas con dificultades particulares de inserción en el mercado laboral o cuando se trate de los contratos de servicios sociales, sanitarios o educativos a que se refiere el artículo 65.2, o de servicios intensivos en mano de obra, el precio no podrá ser el único factor determinante de la adjudicación. Igualmente, en el caso de los contratos de servicios de seguridad privada deberá aplicarse más de un criterio de</w:t>
      </w:r>
      <w:r>
        <w:rPr>
          <w:spacing w:val="-13"/>
        </w:rPr>
        <w:t> </w:t>
      </w:r>
      <w:r>
        <w:rPr/>
        <w:t>adjudicación.</w:t>
      </w:r>
    </w:p>
    <w:p>
      <w:pPr>
        <w:pStyle w:val="ListParagraph"/>
        <w:numPr>
          <w:ilvl w:val="0"/>
          <w:numId w:val="118"/>
        </w:numPr>
        <w:tabs>
          <w:tab w:pos="1664" w:val="left" w:leader="none"/>
        </w:tabs>
        <w:spacing w:line="249" w:lineRule="auto" w:before="7" w:after="0"/>
        <w:ind w:left="1074" w:right="1272" w:firstLine="340"/>
        <w:jc w:val="both"/>
        <w:rPr>
          <w:sz w:val="20"/>
        </w:rPr>
      </w:pPr>
      <w:r>
        <w:rPr>
          <w:sz w:val="20"/>
        </w:rPr>
        <w:t>Contratos cuya ejecución pueda tener un impacto significativo en el medio ambiente, en cuya adjudicación se valorarán condiciones ambientales mensurables, tales como el menor impacto ambiental, el ahorro y el uso eficiente del agua y la energía y de los materiales, el coste ambiental del ciclo de vida, los procedimientos y métodos de producción ecológicos, la generación y gestión de residuos conforme al principio de jerarquía o el uso de materiales reciclados, de productos reutilizables o reciclables o de materiales</w:t>
      </w:r>
      <w:r>
        <w:rPr>
          <w:spacing w:val="-18"/>
          <w:sz w:val="20"/>
        </w:rPr>
        <w:t> </w:t>
      </w:r>
      <w:r>
        <w:rPr>
          <w:sz w:val="20"/>
        </w:rPr>
        <w:t>ecológicos.</w:t>
      </w:r>
    </w:p>
    <w:p>
      <w:pPr>
        <w:pStyle w:val="ListParagraph"/>
        <w:numPr>
          <w:ilvl w:val="0"/>
          <w:numId w:val="117"/>
        </w:numPr>
        <w:tabs>
          <w:tab w:pos="1662" w:val="left" w:leader="none"/>
        </w:tabs>
        <w:spacing w:line="249" w:lineRule="auto" w:before="125" w:after="0"/>
        <w:ind w:left="1074" w:right="1274" w:firstLine="340"/>
        <w:jc w:val="both"/>
        <w:rPr>
          <w:sz w:val="20"/>
        </w:rPr>
      </w:pPr>
      <w:r>
        <w:rPr>
          <w:sz w:val="20"/>
        </w:rPr>
        <w:t>Las entidades contratantes velarán por que se establezcan criterios de adjudicación que permitan obtener obras, suministros y servicios de gran calidad que respondan lo mejor posible a sus necesidades; y, en especial, en los procedimientos de contratos de servicios que tengan por objeto prestaciones de carácter intelectual, como los servicios de ingeniería y arquitectura.</w:t>
      </w:r>
    </w:p>
    <w:p>
      <w:pPr>
        <w:pStyle w:val="BodyText"/>
        <w:spacing w:line="249" w:lineRule="auto" w:before="4"/>
        <w:ind w:right="1272"/>
      </w:pPr>
      <w:r>
        <w:rPr/>
        <w:t>En los contratos de servicios del anexo I, así como en los contratos que tengan por objeto prestaciones de carácter intelectual, los criterios relacionados con la calidad deberán representar, al menos, el 51 por ciento de la puntuación asignable en la valoración de las ofertas.</w:t>
      </w:r>
    </w:p>
    <w:p>
      <w:pPr>
        <w:pStyle w:val="ListParagraph"/>
        <w:numPr>
          <w:ilvl w:val="0"/>
          <w:numId w:val="117"/>
        </w:numPr>
        <w:tabs>
          <w:tab w:pos="1692" w:val="left" w:leader="none"/>
        </w:tabs>
        <w:spacing w:line="249" w:lineRule="auto" w:before="4" w:after="0"/>
        <w:ind w:left="1074" w:right="1273" w:firstLine="340"/>
        <w:jc w:val="both"/>
        <w:rPr>
          <w:sz w:val="20"/>
        </w:rPr>
      </w:pPr>
      <w:r>
        <w:rPr>
          <w:sz w:val="20"/>
        </w:rPr>
        <w:t>Los criterios a que se refiere el apartado 1 que han de servir de base para</w:t>
      </w:r>
      <w:r>
        <w:rPr>
          <w:spacing w:val="14"/>
          <w:sz w:val="20"/>
        </w:rPr>
        <w:t> </w:t>
      </w:r>
      <w:r>
        <w:rPr>
          <w:sz w:val="20"/>
        </w:rPr>
        <w:t>la adjudicación del contrato se establecerán en los pliegos de condiciones y deberá figurar en el anuncio que sirva de convocatoria de la licitación, debiendo cumplir los siguientes requisitos:</w:t>
      </w:r>
    </w:p>
    <w:p>
      <w:pPr>
        <w:pStyle w:val="ListParagraph"/>
        <w:numPr>
          <w:ilvl w:val="0"/>
          <w:numId w:val="119"/>
        </w:numPr>
        <w:tabs>
          <w:tab w:pos="1660" w:val="left" w:leader="none"/>
        </w:tabs>
        <w:spacing w:line="249" w:lineRule="auto" w:before="123" w:after="0"/>
        <w:ind w:left="1074" w:right="1272" w:firstLine="340"/>
        <w:jc w:val="both"/>
        <w:rPr>
          <w:sz w:val="20"/>
        </w:rPr>
      </w:pPr>
      <w:r>
        <w:rPr>
          <w:sz w:val="20"/>
        </w:rPr>
        <w:t>En todo caso estarán vinculados al objeto del contrato, en el sentido expresado en el apartado siguiente de este</w:t>
      </w:r>
      <w:r>
        <w:rPr>
          <w:spacing w:val="-4"/>
          <w:sz w:val="20"/>
        </w:rPr>
        <w:t> </w:t>
      </w:r>
      <w:r>
        <w:rPr>
          <w:sz w:val="20"/>
        </w:rPr>
        <w:t>artículo.</w:t>
      </w:r>
    </w:p>
    <w:p>
      <w:pPr>
        <w:pStyle w:val="ListParagraph"/>
        <w:numPr>
          <w:ilvl w:val="0"/>
          <w:numId w:val="119"/>
        </w:numPr>
        <w:tabs>
          <w:tab w:pos="1654" w:val="left" w:leader="none"/>
        </w:tabs>
        <w:spacing w:line="249" w:lineRule="auto" w:before="2" w:after="0"/>
        <w:ind w:left="1074" w:right="1272" w:firstLine="340"/>
        <w:jc w:val="both"/>
        <w:rPr>
          <w:sz w:val="20"/>
        </w:rPr>
      </w:pPr>
      <w:r>
        <w:rPr>
          <w:sz w:val="20"/>
        </w:rPr>
        <w:t>Deberán ser formulados de manera clara y objetiva, con pleno respeto a los principios de igualdad, no discriminación, transparencia y proporcionalidad, y no conferirán a la entidad contratante una libertad de decisión</w:t>
      </w:r>
      <w:r>
        <w:rPr>
          <w:spacing w:val="-6"/>
          <w:sz w:val="20"/>
        </w:rPr>
        <w:t> </w:t>
      </w:r>
      <w:r>
        <w:rPr>
          <w:sz w:val="20"/>
        </w:rPr>
        <w:t>ilimitada.</w:t>
      </w:r>
    </w:p>
    <w:p>
      <w:pPr>
        <w:pStyle w:val="ListParagraph"/>
        <w:numPr>
          <w:ilvl w:val="0"/>
          <w:numId w:val="119"/>
        </w:numPr>
        <w:tabs>
          <w:tab w:pos="1639" w:val="left" w:leader="none"/>
        </w:tabs>
        <w:spacing w:line="249" w:lineRule="auto" w:before="2" w:after="0"/>
        <w:ind w:left="1074" w:right="1273" w:firstLine="340"/>
        <w:jc w:val="both"/>
        <w:rPr>
          <w:sz w:val="20"/>
        </w:rPr>
      </w:pPr>
      <w:r>
        <w:rPr>
          <w:sz w:val="20"/>
        </w:rPr>
        <w:t>Deberán garantizar la posibilidad de que las ofertas sean evaluadas en condiciones de competencia efectiva e irán acompañados de especificaciones que permitan comprobar de manera efectiva la información facilitada por los licitadores con el fin de evaluar la medida en que las ofertas cumplen los criterios de adjudicación. En caso de duda, deberá comprobarse de</w:t>
      </w:r>
      <w:r>
        <w:rPr>
          <w:spacing w:val="-5"/>
          <w:sz w:val="20"/>
        </w:rPr>
        <w:t> </w:t>
      </w:r>
      <w:r>
        <w:rPr>
          <w:sz w:val="20"/>
        </w:rPr>
        <w:t>manera</w:t>
      </w:r>
      <w:r>
        <w:rPr>
          <w:spacing w:val="-3"/>
          <w:sz w:val="20"/>
        </w:rPr>
        <w:t> </w:t>
      </w:r>
      <w:r>
        <w:rPr>
          <w:sz w:val="20"/>
        </w:rPr>
        <w:t>efectiva</w:t>
      </w:r>
      <w:r>
        <w:rPr>
          <w:spacing w:val="-4"/>
          <w:sz w:val="20"/>
        </w:rPr>
        <w:t> </w:t>
      </w:r>
      <w:r>
        <w:rPr>
          <w:sz w:val="20"/>
        </w:rPr>
        <w:t>la</w:t>
      </w:r>
      <w:r>
        <w:rPr>
          <w:spacing w:val="-4"/>
          <w:sz w:val="20"/>
        </w:rPr>
        <w:t> </w:t>
      </w:r>
      <w:r>
        <w:rPr>
          <w:sz w:val="20"/>
        </w:rPr>
        <w:t>exactitud</w:t>
      </w:r>
      <w:r>
        <w:rPr>
          <w:spacing w:val="-4"/>
          <w:sz w:val="20"/>
        </w:rPr>
        <w:t> </w:t>
      </w:r>
      <w:r>
        <w:rPr>
          <w:sz w:val="20"/>
        </w:rPr>
        <w:t>de</w:t>
      </w:r>
      <w:r>
        <w:rPr>
          <w:spacing w:val="-5"/>
          <w:sz w:val="20"/>
        </w:rPr>
        <w:t> </w:t>
      </w:r>
      <w:r>
        <w:rPr>
          <w:sz w:val="20"/>
        </w:rPr>
        <w:t>la</w:t>
      </w:r>
      <w:r>
        <w:rPr>
          <w:spacing w:val="-4"/>
          <w:sz w:val="20"/>
        </w:rPr>
        <w:t> </w:t>
      </w:r>
      <w:r>
        <w:rPr>
          <w:sz w:val="20"/>
        </w:rPr>
        <w:t>información</w:t>
      </w:r>
      <w:r>
        <w:rPr>
          <w:spacing w:val="-4"/>
          <w:sz w:val="20"/>
        </w:rPr>
        <w:t> </w:t>
      </w:r>
      <w:r>
        <w:rPr>
          <w:sz w:val="20"/>
        </w:rPr>
        <w:t>y</w:t>
      </w:r>
      <w:r>
        <w:rPr>
          <w:spacing w:val="-3"/>
          <w:sz w:val="20"/>
        </w:rPr>
        <w:t> </w:t>
      </w:r>
      <w:r>
        <w:rPr>
          <w:sz w:val="20"/>
        </w:rPr>
        <w:t>las</w:t>
      </w:r>
      <w:r>
        <w:rPr>
          <w:spacing w:val="-4"/>
          <w:sz w:val="20"/>
        </w:rPr>
        <w:t> </w:t>
      </w:r>
      <w:r>
        <w:rPr>
          <w:sz w:val="20"/>
        </w:rPr>
        <w:t>pruebas</w:t>
      </w:r>
      <w:r>
        <w:rPr>
          <w:spacing w:val="-5"/>
          <w:sz w:val="20"/>
        </w:rPr>
        <w:t> </w:t>
      </w:r>
      <w:r>
        <w:rPr>
          <w:sz w:val="20"/>
        </w:rPr>
        <w:t>facilitadas</w:t>
      </w:r>
      <w:r>
        <w:rPr>
          <w:spacing w:val="-3"/>
          <w:sz w:val="20"/>
        </w:rPr>
        <w:t> </w:t>
      </w:r>
      <w:r>
        <w:rPr>
          <w:sz w:val="20"/>
        </w:rPr>
        <w:t>por</w:t>
      </w:r>
      <w:r>
        <w:rPr>
          <w:spacing w:val="-4"/>
          <w:sz w:val="20"/>
        </w:rPr>
        <w:t> </w:t>
      </w:r>
      <w:r>
        <w:rPr>
          <w:sz w:val="20"/>
        </w:rPr>
        <w:t>los</w:t>
      </w:r>
      <w:r>
        <w:rPr>
          <w:spacing w:val="-4"/>
          <w:sz w:val="20"/>
        </w:rPr>
        <w:t> </w:t>
      </w:r>
      <w:r>
        <w:rPr>
          <w:sz w:val="20"/>
        </w:rPr>
        <w:t>licitadores.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117"/>
        </w:numPr>
        <w:tabs>
          <w:tab w:pos="1664" w:val="left" w:leader="none"/>
        </w:tabs>
        <w:spacing w:line="249" w:lineRule="auto" w:before="126" w:after="0"/>
        <w:ind w:left="1074" w:right="1272" w:firstLine="340"/>
        <w:jc w:val="both"/>
        <w:rPr>
          <w:sz w:val="20"/>
        </w:rPr>
      </w:pPr>
      <w:r>
        <w:rPr>
          <w:sz w:val="20"/>
        </w:rPr>
        <w:t>Se considerará que un criterio de adjudicación está vinculado al objeto del contrato cuando se refiera o integre las prestaciones que deban realizarse en virtud de dicho contrato, en cualquiera de sus aspectos y en cualquier etapa de su ciclo de vida, incluidos los factores que intervienen en los siguientes</w:t>
      </w:r>
      <w:r>
        <w:rPr>
          <w:spacing w:val="-6"/>
          <w:sz w:val="20"/>
        </w:rPr>
        <w:t> </w:t>
      </w:r>
      <w:r>
        <w:rPr>
          <w:sz w:val="20"/>
        </w:rPr>
        <w:t>procesos:</w:t>
      </w:r>
    </w:p>
    <w:p>
      <w:pPr>
        <w:pStyle w:val="ListParagraph"/>
        <w:numPr>
          <w:ilvl w:val="0"/>
          <w:numId w:val="120"/>
        </w:numPr>
        <w:tabs>
          <w:tab w:pos="1653" w:val="left" w:leader="none"/>
        </w:tabs>
        <w:spacing w:line="249" w:lineRule="auto" w:before="123" w:after="0"/>
        <w:ind w:left="1074" w:right="1274" w:firstLine="340"/>
        <w:jc w:val="both"/>
        <w:rPr>
          <w:sz w:val="20"/>
        </w:rPr>
      </w:pPr>
      <w:r>
        <w:rPr>
          <w:sz w:val="20"/>
        </w:rPr>
        <w:t>En el proceso específico de producción, prestación o comercialización de, en su caso, las obras, los suministros o los servicios, con especial referencia a formas de producción, prestación o comercialización medioambiental y socialmente sostenibles y</w:t>
      </w:r>
      <w:r>
        <w:rPr>
          <w:spacing w:val="-7"/>
          <w:sz w:val="20"/>
        </w:rPr>
        <w:t> </w:t>
      </w:r>
      <w:r>
        <w:rPr>
          <w:sz w:val="20"/>
        </w:rPr>
        <w:t>justas;</w:t>
      </w:r>
    </w:p>
    <w:p>
      <w:pPr>
        <w:pStyle w:val="ListParagraph"/>
        <w:numPr>
          <w:ilvl w:val="0"/>
          <w:numId w:val="120"/>
        </w:numPr>
        <w:tabs>
          <w:tab w:pos="1671" w:val="left" w:leader="none"/>
        </w:tabs>
        <w:spacing w:line="249" w:lineRule="auto" w:before="3" w:after="0"/>
        <w:ind w:left="1074" w:right="1275" w:firstLine="340"/>
        <w:jc w:val="both"/>
        <w:rPr>
          <w:sz w:val="20"/>
        </w:rPr>
      </w:pPr>
      <w:r>
        <w:rPr>
          <w:sz w:val="20"/>
        </w:rPr>
        <w:t>o en el proceso específico de otra etapa de su ciclo de vida, incluso cuando dichos factores no formen parte de su sustancia</w:t>
      </w:r>
      <w:r>
        <w:rPr>
          <w:spacing w:val="-4"/>
          <w:sz w:val="20"/>
        </w:rPr>
        <w:t> </w:t>
      </w:r>
      <w:r>
        <w:rPr>
          <w:sz w:val="20"/>
        </w:rPr>
        <w:t>material.</w:t>
      </w:r>
    </w:p>
    <w:p>
      <w:pPr>
        <w:pStyle w:val="ListParagraph"/>
        <w:numPr>
          <w:ilvl w:val="0"/>
          <w:numId w:val="117"/>
        </w:numPr>
        <w:tabs>
          <w:tab w:pos="1666" w:val="left" w:leader="none"/>
        </w:tabs>
        <w:spacing w:line="249" w:lineRule="auto" w:before="121" w:after="0"/>
        <w:ind w:left="1074" w:right="1272" w:firstLine="340"/>
        <w:jc w:val="both"/>
        <w:rPr>
          <w:sz w:val="20"/>
        </w:rPr>
      </w:pPr>
      <w:r>
        <w:rPr>
          <w:sz w:val="20"/>
        </w:rPr>
        <w:t>En el caso de que se establezcan las mejoras como criterio de adjudicación, estas deberán estar suficientemente especificadas. Se considerará que se cumple esta exigencia cuando se fijen, de manera ponderada, con concreción: los requisitos, límites, modalidades y características de las mismas, así como su necesaria vinculación con el objeto del</w:t>
      </w:r>
      <w:r>
        <w:rPr>
          <w:spacing w:val="-24"/>
          <w:sz w:val="20"/>
        </w:rPr>
        <w:t> </w:t>
      </w:r>
      <w:r>
        <w:rPr>
          <w:sz w:val="20"/>
        </w:rPr>
        <w:t>contrato.</w:t>
      </w:r>
    </w:p>
    <w:p>
      <w:pPr>
        <w:pStyle w:val="BodyText"/>
        <w:spacing w:before="4"/>
        <w:ind w:left="1414" w:firstLine="0"/>
      </w:pPr>
      <w:r>
        <w:rPr/>
        <w:t>En todo caso, no podrá asignársele una valoración superior al 2,5 por ciento.</w:t>
      </w:r>
    </w:p>
    <w:p>
      <w:pPr>
        <w:pStyle w:val="BodyText"/>
        <w:spacing w:line="249" w:lineRule="auto" w:before="10"/>
        <w:ind w:right="1273"/>
      </w:pPr>
      <w:r>
        <w:rPr/>
        <w:t>Se entiende por mejoras, a estos efectos, las prestaciones adicionales a las que figuraban definidas en el proyecto y en el pliego de condiciones, sin que aquellas puedan alterar la naturaleza de dichas prestaciones, ni del objeto del contrato.</w:t>
      </w:r>
    </w:p>
    <w:p>
      <w:pPr>
        <w:pStyle w:val="BodyText"/>
        <w:spacing w:line="249" w:lineRule="auto"/>
        <w:ind w:right="1275"/>
      </w:pPr>
      <w:r>
        <w:rPr/>
        <w:t>Las mejoras propuestas por el adjudicatario pasarán a formar parte del contrato y no podrán ser objeto de modificación.</w:t>
      </w:r>
    </w:p>
    <w:p>
      <w:pPr>
        <w:pStyle w:val="ListParagraph"/>
        <w:numPr>
          <w:ilvl w:val="0"/>
          <w:numId w:val="117"/>
        </w:numPr>
        <w:tabs>
          <w:tab w:pos="1650" w:val="left" w:leader="none"/>
        </w:tabs>
        <w:spacing w:line="249" w:lineRule="auto" w:before="2" w:after="0"/>
        <w:ind w:left="1074" w:right="1273" w:firstLine="340"/>
        <w:jc w:val="both"/>
        <w:rPr>
          <w:sz w:val="20"/>
        </w:rPr>
      </w:pPr>
      <w:r>
        <w:rPr>
          <w:sz w:val="20"/>
        </w:rPr>
        <w:t>Sin perjuicio de lo dispuesto en el apartado primero, cuando solo se utilice un criterio de adjudicación, este deberá estar relacionado con los costes, pudiendo ser el precio o un criterio basado en la rentabilidad, como el coste del ciclo de vida calculado de acuerdo con lo indicado en el artículo</w:t>
      </w:r>
      <w:r>
        <w:rPr>
          <w:spacing w:val="-5"/>
          <w:sz w:val="20"/>
        </w:rPr>
        <w:t> </w:t>
      </w:r>
      <w:r>
        <w:rPr>
          <w:sz w:val="20"/>
        </w:rPr>
        <w:t>67.</w:t>
      </w:r>
    </w:p>
    <w:p>
      <w:pPr>
        <w:pStyle w:val="ListParagraph"/>
        <w:numPr>
          <w:ilvl w:val="0"/>
          <w:numId w:val="117"/>
        </w:numPr>
        <w:tabs>
          <w:tab w:pos="1663" w:val="left" w:leader="none"/>
        </w:tabs>
        <w:spacing w:line="249" w:lineRule="auto" w:before="3" w:after="0"/>
        <w:ind w:left="1074" w:right="1273" w:firstLine="340"/>
        <w:jc w:val="both"/>
        <w:rPr>
          <w:sz w:val="20"/>
        </w:rPr>
      </w:pPr>
      <w:r>
        <w:rPr>
          <w:sz w:val="20"/>
        </w:rPr>
        <w:t>Cuando se utilicen una pluralidad de criterios de adjudicación, en su determinación, siempre y cuando sea posible, se dará preponderancia a aquellos que hagan referencia a características del objeto del contrato que puedan valorarse mediante cifras o porcentajes obtenidos a través de la mera aplicación de las fórmulas establecidas en los</w:t>
      </w:r>
      <w:r>
        <w:rPr>
          <w:spacing w:val="-31"/>
          <w:sz w:val="20"/>
        </w:rPr>
        <w:t> </w:t>
      </w:r>
      <w:r>
        <w:rPr>
          <w:sz w:val="20"/>
        </w:rPr>
        <w:t>pliegos.</w:t>
      </w:r>
    </w:p>
    <w:p>
      <w:pPr>
        <w:pStyle w:val="ListParagraph"/>
        <w:numPr>
          <w:ilvl w:val="0"/>
          <w:numId w:val="117"/>
        </w:numPr>
        <w:tabs>
          <w:tab w:pos="1757" w:val="left" w:leader="none"/>
        </w:tabs>
        <w:spacing w:line="249" w:lineRule="auto" w:before="3" w:after="0"/>
        <w:ind w:left="1074" w:right="1273" w:firstLine="340"/>
        <w:jc w:val="both"/>
        <w:rPr>
          <w:sz w:val="20"/>
        </w:rPr>
      </w:pPr>
      <w:r>
        <w:rPr>
          <w:sz w:val="20"/>
        </w:rPr>
        <w:t>Salvo cuando se tome en consideración el precio exclusivamente, deberá precisarse en el pliego de condiciones la ponderación relativa atribuida a cada uno de los criterios de valoración, que podrá expresarse fijando una banda de valores con una amplitud máxima adecuada.</w:t>
      </w:r>
    </w:p>
    <w:p>
      <w:pPr>
        <w:pStyle w:val="BodyText"/>
        <w:spacing w:line="249" w:lineRule="auto" w:before="4"/>
        <w:ind w:right="1273"/>
      </w:pPr>
      <w:r>
        <w:rPr/>
        <w:t>En el caso de que el procedimiento de adjudicación se articule en varias fases, se indicará igualmente en cuales de ellas se irán aplicando los distintos criterios, estableciendo un umbral mínimo del 50 por ciento de la puntuación en el conjunto de los criterios cualitativos para continuar en el proceso selectivo.</w:t>
      </w:r>
    </w:p>
    <w:p>
      <w:pPr>
        <w:pStyle w:val="BodyText"/>
        <w:spacing w:line="249" w:lineRule="auto" w:before="3"/>
        <w:ind w:right="1276"/>
      </w:pPr>
      <w:r>
        <w:rPr/>
        <w:t>Cuando, por razones objetivas debidamente justificadas, no sea posible ponderar los criterios elegidos, estos se enumerarán por orden decreciente de importancia.</w:t>
      </w:r>
    </w:p>
    <w:p>
      <w:pPr>
        <w:pStyle w:val="ListParagraph"/>
        <w:numPr>
          <w:ilvl w:val="0"/>
          <w:numId w:val="117"/>
        </w:numPr>
        <w:tabs>
          <w:tab w:pos="1759" w:val="left" w:leader="none"/>
        </w:tabs>
        <w:spacing w:line="249" w:lineRule="auto" w:before="2" w:after="0"/>
        <w:ind w:left="1074" w:right="1274" w:firstLine="340"/>
        <w:jc w:val="both"/>
        <w:rPr>
          <w:sz w:val="20"/>
        </w:rPr>
      </w:pPr>
      <w:r>
        <w:rPr>
          <w:sz w:val="20"/>
        </w:rPr>
        <w:t>Las entidades contratantes podrán establecer en los pliegos de condiciones criterios de adjudicación específicos para el desempate en los casos en que, tras la aplicación de los criterios de adjudicación, se produzca un empate entre dos o más</w:t>
      </w:r>
      <w:r>
        <w:rPr>
          <w:spacing w:val="-19"/>
          <w:sz w:val="20"/>
        </w:rPr>
        <w:t> </w:t>
      </w:r>
      <w:r>
        <w:rPr>
          <w:sz w:val="20"/>
        </w:rPr>
        <w:t>ofertas.</w:t>
      </w:r>
    </w:p>
    <w:p>
      <w:pPr>
        <w:pStyle w:val="BodyText"/>
        <w:spacing w:line="249" w:lineRule="auto"/>
        <w:ind w:right="1275"/>
      </w:pPr>
      <w:r>
        <w:rPr/>
        <w:t>Dichos criterios de adjudicación específicos para el desempate deberán estar vinculados al objeto del contrato y se referirán a:</w:t>
      </w:r>
    </w:p>
    <w:p>
      <w:pPr>
        <w:pStyle w:val="ListParagraph"/>
        <w:numPr>
          <w:ilvl w:val="0"/>
          <w:numId w:val="121"/>
        </w:numPr>
        <w:tabs>
          <w:tab w:pos="1675" w:val="left" w:leader="none"/>
        </w:tabs>
        <w:spacing w:line="249" w:lineRule="auto" w:before="122" w:after="0"/>
        <w:ind w:left="1074" w:right="1274" w:firstLine="340"/>
        <w:jc w:val="both"/>
        <w:rPr>
          <w:sz w:val="20"/>
        </w:rPr>
      </w:pPr>
      <w:r>
        <w:rPr>
          <w:sz w:val="20"/>
        </w:rPr>
        <w:t>Proposiciones presentadas por aquellas empresas que, al vencimiento del plazo de presentación de ofertas, tengan en su plantilla un porcentaje de trabajadores con discapacidad superior al que les imponga la</w:t>
      </w:r>
      <w:r>
        <w:rPr>
          <w:spacing w:val="-10"/>
          <w:sz w:val="20"/>
        </w:rPr>
        <w:t> </w:t>
      </w:r>
      <w:r>
        <w:rPr>
          <w:sz w:val="20"/>
        </w:rPr>
        <w:t>normativa.</w:t>
      </w:r>
    </w:p>
    <w:p>
      <w:pPr>
        <w:pStyle w:val="BodyText"/>
        <w:spacing w:line="249" w:lineRule="auto"/>
        <w:ind w:right="1273"/>
      </w:pPr>
      <w:r>
        <w:rPr/>
        <w:t>En este supuesto, si varias empresas licitadoras de las que hubieren empatado en cuanto a la proposición más ventajosa acreditan tener relación laboral con personas con discapacidad en un porcentaje superior al que les imponga la normativa, tendrá preferencia en la adjudicación del contrato el licitador que disponga del mayor porcentaje de  trabajadores fijos con discapacidad en su</w:t>
      </w:r>
      <w:r>
        <w:rPr>
          <w:spacing w:val="-4"/>
        </w:rPr>
        <w:t> </w:t>
      </w:r>
      <w:r>
        <w:rPr/>
        <w:t>plantilla.</w:t>
      </w:r>
    </w:p>
    <w:p>
      <w:pPr>
        <w:pStyle w:val="ListParagraph"/>
        <w:numPr>
          <w:ilvl w:val="0"/>
          <w:numId w:val="121"/>
        </w:numPr>
        <w:tabs>
          <w:tab w:pos="1697" w:val="left" w:leader="none"/>
        </w:tabs>
        <w:spacing w:line="249" w:lineRule="auto" w:before="4" w:after="0"/>
        <w:ind w:left="1074" w:right="1273" w:firstLine="340"/>
        <w:jc w:val="both"/>
        <w:rPr>
          <w:sz w:val="20"/>
        </w:rPr>
      </w:pPr>
      <w:r>
        <w:rPr>
          <w:sz w:val="20"/>
        </w:rPr>
        <w:t>Proposiciones de empresas de inserción reguladas en la Ley 44/2007, de 13 de diciembre, que cumplan con los requisitos establecidos en dicha normativa para tener esta consideración.</w:t>
      </w:r>
    </w:p>
    <w:p>
      <w:pPr>
        <w:pStyle w:val="ListParagraph"/>
        <w:numPr>
          <w:ilvl w:val="0"/>
          <w:numId w:val="121"/>
        </w:numPr>
        <w:tabs>
          <w:tab w:pos="1689" w:val="left" w:leader="none"/>
        </w:tabs>
        <w:spacing w:line="249" w:lineRule="auto" w:before="3" w:after="0"/>
        <w:ind w:left="1074" w:right="1272" w:firstLine="340"/>
        <w:jc w:val="both"/>
        <w:rPr>
          <w:sz w:val="20"/>
        </w:rPr>
      </w:pPr>
      <w:r>
        <w:rPr>
          <w:sz w:val="20"/>
        </w:rPr>
        <w:t>En la adjudicación de los contratos relativos a prestaciones de carácter social o asistencial, las proposiciones presentadas por entidades sin ánimo de lucro, con personalidad</w:t>
      </w:r>
      <w:r>
        <w:rPr>
          <w:spacing w:val="45"/>
          <w:sz w:val="20"/>
        </w:rPr>
        <w:t> </w:t>
      </w:r>
      <w:r>
        <w:rPr>
          <w:sz w:val="20"/>
        </w:rPr>
        <w:t>jurídica,</w:t>
      </w:r>
      <w:r>
        <w:rPr>
          <w:spacing w:val="46"/>
          <w:sz w:val="20"/>
        </w:rPr>
        <w:t> </w:t>
      </w:r>
      <w:r>
        <w:rPr>
          <w:sz w:val="20"/>
        </w:rPr>
        <w:t>siempre</w:t>
      </w:r>
      <w:r>
        <w:rPr>
          <w:spacing w:val="45"/>
          <w:sz w:val="20"/>
        </w:rPr>
        <w:t> </w:t>
      </w:r>
      <w:r>
        <w:rPr>
          <w:sz w:val="20"/>
        </w:rPr>
        <w:t>que</w:t>
      </w:r>
      <w:r>
        <w:rPr>
          <w:spacing w:val="46"/>
          <w:sz w:val="20"/>
        </w:rPr>
        <w:t> </w:t>
      </w:r>
      <w:r>
        <w:rPr>
          <w:sz w:val="20"/>
        </w:rPr>
        <w:t>su</w:t>
      </w:r>
      <w:r>
        <w:rPr>
          <w:spacing w:val="45"/>
          <w:sz w:val="20"/>
        </w:rPr>
        <w:t> </w:t>
      </w:r>
      <w:r>
        <w:rPr>
          <w:sz w:val="20"/>
        </w:rPr>
        <w:t>finalidad</w:t>
      </w:r>
      <w:r>
        <w:rPr>
          <w:spacing w:val="46"/>
          <w:sz w:val="20"/>
        </w:rPr>
        <w:t> </w:t>
      </w:r>
      <w:r>
        <w:rPr>
          <w:sz w:val="20"/>
        </w:rPr>
        <w:t>o</w:t>
      </w:r>
      <w:r>
        <w:rPr>
          <w:spacing w:val="46"/>
          <w:sz w:val="20"/>
        </w:rPr>
        <w:t> </w:t>
      </w:r>
      <w:r>
        <w:rPr>
          <w:sz w:val="20"/>
        </w:rPr>
        <w:t>actividad</w:t>
      </w:r>
      <w:r>
        <w:rPr>
          <w:spacing w:val="45"/>
          <w:sz w:val="20"/>
        </w:rPr>
        <w:t> </w:t>
      </w:r>
      <w:r>
        <w:rPr>
          <w:sz w:val="20"/>
        </w:rPr>
        <w:t>tenga</w:t>
      </w:r>
      <w:r>
        <w:rPr>
          <w:spacing w:val="46"/>
          <w:sz w:val="20"/>
        </w:rPr>
        <w:t> </w:t>
      </w:r>
      <w:r>
        <w:rPr>
          <w:sz w:val="20"/>
        </w:rPr>
        <w:t>relación</w:t>
      </w:r>
      <w:r>
        <w:rPr>
          <w:spacing w:val="45"/>
          <w:sz w:val="20"/>
        </w:rPr>
        <w:t> </w:t>
      </w:r>
      <w:r>
        <w:rPr>
          <w:sz w:val="20"/>
        </w:rPr>
        <w:t>directa</w:t>
      </w:r>
      <w:r>
        <w:rPr>
          <w:spacing w:val="46"/>
          <w:sz w:val="20"/>
        </w:rPr>
        <w:t> </w:t>
      </w:r>
      <w:r>
        <w:rPr>
          <w:sz w:val="20"/>
        </w:rPr>
        <w:t>con</w:t>
      </w:r>
      <w:r>
        <w:rPr>
          <w:spacing w:val="46"/>
          <w:sz w:val="20"/>
        </w:rPr>
        <w:t> </w:t>
      </w:r>
      <w:r>
        <w:rPr>
          <w:sz w:val="20"/>
        </w:rPr>
        <w:t>el</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hanging="1"/>
      </w:pPr>
      <w:r>
        <w:rPr/>
        <w:t>objeto del contrato, según resulte de sus respectivos estatutos o reglas fundacionales y figuren inscritas en el correspondiente registro oficial.</w:t>
      </w:r>
    </w:p>
    <w:p>
      <w:pPr>
        <w:pStyle w:val="ListParagraph"/>
        <w:numPr>
          <w:ilvl w:val="0"/>
          <w:numId w:val="121"/>
        </w:numPr>
        <w:tabs>
          <w:tab w:pos="1667" w:val="left" w:leader="none"/>
        </w:tabs>
        <w:spacing w:line="249" w:lineRule="auto" w:before="1" w:after="0"/>
        <w:ind w:left="1074" w:right="1272" w:firstLine="340"/>
        <w:jc w:val="both"/>
        <w:rPr>
          <w:sz w:val="20"/>
        </w:rPr>
      </w:pPr>
      <w:r>
        <w:rPr>
          <w:sz w:val="20"/>
        </w:rPr>
        <w:t>Las ofertas de entidades reconocidas como Organizaciones de Comercio Justo para la adjudicación de los contratos que tengan como objeto productos en los que exista alternativa de Comercio</w:t>
      </w:r>
      <w:r>
        <w:rPr>
          <w:spacing w:val="-4"/>
          <w:sz w:val="20"/>
        </w:rPr>
        <w:t> </w:t>
      </w:r>
      <w:r>
        <w:rPr>
          <w:sz w:val="20"/>
        </w:rPr>
        <w:t>Justo.</w:t>
      </w:r>
    </w:p>
    <w:p>
      <w:pPr>
        <w:pStyle w:val="ListParagraph"/>
        <w:numPr>
          <w:ilvl w:val="0"/>
          <w:numId w:val="121"/>
        </w:numPr>
        <w:tabs>
          <w:tab w:pos="1720" w:val="left" w:leader="none"/>
        </w:tabs>
        <w:spacing w:line="249" w:lineRule="auto" w:before="3" w:after="0"/>
        <w:ind w:left="1074" w:right="1274" w:firstLine="340"/>
        <w:jc w:val="both"/>
        <w:rPr>
          <w:sz w:val="20"/>
        </w:rPr>
      </w:pPr>
      <w:r>
        <w:rPr>
          <w:sz w:val="20"/>
        </w:rPr>
        <w:t>Proposiciones presentadas por las empresas que, al vencimiento del plazo de presentación de ofertas, incluyan medidas de carácter social y laboral que favorezcan la igualdad de oportunidades entre mujeres y</w:t>
      </w:r>
      <w:r>
        <w:rPr>
          <w:spacing w:val="-7"/>
          <w:sz w:val="20"/>
        </w:rPr>
        <w:t> </w:t>
      </w:r>
      <w:r>
        <w:rPr>
          <w:sz w:val="20"/>
        </w:rPr>
        <w:t>hombres.</w:t>
      </w:r>
    </w:p>
    <w:p>
      <w:pPr>
        <w:pStyle w:val="BodyText"/>
        <w:spacing w:line="249" w:lineRule="auto" w:before="122"/>
        <w:ind w:right="1276"/>
      </w:pPr>
      <w:r>
        <w:rPr/>
        <w:t>La documentación acreditativa de los criterios de desempate a que se refiere el presente apartado será aportada por los licitadores en el momento en que se produzca el empate, y no con carácter</w:t>
      </w:r>
      <w:r>
        <w:rPr>
          <w:spacing w:val="-2"/>
        </w:rPr>
        <w:t> </w:t>
      </w:r>
      <w:r>
        <w:rPr/>
        <w:t>previo.</w:t>
      </w:r>
    </w:p>
    <w:p>
      <w:pPr>
        <w:pStyle w:val="BodyText"/>
        <w:spacing w:line="249" w:lineRule="auto" w:before="3"/>
        <w:ind w:right="1272"/>
      </w:pPr>
      <w:r>
        <w:rPr/>
        <w:t>En defecto de la previsión en los pliegos, el empate entre varias ofertas tras la aplicación de los criterios de adjudicación del contrato se resolverá mediante la aplicación por orden de los siguientes criterios sociales, referidos al momento de finalizar el plazo de presentación de ofertas:</w:t>
      </w:r>
    </w:p>
    <w:p>
      <w:pPr>
        <w:pStyle w:val="ListParagraph"/>
        <w:numPr>
          <w:ilvl w:val="0"/>
          <w:numId w:val="122"/>
        </w:numPr>
        <w:tabs>
          <w:tab w:pos="1655" w:val="left" w:leader="none"/>
        </w:tabs>
        <w:spacing w:line="249" w:lineRule="auto" w:before="123" w:after="0"/>
        <w:ind w:left="1074" w:right="1272" w:firstLine="340"/>
        <w:jc w:val="both"/>
        <w:rPr>
          <w:sz w:val="20"/>
        </w:rPr>
      </w:pPr>
      <w:r>
        <w:rPr>
          <w:sz w:val="20"/>
        </w:rPr>
        <w:t>Mayor porcentaje de trabajadores con discapacidad o en situación de exclusión social en la plantilla de cada una de las empresas, primando en caso de igualdad, el mayor número de trabajadores fijos con discapacidad en plantilla, o el mayor número de personas trabajadoras en inclusión en la</w:t>
      </w:r>
      <w:r>
        <w:rPr>
          <w:spacing w:val="-6"/>
          <w:sz w:val="20"/>
        </w:rPr>
        <w:t> </w:t>
      </w:r>
      <w:r>
        <w:rPr>
          <w:sz w:val="20"/>
        </w:rPr>
        <w:t>plantilla.</w:t>
      </w:r>
    </w:p>
    <w:p>
      <w:pPr>
        <w:pStyle w:val="ListParagraph"/>
        <w:numPr>
          <w:ilvl w:val="0"/>
          <w:numId w:val="122"/>
        </w:numPr>
        <w:tabs>
          <w:tab w:pos="1723" w:val="left" w:leader="none"/>
        </w:tabs>
        <w:spacing w:line="249" w:lineRule="auto" w:before="3" w:after="0"/>
        <w:ind w:left="1074" w:right="1272" w:firstLine="340"/>
        <w:jc w:val="both"/>
        <w:rPr>
          <w:sz w:val="20"/>
        </w:rPr>
      </w:pPr>
      <w:r>
        <w:rPr>
          <w:sz w:val="20"/>
        </w:rPr>
        <w:t>Menor porcentaje de contratos temporales en la plantilla de cada una de las empresas.</w:t>
      </w:r>
    </w:p>
    <w:p>
      <w:pPr>
        <w:pStyle w:val="ListParagraph"/>
        <w:numPr>
          <w:ilvl w:val="0"/>
          <w:numId w:val="122"/>
        </w:numPr>
        <w:tabs>
          <w:tab w:pos="1637" w:val="left" w:leader="none"/>
        </w:tabs>
        <w:spacing w:line="240" w:lineRule="auto" w:before="2" w:after="0"/>
        <w:ind w:left="1636" w:right="0" w:hanging="223"/>
        <w:jc w:val="both"/>
        <w:rPr>
          <w:sz w:val="20"/>
        </w:rPr>
      </w:pPr>
      <w:r>
        <w:rPr>
          <w:sz w:val="20"/>
        </w:rPr>
        <w:t>Mayor porcentaje de mujeres empleadas en la plantilla de cada una de las</w:t>
      </w:r>
      <w:r>
        <w:rPr>
          <w:spacing w:val="-25"/>
          <w:sz w:val="20"/>
        </w:rPr>
        <w:t> </w:t>
      </w:r>
      <w:r>
        <w:rPr>
          <w:sz w:val="20"/>
        </w:rPr>
        <w:t>empresas.</w:t>
      </w:r>
    </w:p>
    <w:p>
      <w:pPr>
        <w:pStyle w:val="ListParagraph"/>
        <w:numPr>
          <w:ilvl w:val="0"/>
          <w:numId w:val="122"/>
        </w:numPr>
        <w:tabs>
          <w:tab w:pos="1681" w:val="left" w:leader="none"/>
        </w:tabs>
        <w:spacing w:line="249" w:lineRule="auto" w:before="10" w:after="0"/>
        <w:ind w:left="1074" w:right="1273" w:firstLine="340"/>
        <w:jc w:val="both"/>
        <w:rPr>
          <w:sz w:val="20"/>
        </w:rPr>
      </w:pPr>
      <w:r>
        <w:rPr>
          <w:sz w:val="20"/>
        </w:rPr>
        <w:t>El sorteo, en caso de que la aplicación de los anteriores criterios no hubiera dado lugar a</w:t>
      </w:r>
      <w:r>
        <w:rPr>
          <w:spacing w:val="-3"/>
          <w:sz w:val="20"/>
        </w:rPr>
        <w:t> </w:t>
      </w:r>
      <w:r>
        <w:rPr>
          <w:sz w:val="20"/>
        </w:rPr>
        <w:t>desempate.</w:t>
      </w:r>
    </w:p>
    <w:p>
      <w:pPr>
        <w:pStyle w:val="BodyText"/>
        <w:spacing w:before="4"/>
        <w:ind w:left="0" w:firstLine="0"/>
        <w:jc w:val="left"/>
      </w:pPr>
    </w:p>
    <w:p>
      <w:pPr>
        <w:spacing w:before="0"/>
        <w:ind w:left="1074" w:right="0" w:firstLine="0"/>
        <w:jc w:val="both"/>
        <w:rPr>
          <w:i/>
          <w:sz w:val="20"/>
        </w:rPr>
      </w:pPr>
      <w:bookmarkStart w:name="Artículo 67. Cálculo del ciclo de vida." w:id="110"/>
      <w:bookmarkEnd w:id="110"/>
      <w:r>
        <w:rPr/>
      </w:r>
      <w:r>
        <w:rPr>
          <w:b/>
          <w:sz w:val="20"/>
        </w:rPr>
        <w:t>Artículo 67. </w:t>
      </w:r>
      <w:r>
        <w:rPr>
          <w:i/>
          <w:sz w:val="20"/>
        </w:rPr>
        <w:t>Cálculo del ciclo de vida.</w:t>
      </w:r>
    </w:p>
    <w:p>
      <w:pPr>
        <w:pStyle w:val="ListParagraph"/>
        <w:numPr>
          <w:ilvl w:val="0"/>
          <w:numId w:val="123"/>
        </w:numPr>
        <w:tabs>
          <w:tab w:pos="1641" w:val="left" w:leader="none"/>
        </w:tabs>
        <w:spacing w:line="249" w:lineRule="auto" w:before="118" w:after="0"/>
        <w:ind w:left="1074" w:right="1274" w:firstLine="340"/>
        <w:jc w:val="both"/>
        <w:rPr>
          <w:sz w:val="20"/>
        </w:rPr>
      </w:pPr>
      <w:r>
        <w:rPr>
          <w:sz w:val="20"/>
        </w:rPr>
        <w:t>A los efectos de lo dispuesto en el artículo 66, el cálculo del coste del ciclo de vida, en el sentido definido en el artículo 2.r), incluirá, según el caso, la totalidad o una parte de los costes siguientes en que se hubiere incurrido a lo largo del ciclo de vida de un producto, un servicio o una</w:t>
      </w:r>
      <w:r>
        <w:rPr>
          <w:spacing w:val="-3"/>
          <w:sz w:val="20"/>
        </w:rPr>
        <w:t> </w:t>
      </w:r>
      <w:r>
        <w:rPr>
          <w:sz w:val="20"/>
        </w:rPr>
        <w:t>obra:</w:t>
      </w:r>
    </w:p>
    <w:p>
      <w:pPr>
        <w:pStyle w:val="ListParagraph"/>
        <w:numPr>
          <w:ilvl w:val="0"/>
          <w:numId w:val="124"/>
        </w:numPr>
        <w:tabs>
          <w:tab w:pos="1648" w:val="left" w:leader="none"/>
        </w:tabs>
        <w:spacing w:line="360" w:lineRule="exact" w:before="23" w:after="0"/>
        <w:ind w:left="1414" w:right="1761" w:firstLine="0"/>
        <w:jc w:val="left"/>
        <w:rPr>
          <w:sz w:val="20"/>
        </w:rPr>
      </w:pPr>
      <w:r>
        <w:rPr>
          <w:sz w:val="20"/>
        </w:rPr>
        <w:t>los costes sufragados por la entidad contratante o por otros usuarios, tales como: 1.º Los costes relativos a la</w:t>
      </w:r>
      <w:r>
        <w:rPr>
          <w:spacing w:val="-6"/>
          <w:sz w:val="20"/>
        </w:rPr>
        <w:t> </w:t>
      </w:r>
      <w:r>
        <w:rPr>
          <w:sz w:val="20"/>
        </w:rPr>
        <w:t>adquisición,</w:t>
      </w:r>
    </w:p>
    <w:p>
      <w:pPr>
        <w:pStyle w:val="ListParagraph"/>
        <w:numPr>
          <w:ilvl w:val="0"/>
          <w:numId w:val="123"/>
        </w:numPr>
        <w:tabs>
          <w:tab w:pos="1583" w:val="left" w:leader="none"/>
        </w:tabs>
        <w:spacing w:line="210" w:lineRule="exact" w:before="0" w:after="0"/>
        <w:ind w:left="1582" w:right="0" w:hanging="169"/>
        <w:jc w:val="left"/>
        <w:rPr>
          <w:sz w:val="20"/>
        </w:rPr>
      </w:pPr>
      <w:r>
        <w:rPr>
          <w:sz w:val="20"/>
        </w:rPr>
        <w:t>º los costes de utilización, como el consumo de energía y otros</w:t>
      </w:r>
      <w:r>
        <w:rPr>
          <w:spacing w:val="-14"/>
          <w:sz w:val="20"/>
        </w:rPr>
        <w:t> </w:t>
      </w:r>
      <w:r>
        <w:rPr>
          <w:sz w:val="20"/>
        </w:rPr>
        <w:t>recursos,</w:t>
      </w:r>
    </w:p>
    <w:p>
      <w:pPr>
        <w:pStyle w:val="ListParagraph"/>
        <w:numPr>
          <w:ilvl w:val="0"/>
          <w:numId w:val="123"/>
        </w:numPr>
        <w:tabs>
          <w:tab w:pos="1583" w:val="left" w:leader="none"/>
        </w:tabs>
        <w:spacing w:line="240" w:lineRule="auto" w:before="10" w:after="0"/>
        <w:ind w:left="1582" w:right="0" w:hanging="169"/>
        <w:jc w:val="left"/>
        <w:rPr>
          <w:sz w:val="20"/>
        </w:rPr>
      </w:pPr>
      <w:r>
        <w:rPr>
          <w:sz w:val="20"/>
        </w:rPr>
        <w:t>º los costes de mantenimiento,</w:t>
      </w:r>
      <w:r>
        <w:rPr>
          <w:spacing w:val="-4"/>
          <w:sz w:val="20"/>
        </w:rPr>
        <w:t> </w:t>
      </w:r>
      <w:r>
        <w:rPr>
          <w:sz w:val="20"/>
        </w:rPr>
        <w:t>y</w:t>
      </w:r>
    </w:p>
    <w:p>
      <w:pPr>
        <w:pStyle w:val="ListParagraph"/>
        <w:numPr>
          <w:ilvl w:val="0"/>
          <w:numId w:val="123"/>
        </w:numPr>
        <w:tabs>
          <w:tab w:pos="1583" w:val="left" w:leader="none"/>
        </w:tabs>
        <w:spacing w:line="240" w:lineRule="auto" w:before="10" w:after="0"/>
        <w:ind w:left="1582" w:right="0" w:hanging="169"/>
        <w:jc w:val="left"/>
        <w:rPr>
          <w:sz w:val="20"/>
        </w:rPr>
      </w:pPr>
      <w:r>
        <w:rPr>
          <w:sz w:val="20"/>
        </w:rPr>
        <w:t>º los costes de final de vida, como los costes de recogida y</w:t>
      </w:r>
      <w:r>
        <w:rPr>
          <w:spacing w:val="-8"/>
          <w:sz w:val="20"/>
        </w:rPr>
        <w:t> </w:t>
      </w:r>
      <w:r>
        <w:rPr>
          <w:sz w:val="20"/>
        </w:rPr>
        <w:t>reciclado.</w:t>
      </w:r>
    </w:p>
    <w:p>
      <w:pPr>
        <w:pStyle w:val="ListParagraph"/>
        <w:numPr>
          <w:ilvl w:val="0"/>
          <w:numId w:val="124"/>
        </w:numPr>
        <w:tabs>
          <w:tab w:pos="1707" w:val="left" w:leader="none"/>
        </w:tabs>
        <w:spacing w:line="249" w:lineRule="auto" w:before="130" w:after="0"/>
        <w:ind w:left="1074" w:right="1273" w:firstLine="340"/>
        <w:jc w:val="both"/>
        <w:rPr>
          <w:sz w:val="20"/>
        </w:rPr>
      </w:pPr>
      <w:r>
        <w:rPr>
          <w:sz w:val="20"/>
        </w:rPr>
        <w:t>los costes imputados a externalidades medioambientales vinculadas al producto, servicio u obra durante su ciclo de vida, a condición de que su valor monetario pueda determinarse y verificarse; estos costes podrán incluir el coste de las emisiones de gases de efecto invernadero y de otras emisiones contaminantes, así como otros costes de mitigación del cambio</w:t>
      </w:r>
      <w:r>
        <w:rPr>
          <w:spacing w:val="-2"/>
          <w:sz w:val="20"/>
        </w:rPr>
        <w:t> </w:t>
      </w:r>
      <w:r>
        <w:rPr>
          <w:sz w:val="20"/>
        </w:rPr>
        <w:t>climático.</w:t>
      </w:r>
    </w:p>
    <w:p>
      <w:pPr>
        <w:pStyle w:val="BodyText"/>
        <w:spacing w:line="249" w:lineRule="auto" w:before="124"/>
        <w:ind w:right="1272"/>
      </w:pPr>
      <w:r>
        <w:rPr/>
        <w:t>En los casos en que una norma de la Unión Europea haga obligatorio un método común para calcular los costes del ciclo de vida, se aplicará el mismo a la evaluación de los citados costes.</w:t>
      </w:r>
    </w:p>
    <w:p>
      <w:pPr>
        <w:pStyle w:val="ListParagraph"/>
        <w:numPr>
          <w:ilvl w:val="0"/>
          <w:numId w:val="125"/>
        </w:numPr>
        <w:tabs>
          <w:tab w:pos="1654" w:val="left" w:leader="none"/>
        </w:tabs>
        <w:spacing w:line="249" w:lineRule="auto" w:before="2" w:after="0"/>
        <w:ind w:left="1074" w:right="1273" w:firstLine="340"/>
        <w:jc w:val="both"/>
        <w:rPr>
          <w:sz w:val="20"/>
        </w:rPr>
      </w:pPr>
      <w:r>
        <w:rPr>
          <w:sz w:val="20"/>
        </w:rPr>
        <w:t>Cuando las entidades de contratación evalúen los costes mediante un planteamiento basado en el cálculo del coste del ciclo de vida, indicarán en los pliegos de condiciones los datos que deben facilitar los licitadores, así como el método que aquellos utilizarán para determinar los costes del ciclo de vida sobre la base de dichos</w:t>
      </w:r>
      <w:r>
        <w:rPr>
          <w:spacing w:val="-15"/>
          <w:sz w:val="20"/>
        </w:rPr>
        <w:t> </w:t>
      </w:r>
      <w:r>
        <w:rPr>
          <w:sz w:val="20"/>
        </w:rPr>
        <w:t>datos.</w:t>
      </w:r>
    </w:p>
    <w:p>
      <w:pPr>
        <w:pStyle w:val="BodyText"/>
        <w:spacing w:line="249" w:lineRule="auto" w:before="3"/>
        <w:ind w:right="1274"/>
      </w:pPr>
      <w:r>
        <w:rPr/>
        <w:t>El método utilizado para la evaluación de los costes imputados a externalidades medioambientales cumplirá todas las condiciones siguientes:</w:t>
      </w:r>
    </w:p>
    <w:p>
      <w:pPr>
        <w:pStyle w:val="ListParagraph"/>
        <w:numPr>
          <w:ilvl w:val="0"/>
          <w:numId w:val="126"/>
        </w:numPr>
        <w:tabs>
          <w:tab w:pos="1649" w:val="left" w:leader="none"/>
        </w:tabs>
        <w:spacing w:line="249" w:lineRule="auto" w:before="122" w:after="0"/>
        <w:ind w:left="1074" w:right="1273" w:firstLine="340"/>
        <w:jc w:val="both"/>
        <w:rPr>
          <w:sz w:val="20"/>
        </w:rPr>
      </w:pPr>
      <w:r>
        <w:rPr>
          <w:sz w:val="20"/>
        </w:rPr>
        <w:t>estar basado en criterios verificables objetivamente y no discriminatorios; en particular, si no se ha establecido para una aplicación repetida o continuada, no favorecerá o perjudicará indebidamente a empresas</w:t>
      </w:r>
      <w:r>
        <w:rPr>
          <w:spacing w:val="-7"/>
          <w:sz w:val="20"/>
        </w:rPr>
        <w:t> </w:t>
      </w:r>
      <w:r>
        <w:rPr>
          <w:sz w:val="20"/>
        </w:rPr>
        <w:t>determinadas,</w:t>
      </w:r>
    </w:p>
    <w:p>
      <w:pPr>
        <w:pStyle w:val="ListParagraph"/>
        <w:numPr>
          <w:ilvl w:val="0"/>
          <w:numId w:val="126"/>
        </w:numPr>
        <w:tabs>
          <w:tab w:pos="1648" w:val="left" w:leader="none"/>
        </w:tabs>
        <w:spacing w:line="240" w:lineRule="auto" w:before="3" w:after="0"/>
        <w:ind w:left="1647" w:right="0" w:hanging="234"/>
        <w:jc w:val="both"/>
        <w:rPr>
          <w:sz w:val="20"/>
        </w:rPr>
      </w:pPr>
      <w:r>
        <w:rPr>
          <w:sz w:val="20"/>
        </w:rPr>
        <w:t>ser accesible para todas las partes interesadas,</w:t>
      </w:r>
      <w:r>
        <w:rPr>
          <w:spacing w:val="-8"/>
          <w:sz w:val="20"/>
        </w:rPr>
        <w:t> </w:t>
      </w:r>
      <w:r>
        <w:rPr>
          <w:sz w:val="20"/>
        </w:rPr>
        <w:t>y</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26"/>
        </w:numPr>
        <w:tabs>
          <w:tab w:pos="1639" w:val="left" w:leader="none"/>
        </w:tabs>
        <w:spacing w:line="249" w:lineRule="auto" w:before="127" w:after="0"/>
        <w:ind w:left="1074" w:right="1273" w:firstLine="340"/>
        <w:jc w:val="both"/>
        <w:rPr>
          <w:sz w:val="20"/>
        </w:rPr>
      </w:pPr>
      <w:r>
        <w:rPr>
          <w:sz w:val="20"/>
        </w:rPr>
        <w:t>la información necesaria debe poder ser facilitada con un esfuerzo razonable por parte de las empresas, incluidas aquellas procedentes de Estados signatarios del Acuerdo sobre Contratación Pública de la Organización Mundial de Comercio o de otros Estados signatarios de algún otro Acuerdo Internacional que vincule a España o a la Unión</w:t>
      </w:r>
      <w:r>
        <w:rPr>
          <w:spacing w:val="-15"/>
          <w:sz w:val="20"/>
        </w:rPr>
        <w:t> </w:t>
      </w:r>
      <w:r>
        <w:rPr>
          <w:sz w:val="20"/>
        </w:rPr>
        <w:t>Europea.</w:t>
      </w:r>
    </w:p>
    <w:p>
      <w:pPr>
        <w:pStyle w:val="ListParagraph"/>
        <w:numPr>
          <w:ilvl w:val="0"/>
          <w:numId w:val="125"/>
        </w:numPr>
        <w:tabs>
          <w:tab w:pos="1686" w:val="left" w:leader="none"/>
        </w:tabs>
        <w:spacing w:line="249" w:lineRule="auto" w:before="123" w:after="0"/>
        <w:ind w:left="1074" w:right="1273" w:firstLine="340"/>
        <w:jc w:val="both"/>
        <w:rPr>
          <w:sz w:val="20"/>
        </w:rPr>
      </w:pPr>
      <w:r>
        <w:rPr>
          <w:sz w:val="20"/>
        </w:rPr>
        <w:t>Las entidades contratantes calcularán los costes a que se refieren los apartados primero y segundo del artículo 66 atendiendo, preferentemente, al coste del ciclo de</w:t>
      </w:r>
      <w:r>
        <w:rPr>
          <w:spacing w:val="-38"/>
          <w:sz w:val="20"/>
        </w:rPr>
        <w:t> </w:t>
      </w:r>
      <w:r>
        <w:rPr>
          <w:sz w:val="20"/>
        </w:rPr>
        <w:t>vida.</w:t>
      </w:r>
    </w:p>
    <w:p>
      <w:pPr>
        <w:pStyle w:val="BodyText"/>
        <w:spacing w:before="4"/>
        <w:ind w:left="0" w:firstLine="0"/>
        <w:jc w:val="left"/>
      </w:pPr>
    </w:p>
    <w:p>
      <w:pPr>
        <w:spacing w:before="0"/>
        <w:ind w:left="1074" w:right="0" w:firstLine="0"/>
        <w:jc w:val="both"/>
        <w:rPr>
          <w:i/>
          <w:sz w:val="20"/>
        </w:rPr>
      </w:pPr>
      <w:bookmarkStart w:name="Artículo 68. Admisión de variantes." w:id="111"/>
      <w:bookmarkEnd w:id="111"/>
      <w:r>
        <w:rPr/>
      </w:r>
      <w:r>
        <w:rPr>
          <w:b/>
          <w:sz w:val="20"/>
        </w:rPr>
        <w:t>Artículo 68. </w:t>
      </w:r>
      <w:r>
        <w:rPr>
          <w:i/>
          <w:sz w:val="20"/>
        </w:rPr>
        <w:t>Admisión de variantes.</w:t>
      </w:r>
    </w:p>
    <w:p>
      <w:pPr>
        <w:pStyle w:val="ListParagraph"/>
        <w:numPr>
          <w:ilvl w:val="0"/>
          <w:numId w:val="127"/>
        </w:numPr>
        <w:tabs>
          <w:tab w:pos="1642" w:val="left" w:leader="none"/>
        </w:tabs>
        <w:spacing w:line="249" w:lineRule="auto" w:before="118" w:after="0"/>
        <w:ind w:left="1074" w:right="1273" w:firstLine="340"/>
        <w:jc w:val="both"/>
        <w:rPr>
          <w:sz w:val="20"/>
        </w:rPr>
      </w:pPr>
      <w:r>
        <w:rPr>
          <w:sz w:val="20"/>
        </w:rPr>
        <w:t>Cuando la naturaleza de los criterios de adjudicación del contrato lo admita, la entidad contratante podrá tomar en consideración variantes o alternativas presentadas por un licitador, siempre que estas cumplan las condiciones mínimas y los requisitos para su presentación establecidos por la citada entidad en el pliego de</w:t>
      </w:r>
      <w:r>
        <w:rPr>
          <w:spacing w:val="-19"/>
          <w:sz w:val="20"/>
        </w:rPr>
        <w:t> </w:t>
      </w:r>
      <w:r>
        <w:rPr>
          <w:sz w:val="20"/>
        </w:rPr>
        <w:t>condiciones.</w:t>
      </w:r>
    </w:p>
    <w:p>
      <w:pPr>
        <w:pStyle w:val="BodyText"/>
        <w:spacing w:line="249" w:lineRule="auto" w:before="3"/>
        <w:ind w:right="1275"/>
      </w:pPr>
      <w:r>
        <w:rPr/>
        <w:t>No serán admisibles las variantes en los pliegos de condiciones cuando solo se utilice como criterio de adjudicación el del precio más bajo.</w:t>
      </w:r>
    </w:p>
    <w:p>
      <w:pPr>
        <w:pStyle w:val="ListParagraph"/>
        <w:numPr>
          <w:ilvl w:val="0"/>
          <w:numId w:val="127"/>
        </w:numPr>
        <w:tabs>
          <w:tab w:pos="1647" w:val="left" w:leader="none"/>
        </w:tabs>
        <w:spacing w:line="249" w:lineRule="auto" w:before="2" w:after="0"/>
        <w:ind w:left="1074" w:right="1274" w:firstLine="340"/>
        <w:jc w:val="both"/>
        <w:rPr>
          <w:sz w:val="20"/>
        </w:rPr>
      </w:pPr>
      <w:r>
        <w:rPr>
          <w:sz w:val="20"/>
        </w:rPr>
        <w:t>Las entidades contratantes indicarán en el pliego de condiciones si autorizan o no las variantes y, en caso afirmativo, las condiciones mínimas que deben reunir las variantes, así como los requisitos para su</w:t>
      </w:r>
      <w:r>
        <w:rPr>
          <w:spacing w:val="-4"/>
          <w:sz w:val="20"/>
        </w:rPr>
        <w:t> </w:t>
      </w:r>
      <w:r>
        <w:rPr>
          <w:sz w:val="20"/>
        </w:rPr>
        <w:t>presentación.</w:t>
      </w:r>
    </w:p>
    <w:p>
      <w:pPr>
        <w:pStyle w:val="BodyText"/>
        <w:spacing w:line="249" w:lineRule="auto"/>
        <w:ind w:right="1272"/>
      </w:pPr>
      <w:r>
        <w:rPr/>
        <w:t>Las precisiones de las variantes que se puedan admitir podrán hacer referencia a determinadas funcionalidades que puedan tener los bienes, obras o servicios objeto del contrato, o a la satisfacción adecuada de determinadas necesidades.</w:t>
      </w:r>
    </w:p>
    <w:p>
      <w:pPr>
        <w:pStyle w:val="BodyText"/>
        <w:spacing w:before="3"/>
        <w:ind w:left="1414" w:firstLine="0"/>
      </w:pPr>
      <w:r>
        <w:rPr/>
        <w:t>Las variantes estarán vinculadas al objeto del contrato.</w:t>
      </w:r>
    </w:p>
    <w:p>
      <w:pPr>
        <w:pStyle w:val="ListParagraph"/>
        <w:numPr>
          <w:ilvl w:val="0"/>
          <w:numId w:val="127"/>
        </w:numPr>
        <w:tabs>
          <w:tab w:pos="1680" w:val="left" w:leader="none"/>
        </w:tabs>
        <w:spacing w:line="249" w:lineRule="auto" w:before="10" w:after="0"/>
        <w:ind w:left="1074" w:right="1275" w:firstLine="340"/>
        <w:jc w:val="both"/>
        <w:rPr>
          <w:sz w:val="20"/>
        </w:rPr>
      </w:pPr>
      <w:r>
        <w:rPr>
          <w:sz w:val="20"/>
        </w:rPr>
        <w:t>Cuando el pliego de condiciones autorice la presentación de variantes, la entidad contratante deberá elegir criterios de adjudicación que puedan aplicarse tanto a las ofertas como a las</w:t>
      </w:r>
      <w:r>
        <w:rPr>
          <w:spacing w:val="-3"/>
          <w:sz w:val="20"/>
        </w:rPr>
        <w:t> </w:t>
      </w:r>
      <w:r>
        <w:rPr>
          <w:sz w:val="20"/>
        </w:rPr>
        <w:t>variantes.</w:t>
      </w:r>
    </w:p>
    <w:p>
      <w:pPr>
        <w:pStyle w:val="ListParagraph"/>
        <w:numPr>
          <w:ilvl w:val="0"/>
          <w:numId w:val="127"/>
        </w:numPr>
        <w:tabs>
          <w:tab w:pos="1686" w:val="left" w:leader="none"/>
        </w:tabs>
        <w:spacing w:line="249" w:lineRule="auto" w:before="2" w:after="0"/>
        <w:ind w:left="1074" w:right="1272" w:firstLine="340"/>
        <w:jc w:val="both"/>
        <w:rPr>
          <w:sz w:val="20"/>
        </w:rPr>
      </w:pPr>
      <w:r>
        <w:rPr>
          <w:sz w:val="20"/>
        </w:rPr>
        <w:t>La entidad contratante no podrá rechazar la presentación de una variante por la exclusiva razón de haber sido elaborada de conformidad con prescripciones técnicas definidas mediante referencia a prescripciones técnicas europeas o a prescripciones  técnicas nacionales reconocidas de conformidad con los requisitos esenciales definidos en el Real Decreto 1630/1992, de 29 de diciembre, por el que se dictan disposiciones para la libre circulación de productos de construcción, en aplicación de la Directiva</w:t>
      </w:r>
      <w:r>
        <w:rPr>
          <w:spacing w:val="-24"/>
          <w:sz w:val="20"/>
        </w:rPr>
        <w:t> </w:t>
      </w:r>
      <w:r>
        <w:rPr>
          <w:sz w:val="20"/>
        </w:rPr>
        <w:t>89/106/CEE.</w:t>
      </w:r>
    </w:p>
    <w:p>
      <w:pPr>
        <w:pStyle w:val="ListParagraph"/>
        <w:numPr>
          <w:ilvl w:val="0"/>
          <w:numId w:val="127"/>
        </w:numPr>
        <w:tabs>
          <w:tab w:pos="1657" w:val="left" w:leader="none"/>
        </w:tabs>
        <w:spacing w:line="249" w:lineRule="auto" w:before="5" w:after="0"/>
        <w:ind w:left="1074" w:right="1272" w:firstLine="340"/>
        <w:jc w:val="both"/>
        <w:rPr>
          <w:sz w:val="20"/>
        </w:rPr>
      </w:pPr>
      <w:r>
        <w:rPr>
          <w:sz w:val="20"/>
        </w:rPr>
        <w:t>En los procedimientos de adjudicación de contratos de suministro o de servicios, las entidades contratantes que, según lo dispuesto en los apartados 1 y 2, autoricen variantes, no podrán rechazar una de ellas por el solo motivo de que, de ser elegida, daría lugar bien a un contrato de servicios en vez de un contrato de suministro, bien a un contrato de suministro en lugar de un contrato de</w:t>
      </w:r>
      <w:r>
        <w:rPr>
          <w:spacing w:val="-6"/>
          <w:sz w:val="20"/>
        </w:rPr>
        <w:t> </w:t>
      </w:r>
      <w:r>
        <w:rPr>
          <w:sz w:val="20"/>
        </w:rPr>
        <w:t>servicios.</w:t>
      </w:r>
    </w:p>
    <w:p>
      <w:pPr>
        <w:pStyle w:val="BodyText"/>
        <w:spacing w:before="6"/>
        <w:ind w:left="0" w:firstLine="0"/>
        <w:jc w:val="left"/>
      </w:pPr>
    </w:p>
    <w:p>
      <w:pPr>
        <w:spacing w:before="1"/>
        <w:ind w:left="1074" w:right="0" w:firstLine="0"/>
        <w:jc w:val="both"/>
        <w:rPr>
          <w:i/>
          <w:sz w:val="20"/>
        </w:rPr>
      </w:pPr>
      <w:bookmarkStart w:name="Artículo 69. Ofertas anormalmente bajas." w:id="112"/>
      <w:bookmarkEnd w:id="112"/>
      <w:r>
        <w:rPr/>
      </w:r>
      <w:r>
        <w:rPr>
          <w:b/>
          <w:sz w:val="20"/>
        </w:rPr>
        <w:t>Artículo 69. </w:t>
      </w:r>
      <w:r>
        <w:rPr>
          <w:i/>
          <w:sz w:val="20"/>
        </w:rPr>
        <w:t>Ofertas anormalmente bajas.</w:t>
      </w:r>
    </w:p>
    <w:p>
      <w:pPr>
        <w:pStyle w:val="ListParagraph"/>
        <w:numPr>
          <w:ilvl w:val="0"/>
          <w:numId w:val="128"/>
        </w:numPr>
        <w:tabs>
          <w:tab w:pos="1638" w:val="left" w:leader="none"/>
        </w:tabs>
        <w:spacing w:line="249" w:lineRule="auto" w:before="117" w:after="0"/>
        <w:ind w:left="1074" w:right="1274" w:firstLine="340"/>
        <w:jc w:val="both"/>
        <w:rPr>
          <w:sz w:val="20"/>
        </w:rPr>
      </w:pPr>
      <w:r>
        <w:rPr>
          <w:sz w:val="20"/>
        </w:rPr>
        <w:t>En los casos en que la entidad contratante presuma que una oferta resulta inviable por haber sido formulada en términos que la hacen anormalmente baja, solo podrá excluirla del procedimiento</w:t>
      </w:r>
      <w:r>
        <w:rPr>
          <w:spacing w:val="-6"/>
          <w:sz w:val="20"/>
        </w:rPr>
        <w:t> </w:t>
      </w:r>
      <w:r>
        <w:rPr>
          <w:sz w:val="20"/>
        </w:rPr>
        <w:t>de</w:t>
      </w:r>
      <w:r>
        <w:rPr>
          <w:spacing w:val="-5"/>
          <w:sz w:val="20"/>
        </w:rPr>
        <w:t> </w:t>
      </w:r>
      <w:r>
        <w:rPr>
          <w:sz w:val="20"/>
        </w:rPr>
        <w:t>licitación</w:t>
      </w:r>
      <w:r>
        <w:rPr>
          <w:spacing w:val="-6"/>
          <w:sz w:val="20"/>
        </w:rPr>
        <w:t> </w:t>
      </w:r>
      <w:r>
        <w:rPr>
          <w:sz w:val="20"/>
        </w:rPr>
        <w:t>previa</w:t>
      </w:r>
      <w:r>
        <w:rPr>
          <w:spacing w:val="-5"/>
          <w:sz w:val="20"/>
        </w:rPr>
        <w:t> </w:t>
      </w:r>
      <w:r>
        <w:rPr>
          <w:sz w:val="20"/>
        </w:rPr>
        <w:t>tramitación</w:t>
      </w:r>
      <w:r>
        <w:rPr>
          <w:spacing w:val="-5"/>
          <w:sz w:val="20"/>
        </w:rPr>
        <w:t> </w:t>
      </w:r>
      <w:r>
        <w:rPr>
          <w:sz w:val="20"/>
        </w:rPr>
        <w:t>del</w:t>
      </w:r>
      <w:r>
        <w:rPr>
          <w:spacing w:val="-5"/>
          <w:sz w:val="20"/>
        </w:rPr>
        <w:t> </w:t>
      </w:r>
      <w:r>
        <w:rPr>
          <w:sz w:val="20"/>
        </w:rPr>
        <w:t>procedimiento</w:t>
      </w:r>
      <w:r>
        <w:rPr>
          <w:spacing w:val="-6"/>
          <w:sz w:val="20"/>
        </w:rPr>
        <w:t> </w:t>
      </w:r>
      <w:r>
        <w:rPr>
          <w:sz w:val="20"/>
        </w:rPr>
        <w:t>que</w:t>
      </w:r>
      <w:r>
        <w:rPr>
          <w:spacing w:val="-5"/>
          <w:sz w:val="20"/>
        </w:rPr>
        <w:t> </w:t>
      </w:r>
      <w:r>
        <w:rPr>
          <w:sz w:val="20"/>
        </w:rPr>
        <w:t>establece</w:t>
      </w:r>
      <w:r>
        <w:rPr>
          <w:spacing w:val="-6"/>
          <w:sz w:val="20"/>
        </w:rPr>
        <w:t> </w:t>
      </w:r>
      <w:r>
        <w:rPr>
          <w:sz w:val="20"/>
        </w:rPr>
        <w:t>este</w:t>
      </w:r>
      <w:r>
        <w:rPr>
          <w:spacing w:val="-5"/>
          <w:sz w:val="20"/>
        </w:rPr>
        <w:t> </w:t>
      </w:r>
      <w:r>
        <w:rPr>
          <w:sz w:val="20"/>
        </w:rPr>
        <w:t>artículo.</w:t>
      </w:r>
    </w:p>
    <w:p>
      <w:pPr>
        <w:pStyle w:val="ListParagraph"/>
        <w:numPr>
          <w:ilvl w:val="0"/>
          <w:numId w:val="128"/>
        </w:numPr>
        <w:tabs>
          <w:tab w:pos="1668" w:val="left" w:leader="none"/>
        </w:tabs>
        <w:spacing w:line="249" w:lineRule="auto" w:before="3" w:after="0"/>
        <w:ind w:left="1074" w:right="1273" w:firstLine="340"/>
        <w:jc w:val="both"/>
        <w:rPr>
          <w:sz w:val="20"/>
        </w:rPr>
      </w:pPr>
      <w:r>
        <w:rPr>
          <w:sz w:val="20"/>
        </w:rPr>
        <w:t>La entidad contratante deberá identificar las ofertas que se encuentran incursas en presunción de anormalidad, debiendo contemplarse en los pliegos de condiciones, a estos efectos, los parámetros objetivos que deberán permitir identificar los casos en que una oferta se considere</w:t>
      </w:r>
      <w:r>
        <w:rPr>
          <w:spacing w:val="-1"/>
          <w:sz w:val="20"/>
        </w:rPr>
        <w:t> </w:t>
      </w:r>
      <w:r>
        <w:rPr>
          <w:sz w:val="20"/>
        </w:rPr>
        <w:t>anormal.</w:t>
      </w:r>
    </w:p>
    <w:p>
      <w:pPr>
        <w:pStyle w:val="ListParagraph"/>
        <w:numPr>
          <w:ilvl w:val="0"/>
          <w:numId w:val="128"/>
        </w:numPr>
        <w:tabs>
          <w:tab w:pos="1667" w:val="left" w:leader="none"/>
        </w:tabs>
        <w:spacing w:line="249" w:lineRule="auto" w:before="3" w:after="0"/>
        <w:ind w:left="1074" w:right="1274" w:firstLine="340"/>
        <w:jc w:val="both"/>
        <w:rPr>
          <w:sz w:val="20"/>
        </w:rPr>
      </w:pPr>
      <w:r>
        <w:rPr>
          <w:sz w:val="20"/>
        </w:rPr>
        <w:t>Cuando la entidad contratante hubiere identificado una o varias ofertas incursas en presunción de anormalidad, deberá requerir al licitador o licitadores que las hubieren presentado dándoles plazo suficiente para que justifiquen y desglosen razonada y detalladamente el bajo nivel de los precios, o de costes o cualquier otro parámetro en función del cual se haya definido la anormalidad de la oferta, mediante la presentación de aquella información y documentos que resulten pertinentes a estos</w:t>
      </w:r>
      <w:r>
        <w:rPr>
          <w:spacing w:val="-19"/>
          <w:sz w:val="20"/>
        </w:rPr>
        <w:t> </w:t>
      </w:r>
      <w:r>
        <w:rPr>
          <w:sz w:val="20"/>
        </w:rPr>
        <w:t>efectos.</w:t>
      </w:r>
    </w:p>
    <w:p>
      <w:pPr>
        <w:pStyle w:val="BodyText"/>
        <w:spacing w:line="249" w:lineRule="auto" w:before="5"/>
        <w:ind w:right="1273"/>
      </w:pPr>
      <w:r>
        <w:rPr/>
        <w:t>La petición de información que la entidad contratante dirija al licitador deberá formularse con claridad de manera que estos estén en condiciones de justificar plena y oportunamente la viabilidad de sus</w:t>
      </w:r>
      <w:r>
        <w:rPr>
          <w:spacing w:val="-3"/>
        </w:rPr>
        <w:t> </w:t>
      </w:r>
      <w:r>
        <w:rPr/>
        <w:t>ofertas.</w:t>
      </w:r>
    </w:p>
    <w:p>
      <w:pPr>
        <w:pStyle w:val="BodyText"/>
        <w:spacing w:line="249" w:lineRule="auto"/>
        <w:ind w:right="1275"/>
      </w:pPr>
      <w:r>
        <w:rPr/>
        <w:t>Concretamente, la entidad contratante podrá pedir justificación a estos licitadores sobre aquellas condiciones de la oferta que sean susceptibles de determinar el bajo nivel del precio o costes de la misma y, en particular, en lo que se refiere a los siguientes valores: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129"/>
        </w:numPr>
        <w:tabs>
          <w:tab w:pos="1684" w:val="left" w:leader="none"/>
        </w:tabs>
        <w:spacing w:line="249" w:lineRule="auto" w:before="126" w:after="0"/>
        <w:ind w:left="1074" w:right="1275" w:firstLine="340"/>
        <w:jc w:val="both"/>
        <w:rPr>
          <w:sz w:val="20"/>
        </w:rPr>
      </w:pPr>
      <w:r>
        <w:rPr>
          <w:sz w:val="20"/>
        </w:rPr>
        <w:t>el ahorro que permita el procedimiento de fabricación, los servicios prestados o el método de</w:t>
      </w:r>
      <w:r>
        <w:rPr>
          <w:spacing w:val="-2"/>
          <w:sz w:val="20"/>
        </w:rPr>
        <w:t> </w:t>
      </w:r>
      <w:r>
        <w:rPr>
          <w:sz w:val="20"/>
        </w:rPr>
        <w:t>construcción,</w:t>
      </w:r>
    </w:p>
    <w:p>
      <w:pPr>
        <w:pStyle w:val="ListParagraph"/>
        <w:numPr>
          <w:ilvl w:val="0"/>
          <w:numId w:val="129"/>
        </w:numPr>
        <w:tabs>
          <w:tab w:pos="1665" w:val="left" w:leader="none"/>
        </w:tabs>
        <w:spacing w:line="249" w:lineRule="auto" w:before="2" w:after="0"/>
        <w:ind w:left="1074" w:right="1272" w:firstLine="340"/>
        <w:jc w:val="both"/>
        <w:rPr>
          <w:sz w:val="20"/>
        </w:rPr>
      </w:pPr>
      <w:r>
        <w:rPr>
          <w:sz w:val="20"/>
        </w:rPr>
        <w:t>las soluciones técnicas adoptadas y las condiciones excepcionalmente favorables de que disponga para suministrar los productos, prestar los servicios o ejecutar las</w:t>
      </w:r>
      <w:r>
        <w:rPr>
          <w:spacing w:val="-33"/>
          <w:sz w:val="20"/>
        </w:rPr>
        <w:t> </w:t>
      </w:r>
      <w:r>
        <w:rPr>
          <w:sz w:val="20"/>
        </w:rPr>
        <w:t>obras,</w:t>
      </w:r>
    </w:p>
    <w:p>
      <w:pPr>
        <w:pStyle w:val="ListParagraph"/>
        <w:numPr>
          <w:ilvl w:val="0"/>
          <w:numId w:val="129"/>
        </w:numPr>
        <w:tabs>
          <w:tab w:pos="1693" w:val="left" w:leader="none"/>
        </w:tabs>
        <w:spacing w:line="249" w:lineRule="auto" w:before="1" w:after="0"/>
        <w:ind w:left="1074" w:right="1274" w:firstLine="340"/>
        <w:jc w:val="both"/>
        <w:rPr>
          <w:sz w:val="20"/>
        </w:rPr>
      </w:pPr>
      <w:r>
        <w:rPr>
          <w:sz w:val="20"/>
        </w:rPr>
        <w:t>la innovación y la originalidad de las soluciones propuestas para suministrar los productos, prestar los servicios o ejecutar las</w:t>
      </w:r>
      <w:r>
        <w:rPr>
          <w:spacing w:val="-9"/>
          <w:sz w:val="20"/>
        </w:rPr>
        <w:t> </w:t>
      </w:r>
      <w:r>
        <w:rPr>
          <w:sz w:val="20"/>
        </w:rPr>
        <w:t>obras,</w:t>
      </w:r>
    </w:p>
    <w:p>
      <w:pPr>
        <w:pStyle w:val="ListParagraph"/>
        <w:numPr>
          <w:ilvl w:val="0"/>
          <w:numId w:val="129"/>
        </w:numPr>
        <w:tabs>
          <w:tab w:pos="1650" w:val="left" w:leader="none"/>
        </w:tabs>
        <w:spacing w:line="249" w:lineRule="auto" w:before="2" w:after="0"/>
        <w:ind w:left="1074" w:right="1273" w:firstLine="340"/>
        <w:jc w:val="both"/>
        <w:rPr>
          <w:sz w:val="20"/>
        </w:rPr>
      </w:pPr>
      <w:r>
        <w:rPr>
          <w:sz w:val="20"/>
        </w:rPr>
        <w:t>el respeto de obligaciones que resulten aplicables en materia medioambiental, social o laboral, y de subcontratación, no siendo justificables precios por debajo de mercado o que incumplan lo establecido en el artículo</w:t>
      </w:r>
      <w:r>
        <w:rPr>
          <w:spacing w:val="-9"/>
          <w:sz w:val="20"/>
        </w:rPr>
        <w:t> </w:t>
      </w:r>
      <w:r>
        <w:rPr>
          <w:sz w:val="20"/>
        </w:rPr>
        <w:t>27.4.</w:t>
      </w:r>
    </w:p>
    <w:p>
      <w:pPr>
        <w:pStyle w:val="ListParagraph"/>
        <w:numPr>
          <w:ilvl w:val="0"/>
          <w:numId w:val="129"/>
        </w:numPr>
        <w:tabs>
          <w:tab w:pos="1648" w:val="left" w:leader="none"/>
        </w:tabs>
        <w:spacing w:line="240" w:lineRule="auto" w:before="2" w:after="0"/>
        <w:ind w:left="1647" w:right="0" w:hanging="234"/>
        <w:jc w:val="both"/>
        <w:rPr>
          <w:sz w:val="20"/>
        </w:rPr>
      </w:pPr>
      <w:r>
        <w:rPr>
          <w:sz w:val="20"/>
        </w:rPr>
        <w:t>o la posible obtención de una ayuda de</w:t>
      </w:r>
      <w:r>
        <w:rPr>
          <w:spacing w:val="-10"/>
          <w:sz w:val="20"/>
        </w:rPr>
        <w:t> </w:t>
      </w:r>
      <w:r>
        <w:rPr>
          <w:sz w:val="20"/>
        </w:rPr>
        <w:t>Estado.</w:t>
      </w:r>
    </w:p>
    <w:p>
      <w:pPr>
        <w:pStyle w:val="ListParagraph"/>
        <w:numPr>
          <w:ilvl w:val="0"/>
          <w:numId w:val="128"/>
        </w:numPr>
        <w:tabs>
          <w:tab w:pos="1662" w:val="left" w:leader="none"/>
        </w:tabs>
        <w:spacing w:line="249" w:lineRule="auto" w:before="131" w:after="0"/>
        <w:ind w:left="1074" w:right="1273" w:firstLine="340"/>
        <w:jc w:val="both"/>
        <w:rPr>
          <w:sz w:val="20"/>
        </w:rPr>
      </w:pPr>
      <w:r>
        <w:rPr>
          <w:sz w:val="20"/>
        </w:rPr>
        <w:t>La entidad contratante evaluará toda la información y documentación proporcionada por el licitador en plazo y si estimase que la información recabada no explica satisfactoriamente el bajo nivel de los precios o costes propuestos por el licitador y que, por lo tanto, la oferta no puede ser cumplida como consecuencia de la inclusión de valores anormales, la excluirá de la clasificación y acordará la adjudicación a favor de la mejor  oferta, de acuerdo con el orden en que hubieren sido clasificadas estas. En general, se rechazarán las ofertas incursas en presunción de anormalidad si están basadas en hipótesis o prácticas inadecuadas desde una perspectiva técnica, económica o</w:t>
      </w:r>
      <w:r>
        <w:rPr>
          <w:spacing w:val="-22"/>
          <w:sz w:val="20"/>
        </w:rPr>
        <w:t> </w:t>
      </w:r>
      <w:r>
        <w:rPr>
          <w:sz w:val="20"/>
        </w:rPr>
        <w:t>jurídica.</w:t>
      </w:r>
    </w:p>
    <w:p>
      <w:pPr>
        <w:pStyle w:val="BodyText"/>
        <w:spacing w:line="249" w:lineRule="auto" w:before="6"/>
        <w:ind w:right="1273"/>
      </w:pPr>
      <w:r>
        <w:rPr/>
        <w:t>Se entenderá en todo caso que la justificación no explica satisfactoriamente el bajo nivel de los precios o costes propuestos por el licitador cuando esta sea incompleta o se fundamente en hipótesis o prácticas inadecuadas desde el punto de vista técnico, jurídico o económico.</w:t>
      </w:r>
    </w:p>
    <w:p>
      <w:pPr>
        <w:pStyle w:val="ListParagraph"/>
        <w:numPr>
          <w:ilvl w:val="0"/>
          <w:numId w:val="128"/>
        </w:numPr>
        <w:tabs>
          <w:tab w:pos="1663" w:val="left" w:leader="none"/>
        </w:tabs>
        <w:spacing w:line="249" w:lineRule="auto" w:before="3" w:after="0"/>
        <w:ind w:left="1074" w:right="1273" w:firstLine="340"/>
        <w:jc w:val="both"/>
        <w:rPr>
          <w:sz w:val="20"/>
        </w:rPr>
      </w:pPr>
      <w:r>
        <w:rPr>
          <w:sz w:val="20"/>
        </w:rPr>
        <w:t>En todo caso, las entidades contratantes rechazarán las ofertas si comprueban que son anormalmente bajas porque vulneran la normativa sobre subcontratación o no cumplen las obligaciones aplicables en materia medioambiental, social o laboral incluyendo el incumplimiento de los convenios colectivos sectoriales vigentes en aplicación de lo establecido en el artículo</w:t>
      </w:r>
      <w:r>
        <w:rPr>
          <w:spacing w:val="-5"/>
          <w:sz w:val="20"/>
        </w:rPr>
        <w:t> </w:t>
      </w:r>
      <w:r>
        <w:rPr>
          <w:sz w:val="20"/>
        </w:rPr>
        <w:t>27.4.</w:t>
      </w:r>
    </w:p>
    <w:p>
      <w:pPr>
        <w:pStyle w:val="ListParagraph"/>
        <w:numPr>
          <w:ilvl w:val="0"/>
          <w:numId w:val="128"/>
        </w:numPr>
        <w:tabs>
          <w:tab w:pos="1642" w:val="left" w:leader="none"/>
        </w:tabs>
        <w:spacing w:line="249" w:lineRule="auto" w:before="4" w:after="0"/>
        <w:ind w:left="1074" w:right="1273" w:firstLine="340"/>
        <w:jc w:val="both"/>
        <w:rPr>
          <w:sz w:val="20"/>
        </w:rPr>
      </w:pPr>
      <w:r>
        <w:rPr>
          <w:sz w:val="20"/>
        </w:rPr>
        <w:t>En los casos en los que se compruebe que una oferta es anormalmente baja debido a que el licitador ha obtenido una ayuda de Estado, solo podrá rechazarse la proposición por esta única causa si aquel no puede acreditar que tal ayuda se ha concedido sin contravenir las disposiciones comunitarias en materia de ayudas públicas. La entidad contratante que rechace una oferta por esta razón deberá informar de ello a la Comisión</w:t>
      </w:r>
      <w:r>
        <w:rPr>
          <w:spacing w:val="-26"/>
          <w:sz w:val="20"/>
        </w:rPr>
        <w:t> </w:t>
      </w:r>
      <w:r>
        <w:rPr>
          <w:sz w:val="20"/>
        </w:rPr>
        <w:t>Europea.</w:t>
      </w:r>
    </w:p>
    <w:p>
      <w:pPr>
        <w:pStyle w:val="ListParagraph"/>
        <w:numPr>
          <w:ilvl w:val="0"/>
          <w:numId w:val="128"/>
        </w:numPr>
        <w:tabs>
          <w:tab w:pos="1686" w:val="left" w:leader="none"/>
        </w:tabs>
        <w:spacing w:line="249" w:lineRule="auto" w:before="5" w:after="0"/>
        <w:ind w:left="1074" w:right="1273" w:firstLine="340"/>
        <w:jc w:val="both"/>
        <w:rPr>
          <w:sz w:val="20"/>
        </w:rPr>
      </w:pPr>
      <w:r>
        <w:rPr>
          <w:sz w:val="20"/>
        </w:rPr>
        <w:t>Cuando una empresa que hubiese estado incursa en presunción de anormalidad hubiera resultado adjudicataria del contrato, la entidad contratante establecerá mecanismos adecuados para realizar un seguimiento pormenorizado de la ejecución del mismo, con el objetivo de garantizar la correcta ejecución del contrato sin que se produzca una merma en la calidad de los servicios, las obras o los suministros</w:t>
      </w:r>
      <w:r>
        <w:rPr>
          <w:spacing w:val="-10"/>
          <w:sz w:val="20"/>
        </w:rPr>
        <w:t> </w:t>
      </w:r>
      <w:r>
        <w:rPr>
          <w:sz w:val="20"/>
        </w:rPr>
        <w:t>contratados.</w:t>
      </w:r>
    </w:p>
    <w:p>
      <w:pPr>
        <w:pStyle w:val="BodyText"/>
        <w:spacing w:before="6"/>
        <w:ind w:left="0" w:firstLine="0"/>
        <w:jc w:val="left"/>
      </w:pPr>
    </w:p>
    <w:p>
      <w:pPr>
        <w:spacing w:before="0"/>
        <w:ind w:left="1074" w:right="0" w:firstLine="0"/>
        <w:jc w:val="both"/>
        <w:rPr>
          <w:i/>
          <w:sz w:val="20"/>
        </w:rPr>
      </w:pPr>
      <w:bookmarkStart w:name="Artículo 70. Preferencia de ofertas comu" w:id="113"/>
      <w:bookmarkEnd w:id="113"/>
      <w:r>
        <w:rPr/>
      </w:r>
      <w:r>
        <w:rPr>
          <w:b/>
          <w:sz w:val="20"/>
        </w:rPr>
        <w:t>Artículo 70. </w:t>
      </w:r>
      <w:r>
        <w:rPr>
          <w:i/>
          <w:sz w:val="20"/>
        </w:rPr>
        <w:t>Preferencia de ofertas comunitarias en los contratos de suministro.</w:t>
      </w:r>
    </w:p>
    <w:p>
      <w:pPr>
        <w:pStyle w:val="ListParagraph"/>
        <w:numPr>
          <w:ilvl w:val="0"/>
          <w:numId w:val="130"/>
        </w:numPr>
        <w:tabs>
          <w:tab w:pos="1645" w:val="left" w:leader="none"/>
        </w:tabs>
        <w:spacing w:line="249" w:lineRule="auto" w:before="118" w:after="0"/>
        <w:ind w:left="1074" w:right="1272" w:firstLine="340"/>
        <w:jc w:val="both"/>
        <w:rPr>
          <w:sz w:val="20"/>
        </w:rPr>
      </w:pPr>
      <w:r>
        <w:rPr>
          <w:sz w:val="20"/>
        </w:rPr>
        <w:t>El presente artículo será de aplicación a las ofertas que en relación a los contratos de suministros contengan productos originarios de países terceros con los cuales la Unión Europea no haya celebrado, en un marco multilateral o bilateral, un acuerdo que garantice  un acceso comparable y efectivo de las empresas de la Unión a los mercados de dichos países terceros, sin perjuicio de las obligaciones de la Unión Europea o de sus Estados miembros respecto a los países</w:t>
      </w:r>
      <w:r>
        <w:rPr>
          <w:spacing w:val="-4"/>
          <w:sz w:val="20"/>
        </w:rPr>
        <w:t> </w:t>
      </w:r>
      <w:r>
        <w:rPr>
          <w:sz w:val="20"/>
        </w:rPr>
        <w:t>terceros.</w:t>
      </w:r>
    </w:p>
    <w:p>
      <w:pPr>
        <w:pStyle w:val="ListParagraph"/>
        <w:numPr>
          <w:ilvl w:val="0"/>
          <w:numId w:val="130"/>
        </w:numPr>
        <w:tabs>
          <w:tab w:pos="1654" w:val="left" w:leader="none"/>
        </w:tabs>
        <w:spacing w:line="249" w:lineRule="auto" w:before="5" w:after="0"/>
        <w:ind w:left="1074" w:right="1273" w:firstLine="340"/>
        <w:jc w:val="both"/>
        <w:rPr>
          <w:sz w:val="20"/>
        </w:rPr>
      </w:pPr>
      <w:r>
        <w:rPr>
          <w:sz w:val="20"/>
        </w:rPr>
        <w:t>Cualquier oferta presentada para la adjudicación de un contrato de suministro, podrá rechazarse cuando la parte de los productos originarios de los países terceros, determinados de conformidad con el Reglamento (CEE) número 952/2013 del Parlamento Europeo y del Consejo, de 9 de octubre de 2013, por el que se aprueba el Código Aduanero Comunitario, sea superior al 50 por 100 del valor total de los productos que componen esta oferta. A efectos del presente artículo, los soportes lógicos utilizados en los equipos de redes de telecomunicación serán considerados</w:t>
      </w:r>
      <w:r>
        <w:rPr>
          <w:spacing w:val="-1"/>
          <w:sz w:val="20"/>
        </w:rPr>
        <w:t> </w:t>
      </w:r>
      <w:r>
        <w:rPr>
          <w:sz w:val="20"/>
        </w:rPr>
        <w:t>productos.</w:t>
      </w:r>
    </w:p>
    <w:p>
      <w:pPr>
        <w:pStyle w:val="ListParagraph"/>
        <w:numPr>
          <w:ilvl w:val="0"/>
          <w:numId w:val="130"/>
        </w:numPr>
        <w:tabs>
          <w:tab w:pos="1652" w:val="left" w:leader="none"/>
        </w:tabs>
        <w:spacing w:line="249" w:lineRule="auto" w:before="6" w:after="0"/>
        <w:ind w:left="1074" w:right="1273" w:firstLine="340"/>
        <w:jc w:val="both"/>
        <w:rPr>
          <w:sz w:val="20"/>
        </w:rPr>
      </w:pPr>
      <w:r>
        <w:rPr>
          <w:sz w:val="20"/>
        </w:rPr>
        <w:t>Cuando dos o más ofertas sean equivalentes respecto a los criterios de adjudicación utilizados en cada caso, se dará preferencia a aquella que no pueda ser rechazada en aplicación de lo dispuesto en el apartado anterior. El precio de las ofertas será considerado equivalente,</w:t>
      </w:r>
      <w:r>
        <w:rPr>
          <w:spacing w:val="-4"/>
          <w:sz w:val="20"/>
        </w:rPr>
        <w:t> </w:t>
      </w:r>
      <w:r>
        <w:rPr>
          <w:sz w:val="20"/>
        </w:rPr>
        <w:t>a</w:t>
      </w:r>
      <w:r>
        <w:rPr>
          <w:spacing w:val="-4"/>
          <w:sz w:val="20"/>
        </w:rPr>
        <w:t> </w:t>
      </w:r>
      <w:r>
        <w:rPr>
          <w:sz w:val="20"/>
        </w:rPr>
        <w:t>efectos</w:t>
      </w:r>
      <w:r>
        <w:rPr>
          <w:spacing w:val="-4"/>
          <w:sz w:val="20"/>
        </w:rPr>
        <w:t> </w:t>
      </w:r>
      <w:r>
        <w:rPr>
          <w:sz w:val="20"/>
        </w:rPr>
        <w:t>del</w:t>
      </w:r>
      <w:r>
        <w:rPr>
          <w:spacing w:val="-4"/>
          <w:sz w:val="20"/>
        </w:rPr>
        <w:t> </w:t>
      </w:r>
      <w:r>
        <w:rPr>
          <w:sz w:val="20"/>
        </w:rPr>
        <w:t>presente</w:t>
      </w:r>
      <w:r>
        <w:rPr>
          <w:spacing w:val="-4"/>
          <w:sz w:val="20"/>
        </w:rPr>
        <w:t> </w:t>
      </w:r>
      <w:r>
        <w:rPr>
          <w:sz w:val="20"/>
        </w:rPr>
        <w:t>artículo,</w:t>
      </w:r>
      <w:r>
        <w:rPr>
          <w:spacing w:val="-4"/>
          <w:sz w:val="20"/>
        </w:rPr>
        <w:t> </w:t>
      </w:r>
      <w:r>
        <w:rPr>
          <w:sz w:val="20"/>
        </w:rPr>
        <w:t>cuando</w:t>
      </w:r>
      <w:r>
        <w:rPr>
          <w:spacing w:val="-3"/>
          <w:sz w:val="20"/>
        </w:rPr>
        <w:t> </w:t>
      </w:r>
      <w:r>
        <w:rPr>
          <w:sz w:val="20"/>
        </w:rPr>
        <w:t>su</w:t>
      </w:r>
      <w:r>
        <w:rPr>
          <w:spacing w:val="-2"/>
          <w:sz w:val="20"/>
        </w:rPr>
        <w:t> </w:t>
      </w:r>
      <w:r>
        <w:rPr>
          <w:sz w:val="20"/>
        </w:rPr>
        <w:t>diferencia</w:t>
      </w:r>
      <w:r>
        <w:rPr>
          <w:spacing w:val="-4"/>
          <w:sz w:val="20"/>
        </w:rPr>
        <w:t> </w:t>
      </w:r>
      <w:r>
        <w:rPr>
          <w:sz w:val="20"/>
        </w:rPr>
        <w:t>no</w:t>
      </w:r>
      <w:r>
        <w:rPr>
          <w:spacing w:val="-4"/>
          <w:sz w:val="20"/>
        </w:rPr>
        <w:t> </w:t>
      </w:r>
      <w:r>
        <w:rPr>
          <w:sz w:val="20"/>
        </w:rPr>
        <w:t>exceda</w:t>
      </w:r>
      <w:r>
        <w:rPr>
          <w:spacing w:val="-4"/>
          <w:sz w:val="20"/>
        </w:rPr>
        <w:t> </w:t>
      </w:r>
      <w:r>
        <w:rPr>
          <w:sz w:val="20"/>
        </w:rPr>
        <w:t>del</w:t>
      </w:r>
      <w:r>
        <w:rPr>
          <w:spacing w:val="-4"/>
          <w:sz w:val="20"/>
        </w:rPr>
        <w:t> </w:t>
      </w:r>
      <w:r>
        <w:rPr>
          <w:sz w:val="20"/>
        </w:rPr>
        <w:t>3</w:t>
      </w:r>
      <w:r>
        <w:rPr>
          <w:spacing w:val="-4"/>
          <w:sz w:val="20"/>
        </w:rPr>
        <w:t> </w:t>
      </w:r>
      <w:r>
        <w:rPr>
          <w:sz w:val="20"/>
        </w:rPr>
        <w:t>por</w:t>
      </w:r>
      <w:r>
        <w:rPr>
          <w:spacing w:val="-4"/>
          <w:sz w:val="20"/>
        </w:rPr>
        <w:t> </w:t>
      </w:r>
      <w:r>
        <w:rPr>
          <w:sz w:val="20"/>
        </w:rPr>
        <w:t>100.</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No obstante, no se dará preferencia a la oferta que resultaría elegida si se aplicase lo dispuesto anteriormente, cuando esta obligue a la entidad contratante a adquirir material con características técnicas diferentes de las del material existente y ello dé lugar a incompatibilidades o dificultades técnicas excesivas, de funcionamiento o de mantenimiento, o implique un coste desproporcionado.</w:t>
      </w:r>
    </w:p>
    <w:p>
      <w:pPr>
        <w:pStyle w:val="BodyText"/>
        <w:spacing w:before="6"/>
        <w:ind w:left="0" w:firstLine="0"/>
        <w:jc w:val="left"/>
      </w:pPr>
    </w:p>
    <w:p>
      <w:pPr>
        <w:spacing w:line="249" w:lineRule="auto" w:before="0"/>
        <w:ind w:left="1074" w:right="1274" w:hanging="1"/>
        <w:jc w:val="both"/>
        <w:rPr>
          <w:i/>
          <w:sz w:val="20"/>
        </w:rPr>
      </w:pPr>
      <w:bookmarkStart w:name="Artículo 71. Decisión de no adjudicar o " w:id="114"/>
      <w:bookmarkEnd w:id="114"/>
      <w:r>
        <w:rPr/>
      </w:r>
      <w:r>
        <w:rPr>
          <w:b/>
          <w:sz w:val="20"/>
        </w:rPr>
        <w:t>Artículo 71. </w:t>
      </w:r>
      <w:r>
        <w:rPr>
          <w:i/>
          <w:sz w:val="20"/>
        </w:rPr>
        <w:t>Decisión de no adjudicar o celebrar el contrato y desistimiento del  </w:t>
      </w:r>
      <w:r>
        <w:rPr>
          <w:i/>
          <w:sz w:val="20"/>
        </w:rPr>
        <w:t>procedimiento de adjudicación por la entidad</w:t>
      </w:r>
      <w:r>
        <w:rPr>
          <w:i/>
          <w:spacing w:val="-10"/>
          <w:sz w:val="20"/>
        </w:rPr>
        <w:t> </w:t>
      </w:r>
      <w:r>
        <w:rPr>
          <w:i/>
          <w:sz w:val="20"/>
        </w:rPr>
        <w:t>contratante.</w:t>
      </w:r>
    </w:p>
    <w:p>
      <w:pPr>
        <w:pStyle w:val="ListParagraph"/>
        <w:numPr>
          <w:ilvl w:val="0"/>
          <w:numId w:val="131"/>
        </w:numPr>
        <w:tabs>
          <w:tab w:pos="1651" w:val="left" w:leader="none"/>
        </w:tabs>
        <w:spacing w:line="249" w:lineRule="auto" w:before="110" w:after="0"/>
        <w:ind w:left="1074" w:right="1272" w:firstLine="340"/>
        <w:jc w:val="both"/>
        <w:rPr>
          <w:sz w:val="20"/>
        </w:rPr>
      </w:pPr>
      <w:r>
        <w:rPr>
          <w:sz w:val="20"/>
        </w:rPr>
        <w:t>En el caso en que la entidad contratante desista del procedimiento de adjudicación o decida no adjudicar o celebrar un contrato para el que se haya efectuado la correspondiente convocatoria, lo notificará a los candidatos o</w:t>
      </w:r>
      <w:r>
        <w:rPr>
          <w:spacing w:val="-8"/>
          <w:sz w:val="20"/>
        </w:rPr>
        <w:t> </w:t>
      </w:r>
      <w:r>
        <w:rPr>
          <w:sz w:val="20"/>
        </w:rPr>
        <w:t>licitadores.</w:t>
      </w:r>
    </w:p>
    <w:p>
      <w:pPr>
        <w:pStyle w:val="ListParagraph"/>
        <w:numPr>
          <w:ilvl w:val="0"/>
          <w:numId w:val="131"/>
        </w:numPr>
        <w:tabs>
          <w:tab w:pos="1645" w:val="left" w:leader="none"/>
        </w:tabs>
        <w:spacing w:line="249" w:lineRule="auto" w:before="2" w:after="0"/>
        <w:ind w:left="1074" w:right="1272" w:firstLine="340"/>
        <w:jc w:val="both"/>
        <w:rPr>
          <w:sz w:val="20"/>
        </w:rPr>
      </w:pPr>
      <w:r>
        <w:rPr>
          <w:sz w:val="20"/>
        </w:rPr>
        <w:t>La decisión de no adjudicar o celebrar el contrato o el desistimiento del procedimiento podrán acordarse por la entidad contratante antes de la formalización. En estos casos se compensará a los candidatos aptos para participar en la licitación o licitadores por los gastos en que hubiesen incurrido en la forma prevista en el anuncio o en el pliego de condiciones o, en su defecto, cuando proceda, de acuerdo con los criterios de valoración empleados para el cálculo de la responsabilidad patrimonial de la</w:t>
      </w:r>
      <w:r>
        <w:rPr>
          <w:spacing w:val="-7"/>
          <w:sz w:val="20"/>
        </w:rPr>
        <w:t> </w:t>
      </w:r>
      <w:r>
        <w:rPr>
          <w:sz w:val="20"/>
        </w:rPr>
        <w:t>Administración.</w:t>
      </w:r>
    </w:p>
    <w:p>
      <w:pPr>
        <w:pStyle w:val="ListParagraph"/>
        <w:numPr>
          <w:ilvl w:val="0"/>
          <w:numId w:val="131"/>
        </w:numPr>
        <w:tabs>
          <w:tab w:pos="1641" w:val="left" w:leader="none"/>
        </w:tabs>
        <w:spacing w:line="249" w:lineRule="auto" w:before="5" w:after="0"/>
        <w:ind w:left="1074" w:right="1272" w:firstLine="340"/>
        <w:jc w:val="both"/>
        <w:rPr>
          <w:sz w:val="20"/>
        </w:rPr>
      </w:pPr>
      <w:r>
        <w:rPr>
          <w:sz w:val="20"/>
        </w:rPr>
        <w:t>Solo podrá adoptarse la decisión de no adjudicar o celebrar el contrato por razones de interés de la entidad contratante que sean sobrevenidas al momento de inicio del procedimiento de licitación, siempre y cuando estas queden debidamente justificadas en el expediente. En este caso, no podrá promoverse una nueva licitación de su objeto en tanto subsistan las razones alegadas para fundamentar la</w:t>
      </w:r>
      <w:r>
        <w:rPr>
          <w:spacing w:val="-7"/>
          <w:sz w:val="20"/>
        </w:rPr>
        <w:t> </w:t>
      </w:r>
      <w:r>
        <w:rPr>
          <w:sz w:val="20"/>
        </w:rPr>
        <w:t>decisión.</w:t>
      </w:r>
    </w:p>
    <w:p>
      <w:pPr>
        <w:pStyle w:val="ListParagraph"/>
        <w:numPr>
          <w:ilvl w:val="0"/>
          <w:numId w:val="131"/>
        </w:numPr>
        <w:tabs>
          <w:tab w:pos="1716" w:val="left" w:leader="none"/>
        </w:tabs>
        <w:spacing w:line="249" w:lineRule="auto" w:before="4" w:after="0"/>
        <w:ind w:left="1074" w:right="1273" w:firstLine="340"/>
        <w:jc w:val="both"/>
        <w:rPr>
          <w:sz w:val="20"/>
        </w:rPr>
      </w:pPr>
      <w:r>
        <w:rPr>
          <w:sz w:val="20"/>
        </w:rPr>
        <w:t>El desistimiento del procedimiento deberá estar fundado en una infracción no subsanable de las normas de preparación del contrato o de las reguladoras del procedimiento de adjudicación, debiendo justificarse en el expediente la concurrencia de la causa. El desistimiento no impedirá la iniciación inmediata de un nuevo procedimiento de licitación.</w:t>
      </w:r>
    </w:p>
    <w:p>
      <w:pPr>
        <w:pStyle w:val="BodyText"/>
        <w:spacing w:before="7"/>
        <w:ind w:left="0" w:firstLine="0"/>
        <w:jc w:val="left"/>
      </w:pPr>
    </w:p>
    <w:p>
      <w:pPr>
        <w:spacing w:before="0"/>
        <w:ind w:left="1074" w:right="0" w:firstLine="0"/>
        <w:jc w:val="both"/>
        <w:rPr>
          <w:i/>
          <w:sz w:val="20"/>
        </w:rPr>
      </w:pPr>
      <w:bookmarkStart w:name="Artículo 72. Adjudicación de los contrat" w:id="115"/>
      <w:bookmarkEnd w:id="115"/>
      <w:r>
        <w:rPr/>
      </w:r>
      <w:r>
        <w:rPr>
          <w:b/>
          <w:sz w:val="20"/>
        </w:rPr>
        <w:t>Artículo 72. </w:t>
      </w:r>
      <w:r>
        <w:rPr>
          <w:i/>
          <w:sz w:val="20"/>
        </w:rPr>
        <w:t>Adjudicación de los contratos.</w:t>
      </w:r>
    </w:p>
    <w:p>
      <w:pPr>
        <w:pStyle w:val="ListParagraph"/>
        <w:numPr>
          <w:ilvl w:val="0"/>
          <w:numId w:val="132"/>
        </w:numPr>
        <w:tabs>
          <w:tab w:pos="1660" w:val="left" w:leader="none"/>
        </w:tabs>
        <w:spacing w:line="249" w:lineRule="auto" w:before="117" w:after="0"/>
        <w:ind w:left="1074" w:right="1273" w:firstLine="340"/>
        <w:jc w:val="both"/>
        <w:rPr>
          <w:sz w:val="20"/>
        </w:rPr>
      </w:pPr>
      <w:r>
        <w:rPr>
          <w:sz w:val="20"/>
        </w:rPr>
        <w:t>La entidad contratante, a la vista de la valoración de las ofertas y en función de los criterios de adjudicación empleados, comunicará motivadamente la adjudicación del contrato al licitador que hubiere formulado la mejor oferta, de conformidad con lo dispuesto en el artículo</w:t>
      </w:r>
      <w:r>
        <w:rPr>
          <w:spacing w:val="-2"/>
          <w:sz w:val="20"/>
        </w:rPr>
        <w:t> </w:t>
      </w:r>
      <w:r>
        <w:rPr>
          <w:sz w:val="20"/>
        </w:rPr>
        <w:t>66.</w:t>
      </w:r>
    </w:p>
    <w:p>
      <w:pPr>
        <w:pStyle w:val="BodyText"/>
        <w:spacing w:line="249" w:lineRule="auto" w:before="4"/>
        <w:ind w:right="1271"/>
      </w:pPr>
      <w:r>
        <w:rPr/>
        <w:t>Asimismo, la citada entidad comunicará también de forma motivada a los restantes operadores económicos el resultado de la adjudicación acordada.</w:t>
      </w:r>
    </w:p>
    <w:p>
      <w:pPr>
        <w:pStyle w:val="ListParagraph"/>
        <w:numPr>
          <w:ilvl w:val="0"/>
          <w:numId w:val="132"/>
        </w:numPr>
        <w:tabs>
          <w:tab w:pos="1686" w:val="left" w:leader="none"/>
        </w:tabs>
        <w:spacing w:line="249" w:lineRule="auto" w:before="1" w:after="0"/>
        <w:ind w:left="1074" w:right="1272" w:firstLine="340"/>
        <w:jc w:val="both"/>
        <w:rPr>
          <w:sz w:val="20"/>
        </w:rPr>
      </w:pPr>
      <w:r>
        <w:rPr>
          <w:sz w:val="20"/>
        </w:rPr>
        <w:t>Sin perjuicio de lo dispuesto en el artículo 59.2, si la entidad contratante tuviera indicios fundados de conductas colusorias en el procedimiento de contratación, en el sentido definido en el artículo 1 de la Ley 50/2007, de 3 de julio, los trasladará con carácter previo a la adjudicación del contrato a la Comisión Nacional de los Mercados y la Competencia o, en su caso, a la autoridad de competencia autonómica correspondiente, a efectos de que a través de un procedimiento sumarísimo se pronuncien sobre aquellos. La remisión de dichos indicios tendrá efectos suspensivos en el procedimiento de contratación. Reglamentariamente se regulará el procedimiento al que se refiere este</w:t>
      </w:r>
      <w:r>
        <w:rPr>
          <w:spacing w:val="-20"/>
          <w:sz w:val="20"/>
        </w:rPr>
        <w:t> </w:t>
      </w:r>
      <w:r>
        <w:rPr>
          <w:sz w:val="20"/>
        </w:rPr>
        <w:t>párrafo.</w:t>
      </w:r>
    </w:p>
    <w:p>
      <w:pPr>
        <w:pStyle w:val="ListParagraph"/>
        <w:numPr>
          <w:ilvl w:val="0"/>
          <w:numId w:val="132"/>
        </w:numPr>
        <w:tabs>
          <w:tab w:pos="1670" w:val="left" w:leader="none"/>
        </w:tabs>
        <w:spacing w:line="249" w:lineRule="auto" w:before="7" w:after="0"/>
        <w:ind w:left="1074" w:right="1272" w:firstLine="340"/>
        <w:jc w:val="both"/>
        <w:rPr>
          <w:sz w:val="20"/>
        </w:rPr>
      </w:pPr>
      <w:r>
        <w:rPr>
          <w:sz w:val="20"/>
        </w:rPr>
        <w:t>Las comunicaciones a que se refiere el apartado primero se realizarán por medios electrónicos de conformidad con lo dispuesto en el artículo 61, teniendo que ser realizadas en tiempo y forma, y deberán contener la información necesaria que permita a los interesados en el procedimiento de adjudicación interponer reclamación en materia de contratación suficientemente fundada contra la decisión de adjudicación, y entre ella en todo caso deberá figurar la</w:t>
      </w:r>
      <w:r>
        <w:rPr>
          <w:spacing w:val="-3"/>
          <w:sz w:val="20"/>
        </w:rPr>
        <w:t> </w:t>
      </w:r>
      <w:r>
        <w:rPr>
          <w:sz w:val="20"/>
        </w:rPr>
        <w:t>siguiente:</w:t>
      </w:r>
    </w:p>
    <w:p>
      <w:pPr>
        <w:pStyle w:val="ListParagraph"/>
        <w:numPr>
          <w:ilvl w:val="0"/>
          <w:numId w:val="133"/>
        </w:numPr>
        <w:tabs>
          <w:tab w:pos="1677" w:val="left" w:leader="none"/>
        </w:tabs>
        <w:spacing w:line="249" w:lineRule="auto" w:before="125" w:after="0"/>
        <w:ind w:left="1074" w:right="1274" w:firstLine="340"/>
        <w:jc w:val="both"/>
        <w:rPr>
          <w:sz w:val="20"/>
        </w:rPr>
      </w:pPr>
      <w:r>
        <w:rPr>
          <w:sz w:val="20"/>
        </w:rPr>
        <w:t>En relación con los candidatos descartados, la exposición resumida de las razones por las que se haya desestimado su</w:t>
      </w:r>
      <w:r>
        <w:rPr>
          <w:spacing w:val="-7"/>
          <w:sz w:val="20"/>
        </w:rPr>
        <w:t> </w:t>
      </w:r>
      <w:r>
        <w:rPr>
          <w:sz w:val="20"/>
        </w:rPr>
        <w:t>candidatura.</w:t>
      </w:r>
    </w:p>
    <w:p>
      <w:pPr>
        <w:pStyle w:val="ListParagraph"/>
        <w:numPr>
          <w:ilvl w:val="0"/>
          <w:numId w:val="133"/>
        </w:numPr>
        <w:tabs>
          <w:tab w:pos="1716" w:val="left" w:leader="none"/>
        </w:tabs>
        <w:spacing w:line="249" w:lineRule="auto" w:before="1" w:after="0"/>
        <w:ind w:left="1074" w:right="1273" w:firstLine="340"/>
        <w:jc w:val="both"/>
        <w:rPr>
          <w:sz w:val="20"/>
        </w:rPr>
      </w:pPr>
      <w:r>
        <w:rPr>
          <w:sz w:val="20"/>
        </w:rPr>
        <w:t>Con respecto a los licitadores excluidos del procedimiento de adjudicación, los motivos por los que no se haya admitido su oferta, incluidos, en los casos contemplados en el artículo 45, apartados 6 y 7, los motivos de la decisión de no equivalencia o de la decisión de que las obras, los suministros o los servicios no se ajustan a los requisitos de rendimiento o a las exigencias funcionales; y un desglose de las valoraciones asignadas a los distintos licitadores, incluyendo al</w:t>
      </w:r>
      <w:r>
        <w:rPr>
          <w:spacing w:val="-5"/>
          <w:sz w:val="20"/>
        </w:rPr>
        <w:t> </w:t>
      </w:r>
      <w:r>
        <w:rPr>
          <w:sz w:val="20"/>
        </w:rPr>
        <w:t>adjudicatario.</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33"/>
        </w:numPr>
        <w:tabs>
          <w:tab w:pos="1705" w:val="left" w:leader="none"/>
        </w:tabs>
        <w:spacing w:line="249" w:lineRule="auto" w:before="127" w:after="0"/>
        <w:ind w:left="1074" w:right="1272" w:firstLine="340"/>
        <w:jc w:val="both"/>
        <w:rPr>
          <w:sz w:val="20"/>
        </w:rPr>
      </w:pPr>
      <w:r>
        <w:rPr>
          <w:sz w:val="20"/>
        </w:rPr>
        <w:t>En todo caso, el nombre del adjudicatario, las características y ventajas de la proposición del adjudicatario determinantes de que haya sido seleccionada la oferta de este con preferencia respecto de las que hayan presentado los restantes licitadores cuyas ofertas hayan sido admitidas, y, en su caso, el desarrollo de las negociaciones o el diálogo con los licitadores.</w:t>
      </w:r>
    </w:p>
    <w:p>
      <w:pPr>
        <w:pStyle w:val="BodyText"/>
        <w:spacing w:line="249" w:lineRule="auto" w:before="124"/>
        <w:ind w:right="1274"/>
      </w:pPr>
      <w:r>
        <w:rPr/>
        <w:t>En la notificación se indicará el plazo en que debe procederse a la formalización del contrato conforme al artículo 73.2 del presente real decreto-ley.</w:t>
      </w:r>
    </w:p>
    <w:p>
      <w:pPr>
        <w:pStyle w:val="BodyText"/>
        <w:spacing w:line="249" w:lineRule="auto" w:before="1"/>
        <w:ind w:right="1274"/>
      </w:pPr>
      <w:r>
        <w:rPr/>
        <w:t>Será de aplicación a la adjudicación la excepción de confidencialidad contenida en el artículo 28, así como lo dispuesto en el artículo 64.4.</w:t>
      </w:r>
    </w:p>
    <w:p>
      <w:pPr>
        <w:pStyle w:val="ListParagraph"/>
        <w:numPr>
          <w:ilvl w:val="0"/>
          <w:numId w:val="132"/>
        </w:numPr>
        <w:tabs>
          <w:tab w:pos="1638" w:val="left" w:leader="none"/>
        </w:tabs>
        <w:spacing w:line="249" w:lineRule="auto" w:before="2" w:after="0"/>
        <w:ind w:left="1074" w:right="1276" w:firstLine="340"/>
        <w:jc w:val="both"/>
        <w:rPr>
          <w:sz w:val="20"/>
        </w:rPr>
      </w:pPr>
      <w:r>
        <w:rPr>
          <w:sz w:val="20"/>
        </w:rPr>
        <w:t>La adjudicación deberá ser publicada en el perfil de contratante en el plazo de 15 días. En</w:t>
      </w:r>
      <w:r>
        <w:rPr>
          <w:spacing w:val="-3"/>
          <w:sz w:val="20"/>
        </w:rPr>
        <w:t> </w:t>
      </w:r>
      <w:r>
        <w:rPr>
          <w:sz w:val="20"/>
        </w:rPr>
        <w:t>este</w:t>
      </w:r>
      <w:r>
        <w:rPr>
          <w:spacing w:val="-3"/>
          <w:sz w:val="20"/>
        </w:rPr>
        <w:t> </w:t>
      </w:r>
      <w:r>
        <w:rPr>
          <w:sz w:val="20"/>
        </w:rPr>
        <w:t>caso</w:t>
      </w:r>
      <w:r>
        <w:rPr>
          <w:spacing w:val="-3"/>
          <w:sz w:val="20"/>
        </w:rPr>
        <w:t> </w:t>
      </w:r>
      <w:r>
        <w:rPr>
          <w:sz w:val="20"/>
        </w:rPr>
        <w:t>la</w:t>
      </w:r>
      <w:r>
        <w:rPr>
          <w:spacing w:val="-3"/>
          <w:sz w:val="20"/>
        </w:rPr>
        <w:t> </w:t>
      </w:r>
      <w:r>
        <w:rPr>
          <w:sz w:val="20"/>
        </w:rPr>
        <w:t>publicación</w:t>
      </w:r>
      <w:r>
        <w:rPr>
          <w:spacing w:val="-4"/>
          <w:sz w:val="20"/>
        </w:rPr>
        <w:t> </w:t>
      </w:r>
      <w:r>
        <w:rPr>
          <w:sz w:val="20"/>
        </w:rPr>
        <w:t>deberá</w:t>
      </w:r>
      <w:r>
        <w:rPr>
          <w:spacing w:val="-3"/>
          <w:sz w:val="20"/>
        </w:rPr>
        <w:t> </w:t>
      </w:r>
      <w:r>
        <w:rPr>
          <w:sz w:val="20"/>
        </w:rPr>
        <w:t>tener</w:t>
      </w:r>
      <w:r>
        <w:rPr>
          <w:spacing w:val="-3"/>
          <w:sz w:val="20"/>
        </w:rPr>
        <w:t> </w:t>
      </w:r>
      <w:r>
        <w:rPr>
          <w:sz w:val="20"/>
        </w:rPr>
        <w:t>el</w:t>
      </w:r>
      <w:r>
        <w:rPr>
          <w:spacing w:val="-3"/>
          <w:sz w:val="20"/>
        </w:rPr>
        <w:t> </w:t>
      </w:r>
      <w:r>
        <w:rPr>
          <w:sz w:val="20"/>
        </w:rPr>
        <w:t>contenido</w:t>
      </w:r>
      <w:r>
        <w:rPr>
          <w:spacing w:val="-3"/>
          <w:sz w:val="20"/>
        </w:rPr>
        <w:t> </w:t>
      </w:r>
      <w:r>
        <w:rPr>
          <w:sz w:val="20"/>
        </w:rPr>
        <w:t>que</w:t>
      </w:r>
      <w:r>
        <w:rPr>
          <w:spacing w:val="-3"/>
          <w:sz w:val="20"/>
        </w:rPr>
        <w:t> </w:t>
      </w:r>
      <w:r>
        <w:rPr>
          <w:sz w:val="20"/>
        </w:rPr>
        <w:t>establece</w:t>
      </w:r>
      <w:r>
        <w:rPr>
          <w:spacing w:val="-4"/>
          <w:sz w:val="20"/>
        </w:rPr>
        <w:t> </w:t>
      </w:r>
      <w:r>
        <w:rPr>
          <w:sz w:val="20"/>
        </w:rPr>
        <w:t>el</w:t>
      </w:r>
      <w:r>
        <w:rPr>
          <w:spacing w:val="-3"/>
          <w:sz w:val="20"/>
        </w:rPr>
        <w:t> </w:t>
      </w:r>
      <w:r>
        <w:rPr>
          <w:sz w:val="20"/>
        </w:rPr>
        <w:t>apartado</w:t>
      </w:r>
      <w:r>
        <w:rPr>
          <w:spacing w:val="-4"/>
          <w:sz w:val="20"/>
        </w:rPr>
        <w:t> </w:t>
      </w:r>
      <w:r>
        <w:rPr>
          <w:sz w:val="20"/>
        </w:rPr>
        <w:t>3</w:t>
      </w:r>
      <w:r>
        <w:rPr>
          <w:spacing w:val="-3"/>
          <w:sz w:val="20"/>
        </w:rPr>
        <w:t> </w:t>
      </w:r>
      <w:r>
        <w:rPr>
          <w:sz w:val="20"/>
        </w:rPr>
        <w:t>anterior.</w:t>
      </w:r>
    </w:p>
    <w:p>
      <w:pPr>
        <w:pStyle w:val="ListParagraph"/>
        <w:numPr>
          <w:ilvl w:val="0"/>
          <w:numId w:val="132"/>
        </w:numPr>
        <w:tabs>
          <w:tab w:pos="1647" w:val="left" w:leader="none"/>
        </w:tabs>
        <w:spacing w:line="249" w:lineRule="auto" w:before="2" w:after="0"/>
        <w:ind w:left="1074" w:right="1274" w:firstLine="340"/>
        <w:jc w:val="both"/>
        <w:rPr>
          <w:sz w:val="20"/>
        </w:rPr>
      </w:pPr>
      <w:r>
        <w:rPr>
          <w:sz w:val="20"/>
        </w:rPr>
        <w:t>En todo caso le corresponderá a la entidad contratante el derecho a declarar desierto el procedimiento de adjudicación de forma motivada cuando no se hubiere presentado ninguna oferta adecuada o ninguna solicitud de participación adecuada, en el sentido expresado en el artículo</w:t>
      </w:r>
      <w:r>
        <w:rPr>
          <w:spacing w:val="-5"/>
          <w:sz w:val="20"/>
        </w:rPr>
        <w:t> </w:t>
      </w:r>
      <w:r>
        <w:rPr>
          <w:sz w:val="20"/>
        </w:rPr>
        <w:t>85.1.a).</w:t>
      </w:r>
    </w:p>
    <w:p>
      <w:pPr>
        <w:pStyle w:val="BodyText"/>
        <w:spacing w:before="5"/>
        <w:ind w:left="0" w:firstLine="0"/>
        <w:jc w:val="left"/>
      </w:pPr>
    </w:p>
    <w:p>
      <w:pPr>
        <w:spacing w:before="1"/>
        <w:ind w:left="1074" w:right="0" w:firstLine="0"/>
        <w:jc w:val="both"/>
        <w:rPr>
          <w:i/>
          <w:sz w:val="20"/>
        </w:rPr>
      </w:pPr>
      <w:bookmarkStart w:name="Artículo 73. Perfección y formalización " w:id="116"/>
      <w:bookmarkEnd w:id="116"/>
      <w:r>
        <w:rPr/>
      </w:r>
      <w:r>
        <w:rPr>
          <w:b/>
          <w:sz w:val="20"/>
        </w:rPr>
        <w:t>Artículo 73. </w:t>
      </w:r>
      <w:r>
        <w:rPr>
          <w:i/>
          <w:sz w:val="20"/>
        </w:rPr>
        <w:t>Perfección y formalización de los contratos.</w:t>
      </w:r>
    </w:p>
    <w:p>
      <w:pPr>
        <w:pStyle w:val="ListParagraph"/>
        <w:numPr>
          <w:ilvl w:val="0"/>
          <w:numId w:val="134"/>
        </w:numPr>
        <w:tabs>
          <w:tab w:pos="1710" w:val="left" w:leader="none"/>
        </w:tabs>
        <w:spacing w:line="249" w:lineRule="auto" w:before="117" w:after="0"/>
        <w:ind w:left="1074" w:right="1274" w:firstLine="340"/>
        <w:jc w:val="both"/>
        <w:rPr>
          <w:sz w:val="20"/>
        </w:rPr>
      </w:pPr>
      <w:r>
        <w:rPr>
          <w:sz w:val="20"/>
        </w:rPr>
        <w:t>Los contratos que celebren las entidades contratantes se perfeccionan con su formalización.</w:t>
      </w:r>
    </w:p>
    <w:p>
      <w:pPr>
        <w:pStyle w:val="BodyText"/>
        <w:spacing w:line="249" w:lineRule="auto"/>
        <w:ind w:right="1275"/>
      </w:pPr>
      <w:r>
        <w:rPr/>
        <w:t>Sin perjuicio de lo establecido en el apartado tercero de este artículo, no podrá procederse a la ejecución del contrato con carácter previo a su formalización.</w:t>
      </w:r>
    </w:p>
    <w:p>
      <w:pPr>
        <w:pStyle w:val="ListParagraph"/>
        <w:numPr>
          <w:ilvl w:val="0"/>
          <w:numId w:val="134"/>
        </w:numPr>
        <w:tabs>
          <w:tab w:pos="1644" w:val="left" w:leader="none"/>
        </w:tabs>
        <w:spacing w:line="249" w:lineRule="auto" w:before="1" w:after="0"/>
        <w:ind w:left="1074" w:right="1273" w:firstLine="340"/>
        <w:jc w:val="both"/>
        <w:rPr>
          <w:sz w:val="20"/>
        </w:rPr>
      </w:pPr>
      <w:r>
        <w:rPr>
          <w:sz w:val="20"/>
        </w:rPr>
        <w:t>No podrá procederse a la formalización del contrato hasta tanto transcurra el plazo de quince días hábiles desde que se remite la notificación a que se refiere el artículo 72 en sus apartados 1 y 3, con el objeto de poder garantizar el efecto suspensivo de la reclamación en materia</w:t>
      </w:r>
      <w:r>
        <w:rPr>
          <w:spacing w:val="-2"/>
          <w:sz w:val="20"/>
        </w:rPr>
        <w:t> </w:t>
      </w:r>
      <w:r>
        <w:rPr>
          <w:sz w:val="20"/>
        </w:rPr>
        <w:t>de</w:t>
      </w:r>
      <w:r>
        <w:rPr>
          <w:spacing w:val="-3"/>
          <w:sz w:val="20"/>
        </w:rPr>
        <w:t> </w:t>
      </w:r>
      <w:r>
        <w:rPr>
          <w:sz w:val="20"/>
        </w:rPr>
        <w:t>contratación</w:t>
      </w:r>
      <w:r>
        <w:rPr>
          <w:spacing w:val="-1"/>
          <w:sz w:val="20"/>
        </w:rPr>
        <w:t> </w:t>
      </w:r>
      <w:r>
        <w:rPr>
          <w:sz w:val="20"/>
        </w:rPr>
        <w:t>a</w:t>
      </w:r>
      <w:r>
        <w:rPr>
          <w:spacing w:val="-3"/>
          <w:sz w:val="20"/>
        </w:rPr>
        <w:t> </w:t>
      </w:r>
      <w:r>
        <w:rPr>
          <w:sz w:val="20"/>
        </w:rPr>
        <w:t>que</w:t>
      </w:r>
      <w:r>
        <w:rPr>
          <w:spacing w:val="-2"/>
          <w:sz w:val="20"/>
        </w:rPr>
        <w:t> </w:t>
      </w:r>
      <w:r>
        <w:rPr>
          <w:sz w:val="20"/>
        </w:rPr>
        <w:t>se</w:t>
      </w:r>
      <w:r>
        <w:rPr>
          <w:spacing w:val="-2"/>
          <w:sz w:val="20"/>
        </w:rPr>
        <w:t> </w:t>
      </w:r>
      <w:r>
        <w:rPr>
          <w:sz w:val="20"/>
        </w:rPr>
        <w:t>refiere</w:t>
      </w:r>
      <w:r>
        <w:rPr>
          <w:spacing w:val="-2"/>
          <w:sz w:val="20"/>
        </w:rPr>
        <w:t> </w:t>
      </w:r>
      <w:r>
        <w:rPr>
          <w:sz w:val="20"/>
        </w:rPr>
        <w:t>el</w:t>
      </w:r>
      <w:r>
        <w:rPr>
          <w:spacing w:val="-2"/>
          <w:sz w:val="20"/>
        </w:rPr>
        <w:t> </w:t>
      </w:r>
      <w:r>
        <w:rPr>
          <w:sz w:val="20"/>
        </w:rPr>
        <w:t>artículo</w:t>
      </w:r>
      <w:r>
        <w:rPr>
          <w:spacing w:val="-3"/>
          <w:sz w:val="20"/>
        </w:rPr>
        <w:t> </w:t>
      </w:r>
      <w:r>
        <w:rPr>
          <w:sz w:val="20"/>
        </w:rPr>
        <w:t>53</w:t>
      </w:r>
      <w:r>
        <w:rPr>
          <w:spacing w:val="-2"/>
          <w:sz w:val="20"/>
        </w:rPr>
        <w:t> </w:t>
      </w:r>
      <w:r>
        <w:rPr>
          <w:sz w:val="20"/>
        </w:rPr>
        <w:t>de</w:t>
      </w:r>
      <w:r>
        <w:rPr>
          <w:spacing w:val="-3"/>
          <w:sz w:val="20"/>
        </w:rPr>
        <w:t> </w:t>
      </w:r>
      <w:r>
        <w:rPr>
          <w:sz w:val="20"/>
        </w:rPr>
        <w:t>la</w:t>
      </w:r>
      <w:r>
        <w:rPr>
          <w:spacing w:val="-3"/>
          <w:sz w:val="20"/>
        </w:rPr>
        <w:t> </w:t>
      </w:r>
      <w:r>
        <w:rPr>
          <w:sz w:val="20"/>
        </w:rPr>
        <w:t>Ley</w:t>
      </w:r>
      <w:r>
        <w:rPr>
          <w:spacing w:val="-2"/>
          <w:sz w:val="20"/>
        </w:rPr>
        <w:t> </w:t>
      </w:r>
      <w:r>
        <w:rPr>
          <w:sz w:val="20"/>
        </w:rPr>
        <w:t>9/2017,</w:t>
      </w:r>
      <w:r>
        <w:rPr>
          <w:spacing w:val="-3"/>
          <w:sz w:val="20"/>
        </w:rPr>
        <w:t> </w:t>
      </w:r>
      <w:r>
        <w:rPr>
          <w:sz w:val="20"/>
        </w:rPr>
        <w:t>de</w:t>
      </w:r>
      <w:r>
        <w:rPr>
          <w:spacing w:val="-2"/>
          <w:sz w:val="20"/>
        </w:rPr>
        <w:t> </w:t>
      </w:r>
      <w:r>
        <w:rPr>
          <w:sz w:val="20"/>
        </w:rPr>
        <w:t>8</w:t>
      </w:r>
      <w:r>
        <w:rPr>
          <w:spacing w:val="-3"/>
          <w:sz w:val="20"/>
        </w:rPr>
        <w:t> </w:t>
      </w:r>
      <w:r>
        <w:rPr>
          <w:sz w:val="20"/>
        </w:rPr>
        <w:t>de</w:t>
      </w:r>
      <w:r>
        <w:rPr>
          <w:spacing w:val="-3"/>
          <w:sz w:val="20"/>
        </w:rPr>
        <w:t> </w:t>
      </w:r>
      <w:r>
        <w:rPr>
          <w:sz w:val="20"/>
        </w:rPr>
        <w:t>noviembre.</w:t>
      </w:r>
    </w:p>
    <w:p>
      <w:pPr>
        <w:pStyle w:val="ListParagraph"/>
        <w:numPr>
          <w:ilvl w:val="0"/>
          <w:numId w:val="134"/>
        </w:numPr>
        <w:tabs>
          <w:tab w:pos="1655" w:val="left" w:leader="none"/>
        </w:tabs>
        <w:spacing w:line="249" w:lineRule="auto" w:before="4" w:after="0"/>
        <w:ind w:left="1074" w:right="1274" w:firstLine="340"/>
        <w:jc w:val="both"/>
        <w:rPr>
          <w:sz w:val="20"/>
        </w:rPr>
      </w:pPr>
      <w:r>
        <w:rPr>
          <w:sz w:val="20"/>
        </w:rPr>
        <w:t>Los contratos basados en un acuerdo marco y los contratos específicos en el marco de un sistema dinámico de adquisición, se perfeccionan con su adjudicación; sin que sea necesario observar el plazo de espera previsto en el apartado</w:t>
      </w:r>
      <w:r>
        <w:rPr>
          <w:spacing w:val="-21"/>
          <w:sz w:val="20"/>
        </w:rPr>
        <w:t> </w:t>
      </w:r>
      <w:r>
        <w:rPr>
          <w:sz w:val="20"/>
        </w:rPr>
        <w:t>anterior.</w:t>
      </w:r>
    </w:p>
    <w:p>
      <w:pPr>
        <w:pStyle w:val="ListParagraph"/>
        <w:numPr>
          <w:ilvl w:val="0"/>
          <w:numId w:val="134"/>
        </w:numPr>
        <w:tabs>
          <w:tab w:pos="1652" w:val="left" w:leader="none"/>
        </w:tabs>
        <w:spacing w:line="249" w:lineRule="auto" w:before="2" w:after="0"/>
        <w:ind w:left="1074" w:right="1273" w:firstLine="340"/>
        <w:jc w:val="both"/>
        <w:rPr>
          <w:sz w:val="20"/>
        </w:rPr>
      </w:pPr>
      <w:r>
        <w:rPr>
          <w:sz w:val="20"/>
        </w:rPr>
        <w:t>Cuando por causas imputables al adjudicatario no se hubiese formalizado el contrato dentro del plazo indicado, el contrato se adjudicará al siguiente licitador por el orden en que hubieran quedado clasificadas las</w:t>
      </w:r>
      <w:r>
        <w:rPr>
          <w:spacing w:val="-5"/>
          <w:sz w:val="20"/>
        </w:rPr>
        <w:t> </w:t>
      </w:r>
      <w:r>
        <w:rPr>
          <w:sz w:val="20"/>
        </w:rPr>
        <w:t>ofertas.</w:t>
      </w:r>
    </w:p>
    <w:p>
      <w:pPr>
        <w:pStyle w:val="BodyText"/>
        <w:spacing w:before="5"/>
        <w:ind w:left="0" w:firstLine="0"/>
        <w:jc w:val="left"/>
      </w:pPr>
    </w:p>
    <w:p>
      <w:pPr>
        <w:pStyle w:val="Heading2"/>
        <w:ind w:left="2930"/>
        <w:rPr>
          <w:i/>
        </w:rPr>
      </w:pPr>
      <w:bookmarkStart w:name="Sección 2.ª Publicidad de las licitacion" w:id="117"/>
      <w:bookmarkEnd w:id="117"/>
      <w:r>
        <w:rPr>
          <w:b w:val="0"/>
          <w:i w:val="0"/>
        </w:rPr>
      </w:r>
      <w:bookmarkStart w:name="_bookmark21" w:id="118"/>
      <w:bookmarkEnd w:id="118"/>
      <w:r>
        <w:rPr>
          <w:b w:val="0"/>
          <w:i w:val="0"/>
        </w:rPr>
      </w:r>
      <w:r>
        <w:rPr>
          <w:i/>
        </w:rPr>
        <w:t>Sección 2.ª Publicidad de las licitaciones</w:t>
      </w:r>
    </w:p>
    <w:p>
      <w:pPr>
        <w:pStyle w:val="BodyText"/>
        <w:spacing w:before="5"/>
        <w:ind w:left="0" w:firstLine="0"/>
        <w:jc w:val="left"/>
        <w:rPr>
          <w:b/>
          <w:i/>
          <w:sz w:val="30"/>
        </w:rPr>
      </w:pPr>
    </w:p>
    <w:p>
      <w:pPr>
        <w:spacing w:before="0"/>
        <w:ind w:left="1074" w:right="0" w:firstLine="0"/>
        <w:jc w:val="both"/>
        <w:rPr>
          <w:i/>
          <w:sz w:val="20"/>
        </w:rPr>
      </w:pPr>
      <w:bookmarkStart w:name="Artículo 74. Perfil de contratante." w:id="119"/>
      <w:bookmarkEnd w:id="119"/>
      <w:r>
        <w:rPr/>
      </w:r>
      <w:r>
        <w:rPr>
          <w:b/>
          <w:sz w:val="20"/>
        </w:rPr>
        <w:t>Artículo 74. </w:t>
      </w:r>
      <w:r>
        <w:rPr>
          <w:i/>
          <w:sz w:val="20"/>
        </w:rPr>
        <w:t>Perfil de contratante.</w:t>
      </w:r>
    </w:p>
    <w:p>
      <w:pPr>
        <w:pStyle w:val="ListParagraph"/>
        <w:numPr>
          <w:ilvl w:val="0"/>
          <w:numId w:val="135"/>
        </w:numPr>
        <w:tabs>
          <w:tab w:pos="1648" w:val="left" w:leader="none"/>
        </w:tabs>
        <w:spacing w:line="249" w:lineRule="auto" w:before="118" w:after="0"/>
        <w:ind w:left="1074" w:right="1272" w:firstLine="340"/>
        <w:jc w:val="both"/>
        <w:rPr>
          <w:sz w:val="20"/>
        </w:rPr>
      </w:pPr>
      <w:r>
        <w:rPr>
          <w:sz w:val="20"/>
        </w:rPr>
        <w:t>Las entidades contratantes difundirán exclusivamente a través de Internet su perfil de contratante, como elemento que agrupa la información y documentos relativos a su actividad contractual al objeto de asegurar la transparencia y el acceso público a los mismos. La forma de acceso al perfil de contratante deberá hacerse constar en los pliegos de condiciones y documentos equivalentes, así como en los anuncios que sirvan de convocatoria de licitación o, en el caso de que el medio de convocatoria sea un anuncio sobre la existencia de un sistema de clasificación, en dicho anuncio y en la invitación a licitar o a negociar. La difusión del perfil de contratante no obstará la utilización de otros medios de publicidad adicionales  en los casos en que así se</w:t>
      </w:r>
      <w:r>
        <w:rPr>
          <w:spacing w:val="-7"/>
          <w:sz w:val="20"/>
        </w:rPr>
        <w:t> </w:t>
      </w:r>
      <w:r>
        <w:rPr>
          <w:sz w:val="20"/>
        </w:rPr>
        <w:t>establezca.</w:t>
      </w:r>
    </w:p>
    <w:p>
      <w:pPr>
        <w:pStyle w:val="BodyText"/>
        <w:spacing w:line="249" w:lineRule="auto" w:before="7"/>
        <w:ind w:right="1273"/>
      </w:pPr>
      <w:r>
        <w:rPr/>
        <w:t>El acceso a la información del perfil de contratante será libre, no requiriendo identificación previa. No obstante, podrá requerirse esta para el acceso a servicios personalizados asociados al contenido del perfil de contratante tales como suscripciones, envío de alertas, comunicaciones electrónicas y envío de ofertas, entre otras. Toda la información contenida en los perfiles de contratante se publicará en formatos abiertos y reutilizables, y permanecerá accesible al público durante un periodo de tiempo no inferior a cinco años, sin perjuicio de que se permita el acceso a expedientes anteriores ante solicitudes de</w:t>
      </w:r>
      <w:r>
        <w:rPr>
          <w:spacing w:val="-2"/>
        </w:rPr>
        <w:t> </w:t>
      </w:r>
      <w:r>
        <w:rPr/>
        <w:t>información.</w:t>
      </w:r>
    </w:p>
    <w:p>
      <w:pPr>
        <w:pStyle w:val="ListParagraph"/>
        <w:numPr>
          <w:ilvl w:val="0"/>
          <w:numId w:val="135"/>
        </w:numPr>
        <w:tabs>
          <w:tab w:pos="1652" w:val="left" w:leader="none"/>
        </w:tabs>
        <w:spacing w:line="249" w:lineRule="auto" w:before="7" w:after="0"/>
        <w:ind w:left="1074" w:right="1272" w:firstLine="340"/>
        <w:jc w:val="both"/>
        <w:rPr>
          <w:sz w:val="20"/>
        </w:rPr>
      </w:pPr>
      <w:r>
        <w:rPr>
          <w:sz w:val="20"/>
        </w:rPr>
        <w:t>El perfil de contratante podrá incluir cualesquiera datos y documentos referentes a la actividad contractual de las entidades contratantes. En cualquier caso, el mismo deberá contener tanto la información de tipo general que pueda utilizarse para relacionarse con la entidad contratante, como puntos de contacto, números de teléfono y de fax, dirección</w:t>
      </w:r>
      <w:r>
        <w:rPr>
          <w:spacing w:val="-7"/>
          <w:sz w:val="20"/>
        </w:rPr>
        <w:t> </w:t>
      </w:r>
      <w:r>
        <w:rPr>
          <w:sz w:val="20"/>
        </w:rPr>
        <w:t>postal</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firstLine="0"/>
      </w:pPr>
      <w:r>
        <w:rPr/>
        <w:t>y dirección electrónica, informaciones, anuncios y documentos generales, tales como, en su caso, las normas internas de contratación y modelos de documentos, así como la información particular relativa a los contratos que</w:t>
      </w:r>
      <w:r>
        <w:rPr>
          <w:spacing w:val="-8"/>
        </w:rPr>
        <w:t> </w:t>
      </w:r>
      <w:r>
        <w:rPr/>
        <w:t>celebre.</w:t>
      </w:r>
    </w:p>
    <w:p>
      <w:pPr>
        <w:pStyle w:val="ListParagraph"/>
        <w:numPr>
          <w:ilvl w:val="0"/>
          <w:numId w:val="135"/>
        </w:numPr>
        <w:tabs>
          <w:tab w:pos="1661" w:val="left" w:leader="none"/>
        </w:tabs>
        <w:spacing w:line="249" w:lineRule="auto" w:before="2" w:after="0"/>
        <w:ind w:left="1074" w:right="1274" w:firstLine="340"/>
        <w:jc w:val="both"/>
        <w:rPr>
          <w:sz w:val="20"/>
        </w:rPr>
      </w:pPr>
      <w:r>
        <w:rPr>
          <w:sz w:val="20"/>
        </w:rPr>
        <w:t>En el caso de la información relativa a los contratos, deberá publicarse al menos la siguiente</w:t>
      </w:r>
      <w:r>
        <w:rPr>
          <w:spacing w:val="-1"/>
          <w:sz w:val="20"/>
        </w:rPr>
        <w:t> </w:t>
      </w:r>
      <w:r>
        <w:rPr>
          <w:sz w:val="20"/>
        </w:rPr>
        <w:t>información:</w:t>
      </w:r>
    </w:p>
    <w:p>
      <w:pPr>
        <w:pStyle w:val="ListParagraph"/>
        <w:numPr>
          <w:ilvl w:val="0"/>
          <w:numId w:val="136"/>
        </w:numPr>
        <w:tabs>
          <w:tab w:pos="1653" w:val="left" w:leader="none"/>
        </w:tabs>
        <w:spacing w:line="249" w:lineRule="auto" w:before="122" w:after="0"/>
        <w:ind w:left="1074" w:right="1273" w:firstLine="340"/>
        <w:jc w:val="both"/>
        <w:rPr>
          <w:sz w:val="20"/>
        </w:rPr>
      </w:pPr>
      <w:r>
        <w:rPr>
          <w:sz w:val="20"/>
        </w:rPr>
        <w:t>La justificación del procedimiento utilizado para su adjudicación de conformidad con lo dispuesto en el artículo 81.2, el pliego de condiciones que haya de regir el contrato o documentos equivalentes, en su caso, y el documento de aprobación del expediente, también en su caso. Asimismo, en las licitaciones de entidades contratantes que sean poderes adjudicadores, la memoria justificativa del</w:t>
      </w:r>
      <w:r>
        <w:rPr>
          <w:spacing w:val="-9"/>
          <w:sz w:val="20"/>
        </w:rPr>
        <w:t> </w:t>
      </w:r>
      <w:r>
        <w:rPr>
          <w:sz w:val="20"/>
        </w:rPr>
        <w:t>contrato.</w:t>
      </w:r>
    </w:p>
    <w:p>
      <w:pPr>
        <w:pStyle w:val="ListParagraph"/>
        <w:numPr>
          <w:ilvl w:val="0"/>
          <w:numId w:val="136"/>
        </w:numPr>
        <w:tabs>
          <w:tab w:pos="1718" w:val="left" w:leader="none"/>
        </w:tabs>
        <w:spacing w:line="249" w:lineRule="auto" w:before="4" w:after="0"/>
        <w:ind w:left="1074" w:right="1274" w:firstLine="340"/>
        <w:jc w:val="both"/>
        <w:rPr>
          <w:sz w:val="20"/>
        </w:rPr>
      </w:pPr>
      <w:r>
        <w:rPr>
          <w:sz w:val="20"/>
        </w:rPr>
        <w:t>El objeto detallado del contrato, su duración, el presupuesto de la licitación o documento equivalente y el importe de adjudicación, incluido el Impuesto sobre el Valor Añadido.</w:t>
      </w:r>
    </w:p>
    <w:p>
      <w:pPr>
        <w:pStyle w:val="ListParagraph"/>
        <w:numPr>
          <w:ilvl w:val="0"/>
          <w:numId w:val="136"/>
        </w:numPr>
        <w:tabs>
          <w:tab w:pos="1724" w:val="left" w:leader="none"/>
        </w:tabs>
        <w:spacing w:line="249" w:lineRule="auto" w:before="2" w:after="0"/>
        <w:ind w:left="1074" w:right="1272" w:firstLine="340"/>
        <w:jc w:val="both"/>
        <w:rPr>
          <w:sz w:val="20"/>
        </w:rPr>
      </w:pPr>
      <w:r>
        <w:rPr>
          <w:sz w:val="20"/>
        </w:rPr>
        <w:t>Los anuncios periódicos indicativos, los anuncios que sirvan como medio de convocatoria de las licitaciones, de adjudicación y de formalización de los contratos, los anuncios de modificación y su justificación, los anuncios de concursos de proyectos y de resultados de concursos de proyectos, con las excepciones establecidas en las normas de los negociados sin</w:t>
      </w:r>
      <w:r>
        <w:rPr>
          <w:spacing w:val="-3"/>
          <w:sz w:val="20"/>
        </w:rPr>
        <w:t> </w:t>
      </w:r>
      <w:r>
        <w:rPr>
          <w:sz w:val="20"/>
        </w:rPr>
        <w:t>publicidad.</w:t>
      </w:r>
    </w:p>
    <w:p>
      <w:pPr>
        <w:pStyle w:val="ListParagraph"/>
        <w:numPr>
          <w:ilvl w:val="0"/>
          <w:numId w:val="136"/>
        </w:numPr>
        <w:tabs>
          <w:tab w:pos="1651" w:val="left" w:leader="none"/>
        </w:tabs>
        <w:spacing w:line="249" w:lineRule="auto" w:before="4" w:after="0"/>
        <w:ind w:left="1074" w:right="1274" w:firstLine="340"/>
        <w:jc w:val="both"/>
        <w:rPr>
          <w:sz w:val="20"/>
        </w:rPr>
      </w:pPr>
      <w:r>
        <w:rPr>
          <w:sz w:val="20"/>
        </w:rPr>
        <w:t>Los medios a través de los que, en su caso, se ha publicitado el contrato y los enlaces a esas</w:t>
      </w:r>
      <w:r>
        <w:rPr>
          <w:spacing w:val="-3"/>
          <w:sz w:val="20"/>
        </w:rPr>
        <w:t> </w:t>
      </w:r>
      <w:r>
        <w:rPr>
          <w:sz w:val="20"/>
        </w:rPr>
        <w:t>publicaciones.</w:t>
      </w:r>
    </w:p>
    <w:p>
      <w:pPr>
        <w:pStyle w:val="ListParagraph"/>
        <w:numPr>
          <w:ilvl w:val="0"/>
          <w:numId w:val="136"/>
        </w:numPr>
        <w:tabs>
          <w:tab w:pos="1667" w:val="left" w:leader="none"/>
        </w:tabs>
        <w:spacing w:line="249" w:lineRule="auto" w:before="2" w:after="0"/>
        <w:ind w:left="1074" w:right="1271" w:firstLine="340"/>
        <w:jc w:val="both"/>
        <w:rPr>
          <w:sz w:val="20"/>
        </w:rPr>
      </w:pPr>
      <w:r>
        <w:rPr>
          <w:sz w:val="20"/>
        </w:rPr>
        <w:t>El número e identidad de los licitadores participantes en el procedimiento, así como, en su caso, todas las resoluciones de la entidad contratante correspondiente, y, en todo caso, la decisión de adjudicación del</w:t>
      </w:r>
      <w:r>
        <w:rPr>
          <w:spacing w:val="-7"/>
          <w:sz w:val="20"/>
        </w:rPr>
        <w:t> </w:t>
      </w:r>
      <w:r>
        <w:rPr>
          <w:sz w:val="20"/>
        </w:rPr>
        <w:t>contrato.</w:t>
      </w:r>
    </w:p>
    <w:p>
      <w:pPr>
        <w:pStyle w:val="BodyText"/>
        <w:spacing w:line="249" w:lineRule="auto" w:before="122"/>
        <w:ind w:right="1272"/>
      </w:pPr>
      <w:r>
        <w:rPr/>
        <w:t>Igualmente serán objeto de publicación en el perfil de contratante la decisión de no adjudicar o celebrar el contrato, el desistimiento del procedimiento de adjudicación, la declaración de desierto, así como la interposición de reclamaciones en materia de contratación y la eventual suspensión de los contratos con motivo de la interposición de reclamaciones y recursos.</w:t>
      </w:r>
    </w:p>
    <w:p>
      <w:pPr>
        <w:pStyle w:val="ListParagraph"/>
        <w:numPr>
          <w:ilvl w:val="0"/>
          <w:numId w:val="135"/>
        </w:numPr>
        <w:tabs>
          <w:tab w:pos="1688" w:val="left" w:leader="none"/>
        </w:tabs>
        <w:spacing w:line="249" w:lineRule="auto" w:before="5" w:after="0"/>
        <w:ind w:left="1074" w:right="1274" w:firstLine="340"/>
        <w:jc w:val="both"/>
        <w:rPr>
          <w:sz w:val="20"/>
        </w:rPr>
      </w:pPr>
      <w:r>
        <w:rPr>
          <w:sz w:val="20"/>
        </w:rPr>
        <w:t>El sistema informático que soporte el perfil de contratante deberá contar con un dispositivo que permita acreditar fehacientemente el momento de inicio de la difusión pública de la información que se incluya en el</w:t>
      </w:r>
      <w:r>
        <w:rPr>
          <w:spacing w:val="-10"/>
          <w:sz w:val="20"/>
        </w:rPr>
        <w:t> </w:t>
      </w:r>
      <w:r>
        <w:rPr>
          <w:sz w:val="20"/>
        </w:rPr>
        <w:t>mismo.</w:t>
      </w:r>
    </w:p>
    <w:p>
      <w:pPr>
        <w:pStyle w:val="ListParagraph"/>
        <w:numPr>
          <w:ilvl w:val="0"/>
          <w:numId w:val="135"/>
        </w:numPr>
        <w:tabs>
          <w:tab w:pos="1714" w:val="left" w:leader="none"/>
        </w:tabs>
        <w:spacing w:line="249" w:lineRule="auto" w:before="2" w:after="0"/>
        <w:ind w:left="1074" w:right="1273" w:firstLine="340"/>
        <w:jc w:val="both"/>
        <w:rPr>
          <w:sz w:val="20"/>
        </w:rPr>
      </w:pPr>
      <w:r>
        <w:rPr>
          <w:sz w:val="20"/>
        </w:rPr>
        <w:t>La difusión a través del perfil de contratante de la información relativa a los procedimientos de adjudicación de contratos surtirá los efectos previstos en el presente real decreto-ley.</w:t>
      </w:r>
    </w:p>
    <w:p>
      <w:pPr>
        <w:pStyle w:val="ListParagraph"/>
        <w:numPr>
          <w:ilvl w:val="0"/>
          <w:numId w:val="135"/>
        </w:numPr>
        <w:tabs>
          <w:tab w:pos="1646" w:val="left" w:leader="none"/>
        </w:tabs>
        <w:spacing w:line="249" w:lineRule="auto" w:before="2" w:after="0"/>
        <w:ind w:left="1074" w:right="1274" w:firstLine="340"/>
        <w:jc w:val="both"/>
        <w:rPr>
          <w:sz w:val="20"/>
        </w:rPr>
      </w:pPr>
      <w:r>
        <w:rPr>
          <w:sz w:val="20"/>
        </w:rPr>
        <w:t>Asimismo será objeto de publicación en el perfil de contratante la formalización de los encargos a medios propios, cuando de haberse adjudicado un contrato, este hubiera estado sujeto a este real</w:t>
      </w:r>
      <w:r>
        <w:rPr>
          <w:spacing w:val="-3"/>
          <w:sz w:val="20"/>
        </w:rPr>
        <w:t> </w:t>
      </w:r>
      <w:r>
        <w:rPr>
          <w:sz w:val="20"/>
        </w:rPr>
        <w:t>decreto-ley.</w:t>
      </w:r>
    </w:p>
    <w:p>
      <w:pPr>
        <w:pStyle w:val="ListParagraph"/>
        <w:numPr>
          <w:ilvl w:val="0"/>
          <w:numId w:val="135"/>
        </w:numPr>
        <w:tabs>
          <w:tab w:pos="1654" w:val="left" w:leader="none"/>
        </w:tabs>
        <w:spacing w:line="249" w:lineRule="auto" w:before="3" w:after="0"/>
        <w:ind w:left="1074" w:right="1272" w:firstLine="340"/>
        <w:jc w:val="both"/>
        <w:rPr>
          <w:sz w:val="20"/>
        </w:rPr>
      </w:pPr>
      <w:r>
        <w:rPr>
          <w:sz w:val="20"/>
        </w:rPr>
        <w:t>Podrá no aplicarse determinada información relativa al procedimiento de licitación de un contrato o de un acuerdo marco en los supuestos que establece el artículo 79.2, tercer párrafo.</w:t>
      </w:r>
    </w:p>
    <w:p>
      <w:pPr>
        <w:pStyle w:val="BodyText"/>
        <w:spacing w:line="249" w:lineRule="auto"/>
        <w:ind w:right="1274"/>
      </w:pPr>
      <w:r>
        <w:rPr/>
        <w:t>En todo caso, cada vez que la entidad contratante decida excluir alguna información de acuerdo con lo dispuesto en el párrafo anterior, deberá justificarlo en el expediente.</w:t>
      </w:r>
    </w:p>
    <w:p>
      <w:pPr>
        <w:pStyle w:val="BodyText"/>
        <w:spacing w:before="4"/>
        <w:ind w:left="0" w:firstLine="0"/>
        <w:jc w:val="left"/>
      </w:pPr>
    </w:p>
    <w:p>
      <w:pPr>
        <w:spacing w:before="1"/>
        <w:ind w:left="1074" w:right="0" w:firstLine="0"/>
        <w:jc w:val="both"/>
        <w:rPr>
          <w:i/>
          <w:sz w:val="20"/>
        </w:rPr>
      </w:pPr>
      <w:bookmarkStart w:name="Artículo 75. Plataforma de Contratación " w:id="120"/>
      <w:bookmarkEnd w:id="120"/>
      <w:r>
        <w:rPr/>
      </w:r>
      <w:r>
        <w:rPr>
          <w:b/>
          <w:sz w:val="20"/>
        </w:rPr>
        <w:t>Artículo 75. </w:t>
      </w:r>
      <w:r>
        <w:rPr>
          <w:i/>
          <w:sz w:val="20"/>
        </w:rPr>
        <w:t>Plataforma de Contratación del Sector Público.</w:t>
      </w:r>
    </w:p>
    <w:p>
      <w:pPr>
        <w:pStyle w:val="ListParagraph"/>
        <w:numPr>
          <w:ilvl w:val="0"/>
          <w:numId w:val="137"/>
        </w:numPr>
        <w:tabs>
          <w:tab w:pos="1652" w:val="left" w:leader="none"/>
        </w:tabs>
        <w:spacing w:line="249" w:lineRule="auto" w:before="117" w:after="0"/>
        <w:ind w:left="1074" w:right="1273" w:firstLine="340"/>
        <w:jc w:val="both"/>
        <w:rPr>
          <w:sz w:val="20"/>
        </w:rPr>
      </w:pPr>
      <w:r>
        <w:rPr>
          <w:sz w:val="20"/>
        </w:rPr>
        <w:t>Las entidades contratantes que pertenezcan al Sector Público tendrán que alojar sus perfiles de contratante de manera obligatoria en la Plataforma de Contratación del Sector Público o en los servicios de información similares que establezcan las Comunidades Autónomas, de conformidad con lo establecido en el artículo 347 de la Ley 9/2017, de 8 de noviembre.</w:t>
      </w:r>
    </w:p>
    <w:p>
      <w:pPr>
        <w:pStyle w:val="ListParagraph"/>
        <w:numPr>
          <w:ilvl w:val="0"/>
          <w:numId w:val="137"/>
        </w:numPr>
        <w:tabs>
          <w:tab w:pos="1659" w:val="left" w:leader="none"/>
        </w:tabs>
        <w:spacing w:line="249" w:lineRule="auto" w:before="4" w:after="0"/>
        <w:ind w:left="1074" w:right="1271" w:firstLine="340"/>
        <w:jc w:val="both"/>
        <w:rPr>
          <w:sz w:val="20"/>
        </w:rPr>
      </w:pPr>
      <w:r>
        <w:rPr>
          <w:sz w:val="20"/>
        </w:rPr>
        <w:t>Las demás entidades contratantes alojarán su perfil en plataformas electrónicas que deberán contar con un sistema de sellado de tiempo que permita acreditar fehacientemente el inicio de la difusión pública de la información que se incluya en la</w:t>
      </w:r>
      <w:r>
        <w:rPr>
          <w:spacing w:val="-27"/>
          <w:sz w:val="20"/>
        </w:rPr>
        <w:t> </w:t>
      </w:r>
      <w:r>
        <w:rPr>
          <w:sz w:val="20"/>
        </w:rPr>
        <w:t>misma.</w:t>
      </w:r>
    </w:p>
    <w:p>
      <w:pPr>
        <w:pStyle w:val="BodyText"/>
        <w:spacing w:before="5"/>
        <w:ind w:left="0" w:firstLine="0"/>
        <w:jc w:val="left"/>
      </w:pPr>
    </w:p>
    <w:p>
      <w:pPr>
        <w:spacing w:before="0"/>
        <w:ind w:left="1074" w:right="0" w:firstLine="0"/>
        <w:jc w:val="both"/>
        <w:rPr>
          <w:i/>
          <w:sz w:val="20"/>
        </w:rPr>
      </w:pPr>
      <w:bookmarkStart w:name="Artículo 76. Anuncios periódicos indicat" w:id="121"/>
      <w:bookmarkEnd w:id="121"/>
      <w:r>
        <w:rPr/>
      </w:r>
      <w:r>
        <w:rPr>
          <w:b/>
          <w:sz w:val="20"/>
        </w:rPr>
        <w:t>Artículo 76. </w:t>
      </w:r>
      <w:r>
        <w:rPr>
          <w:i/>
          <w:sz w:val="20"/>
        </w:rPr>
        <w:t>Anuncios periódicos indicativos.</w:t>
      </w:r>
    </w:p>
    <w:p>
      <w:pPr>
        <w:pStyle w:val="ListParagraph"/>
        <w:numPr>
          <w:ilvl w:val="0"/>
          <w:numId w:val="138"/>
        </w:numPr>
        <w:tabs>
          <w:tab w:pos="1639" w:val="left" w:leader="none"/>
        </w:tabs>
        <w:spacing w:line="249" w:lineRule="auto" w:before="118" w:after="0"/>
        <w:ind w:left="1074" w:right="1273" w:firstLine="340"/>
        <w:jc w:val="both"/>
        <w:rPr>
          <w:sz w:val="20"/>
        </w:rPr>
      </w:pPr>
      <w:r>
        <w:rPr>
          <w:sz w:val="20"/>
        </w:rPr>
        <w:t>Las entidades contratantes del sector público programarán la actividad de contratación pública</w:t>
      </w:r>
      <w:r>
        <w:rPr>
          <w:spacing w:val="12"/>
          <w:sz w:val="20"/>
        </w:rPr>
        <w:t> </w:t>
      </w:r>
      <w:r>
        <w:rPr>
          <w:sz w:val="20"/>
        </w:rPr>
        <w:t>que</w:t>
      </w:r>
      <w:r>
        <w:rPr>
          <w:spacing w:val="13"/>
          <w:sz w:val="20"/>
        </w:rPr>
        <w:t> </w:t>
      </w:r>
      <w:r>
        <w:rPr>
          <w:sz w:val="20"/>
        </w:rPr>
        <w:t>desarrollarán</w:t>
      </w:r>
      <w:r>
        <w:rPr>
          <w:spacing w:val="13"/>
          <w:sz w:val="20"/>
        </w:rPr>
        <w:t> </w:t>
      </w:r>
      <w:r>
        <w:rPr>
          <w:sz w:val="20"/>
        </w:rPr>
        <w:t>en</w:t>
      </w:r>
      <w:r>
        <w:rPr>
          <w:spacing w:val="13"/>
          <w:sz w:val="20"/>
        </w:rPr>
        <w:t> </w:t>
      </w:r>
      <w:r>
        <w:rPr>
          <w:sz w:val="20"/>
        </w:rPr>
        <w:t>un</w:t>
      </w:r>
      <w:r>
        <w:rPr>
          <w:spacing w:val="13"/>
          <w:sz w:val="20"/>
        </w:rPr>
        <w:t> </w:t>
      </w:r>
      <w:r>
        <w:rPr>
          <w:sz w:val="20"/>
        </w:rPr>
        <w:t>ejercicio</w:t>
      </w:r>
      <w:r>
        <w:rPr>
          <w:spacing w:val="13"/>
          <w:sz w:val="20"/>
        </w:rPr>
        <w:t> </w:t>
      </w:r>
      <w:r>
        <w:rPr>
          <w:sz w:val="20"/>
        </w:rPr>
        <w:t>presupuestario</w:t>
      </w:r>
      <w:r>
        <w:rPr>
          <w:spacing w:val="13"/>
          <w:sz w:val="20"/>
        </w:rPr>
        <w:t> </w:t>
      </w:r>
      <w:r>
        <w:rPr>
          <w:sz w:val="20"/>
        </w:rPr>
        <w:t>o</w:t>
      </w:r>
      <w:r>
        <w:rPr>
          <w:spacing w:val="13"/>
          <w:sz w:val="20"/>
        </w:rPr>
        <w:t> </w:t>
      </w:r>
      <w:r>
        <w:rPr>
          <w:sz w:val="20"/>
        </w:rPr>
        <w:t>períodos</w:t>
      </w:r>
      <w:r>
        <w:rPr>
          <w:spacing w:val="13"/>
          <w:sz w:val="20"/>
        </w:rPr>
        <w:t> </w:t>
      </w:r>
      <w:r>
        <w:rPr>
          <w:sz w:val="20"/>
        </w:rPr>
        <w:t>plurianuales,</w:t>
      </w:r>
      <w:r>
        <w:rPr>
          <w:spacing w:val="13"/>
          <w:sz w:val="20"/>
        </w:rPr>
        <w:t> </w:t>
      </w:r>
      <w:r>
        <w:rPr>
          <w:sz w:val="20"/>
        </w:rPr>
        <w:t>y</w:t>
      </w:r>
      <w:r>
        <w:rPr>
          <w:spacing w:val="14"/>
          <w:sz w:val="20"/>
        </w:rPr>
        <w:t> </w:t>
      </w:r>
      <w:r>
        <w:rPr>
          <w:sz w:val="20"/>
        </w:rPr>
        <w:t>darán</w:t>
      </w:r>
      <w:r>
        <w:rPr>
          <w:spacing w:val="13"/>
          <w:sz w:val="20"/>
        </w:rPr>
        <w:t> </w:t>
      </w:r>
      <w:r>
        <w:rPr>
          <w:sz w:val="20"/>
        </w:rPr>
        <w:t>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conocer su plan de contratación anticipadamente mediante un anuncio periódico indicativo que al menos recoja aquellos contratos que quedarán sujetos a este real decreto-ley.</w:t>
      </w:r>
    </w:p>
    <w:p>
      <w:pPr>
        <w:pStyle w:val="BodyText"/>
        <w:spacing w:line="249" w:lineRule="auto" w:before="1"/>
        <w:ind w:right="1272"/>
      </w:pPr>
      <w:r>
        <w:rPr/>
        <w:t>Cuando se licite un contrato de concesión de servicios del anexo I las entidades contratantes en todo caso darán a conocer sus intenciones de contratación a través de la publicación de un anuncio periódico indicativo.</w:t>
      </w:r>
    </w:p>
    <w:p>
      <w:pPr>
        <w:pStyle w:val="ListParagraph"/>
        <w:numPr>
          <w:ilvl w:val="0"/>
          <w:numId w:val="138"/>
        </w:numPr>
        <w:tabs>
          <w:tab w:pos="1671" w:val="left" w:leader="none"/>
        </w:tabs>
        <w:spacing w:line="249" w:lineRule="auto" w:before="3" w:after="0"/>
        <w:ind w:left="1074" w:right="1273" w:firstLine="340"/>
        <w:jc w:val="both"/>
        <w:rPr>
          <w:sz w:val="20"/>
        </w:rPr>
      </w:pPr>
      <w:r>
        <w:rPr>
          <w:sz w:val="20"/>
        </w:rPr>
        <w:t>Los anuncios periódicos indicativos a que se refiere el primer párrafo del apartado anterior contendrán la información que figura en el anexo VI, secciones A o C,</w:t>
      </w:r>
      <w:r>
        <w:rPr>
          <w:spacing w:val="1"/>
          <w:sz w:val="20"/>
        </w:rPr>
        <w:t> </w:t>
      </w:r>
      <w:r>
        <w:rPr>
          <w:sz w:val="20"/>
        </w:rPr>
        <w:t>según proceda, y serán publicados de conformidad con lo dispuesto en el artículo 80, a elección de la entidad contratante, en el «Diario Oficial de la Unión Europea» o en su perfil de contratante.</w:t>
      </w:r>
    </w:p>
    <w:p>
      <w:pPr>
        <w:pStyle w:val="BodyText"/>
        <w:spacing w:line="249" w:lineRule="auto" w:before="4"/>
        <w:ind w:right="1274"/>
      </w:pPr>
      <w:r>
        <w:rPr/>
        <w:t>Los anuncios periódicos indicativos a que se refiere el segundo párrafo del apartado anterior se publicarán en el «Diario Oficial de la Unión Europea», con la información que figura en el anexo VI, sección D.</w:t>
      </w:r>
    </w:p>
    <w:p>
      <w:pPr>
        <w:pStyle w:val="ListParagraph"/>
        <w:numPr>
          <w:ilvl w:val="0"/>
          <w:numId w:val="138"/>
        </w:numPr>
        <w:tabs>
          <w:tab w:pos="1704" w:val="left" w:leader="none"/>
        </w:tabs>
        <w:spacing w:line="249" w:lineRule="auto" w:before="2" w:after="0"/>
        <w:ind w:left="1074" w:right="1273" w:firstLine="340"/>
        <w:jc w:val="both"/>
        <w:rPr>
          <w:sz w:val="20"/>
        </w:rPr>
      </w:pPr>
      <w:r>
        <w:rPr>
          <w:sz w:val="20"/>
        </w:rPr>
        <w:t>En caso de que el anuncio periódico indicativo sea publicado por una entidad contratante en su perfil de contratante, esta deberá enviar a la Oficina de Publicaciones de la Unión Europea un anuncio de dicha publicación, que contendrán la información enunciada en el anexo VI, sección</w:t>
      </w:r>
      <w:r>
        <w:rPr>
          <w:spacing w:val="-4"/>
          <w:sz w:val="20"/>
        </w:rPr>
        <w:t> </w:t>
      </w:r>
      <w:r>
        <w:rPr>
          <w:sz w:val="20"/>
        </w:rPr>
        <w:t>B.</w:t>
      </w:r>
    </w:p>
    <w:p>
      <w:pPr>
        <w:pStyle w:val="BodyText"/>
        <w:spacing w:before="6"/>
        <w:ind w:left="0" w:firstLine="0"/>
        <w:jc w:val="left"/>
      </w:pPr>
    </w:p>
    <w:p>
      <w:pPr>
        <w:spacing w:before="0"/>
        <w:ind w:left="1074" w:right="0" w:firstLine="0"/>
        <w:jc w:val="both"/>
        <w:rPr>
          <w:i/>
          <w:sz w:val="20"/>
        </w:rPr>
      </w:pPr>
      <w:bookmarkStart w:name="Artículo 77. Convocatoria de licitación." w:id="122"/>
      <w:bookmarkEnd w:id="122"/>
      <w:r>
        <w:rPr/>
      </w:r>
      <w:r>
        <w:rPr>
          <w:b/>
          <w:sz w:val="20"/>
        </w:rPr>
        <w:t>Artículo 77. </w:t>
      </w:r>
      <w:r>
        <w:rPr>
          <w:i/>
          <w:sz w:val="20"/>
        </w:rPr>
        <w:t>Convocatoria de licitación.</w:t>
      </w:r>
    </w:p>
    <w:p>
      <w:pPr>
        <w:pStyle w:val="BodyText"/>
        <w:spacing w:line="249" w:lineRule="auto" w:before="118"/>
        <w:ind w:right="1275"/>
      </w:pPr>
      <w:r>
        <w:rPr/>
        <w:t>Todos los procedimientos de licitación previstos en este real decreto-ley, a excepción del procedimiento negociado sin publicidad a que se refiere el artículo 85, serán objeto de una convocatoria de licitación, la cual podrá efectuarse por alguno de los siguientes medios:</w:t>
      </w:r>
    </w:p>
    <w:p>
      <w:pPr>
        <w:pStyle w:val="ListParagraph"/>
        <w:numPr>
          <w:ilvl w:val="0"/>
          <w:numId w:val="139"/>
        </w:numPr>
        <w:tabs>
          <w:tab w:pos="1662" w:val="left" w:leader="none"/>
        </w:tabs>
        <w:spacing w:line="249" w:lineRule="auto" w:before="122" w:after="0"/>
        <w:ind w:left="1074" w:right="1273" w:firstLine="340"/>
        <w:jc w:val="both"/>
        <w:rPr>
          <w:sz w:val="20"/>
        </w:rPr>
      </w:pPr>
      <w:r>
        <w:rPr>
          <w:sz w:val="20"/>
        </w:rPr>
        <w:t>En el caso de licitación de contratos de obras, suministros o servicios: bien mediante un anuncio de licitación, de conformidad con lo dispuesto en el artículo 78, cualquiera que sea el procedimiento por el que se adjudique el contrato; o bien mediante un anuncio sobre la existencia de un sistema de clasificación, de acuerdo con lo dispuesto en los artículos 34 y 40, cuando el contrato se adjudique mediante un procedimiento restringido, de licitación con negociación, de diálogo competitivo o de asociación para la</w:t>
      </w:r>
      <w:r>
        <w:rPr>
          <w:spacing w:val="-17"/>
          <w:sz w:val="20"/>
        </w:rPr>
        <w:t> </w:t>
      </w:r>
      <w:r>
        <w:rPr>
          <w:sz w:val="20"/>
        </w:rPr>
        <w:t>innovación.</w:t>
      </w:r>
    </w:p>
    <w:p>
      <w:pPr>
        <w:pStyle w:val="ListParagraph"/>
        <w:numPr>
          <w:ilvl w:val="0"/>
          <w:numId w:val="139"/>
        </w:numPr>
        <w:tabs>
          <w:tab w:pos="1688" w:val="left" w:leader="none"/>
        </w:tabs>
        <w:spacing w:line="249" w:lineRule="auto" w:before="5" w:after="0"/>
        <w:ind w:left="1074" w:right="1273" w:firstLine="340"/>
        <w:jc w:val="both"/>
        <w:rPr>
          <w:sz w:val="20"/>
        </w:rPr>
      </w:pPr>
      <w:r>
        <w:rPr>
          <w:sz w:val="20"/>
        </w:rPr>
        <w:t>En el caso de licitación de contratos de concesión de alguno de los servicios del anexo I: En todo caso mediante un anuncio periódico indicativo en los términos establecidos en el artículo 76. En los demás casos de licitación de contratos de concesión, el medio de convocatoria será el anuncio de licitación a que se refiere el artículo</w:t>
      </w:r>
      <w:r>
        <w:rPr>
          <w:spacing w:val="-16"/>
          <w:sz w:val="20"/>
        </w:rPr>
        <w:t> </w:t>
      </w:r>
      <w:r>
        <w:rPr>
          <w:sz w:val="20"/>
        </w:rPr>
        <w:t>78.</w:t>
      </w:r>
    </w:p>
    <w:p>
      <w:pPr>
        <w:pStyle w:val="BodyText"/>
        <w:spacing w:before="6"/>
        <w:ind w:left="0" w:firstLine="0"/>
        <w:jc w:val="left"/>
      </w:pPr>
    </w:p>
    <w:p>
      <w:pPr>
        <w:spacing w:before="0"/>
        <w:ind w:left="1074" w:right="0" w:firstLine="0"/>
        <w:jc w:val="both"/>
        <w:rPr>
          <w:i/>
          <w:sz w:val="20"/>
        </w:rPr>
      </w:pPr>
      <w:bookmarkStart w:name="Artículo 78. Anuncios de licitación." w:id="123"/>
      <w:bookmarkEnd w:id="123"/>
      <w:r>
        <w:rPr/>
      </w:r>
      <w:r>
        <w:rPr>
          <w:b/>
          <w:sz w:val="20"/>
        </w:rPr>
        <w:t>Artículo 78. </w:t>
      </w:r>
      <w:r>
        <w:rPr>
          <w:i/>
          <w:sz w:val="20"/>
        </w:rPr>
        <w:t>Anuncios de licitación.</w:t>
      </w:r>
    </w:p>
    <w:p>
      <w:pPr>
        <w:pStyle w:val="ListParagraph"/>
        <w:numPr>
          <w:ilvl w:val="0"/>
          <w:numId w:val="140"/>
        </w:numPr>
        <w:tabs>
          <w:tab w:pos="1663" w:val="left" w:leader="none"/>
        </w:tabs>
        <w:spacing w:line="249" w:lineRule="auto" w:before="118" w:after="0"/>
        <w:ind w:left="1074" w:right="1273" w:firstLine="340"/>
        <w:jc w:val="both"/>
        <w:rPr>
          <w:sz w:val="20"/>
        </w:rPr>
      </w:pPr>
      <w:r>
        <w:rPr>
          <w:sz w:val="20"/>
        </w:rPr>
        <w:t>Los anuncios a que se refiere este artículo se publicarán en el «Diario Oficial de la Unión Europea», de conformidad con lo dispuesto en el artículo 80 y en el perfil de contratante de la entidad</w:t>
      </w:r>
      <w:r>
        <w:rPr>
          <w:spacing w:val="-4"/>
          <w:sz w:val="20"/>
        </w:rPr>
        <w:t> </w:t>
      </w:r>
      <w:r>
        <w:rPr>
          <w:sz w:val="20"/>
        </w:rPr>
        <w:t>contratante.</w:t>
      </w:r>
    </w:p>
    <w:p>
      <w:pPr>
        <w:pStyle w:val="ListParagraph"/>
        <w:numPr>
          <w:ilvl w:val="0"/>
          <w:numId w:val="140"/>
        </w:numPr>
        <w:tabs>
          <w:tab w:pos="1674" w:val="left" w:leader="none"/>
        </w:tabs>
        <w:spacing w:line="249" w:lineRule="auto" w:before="2" w:after="0"/>
        <w:ind w:left="1074" w:right="1274" w:firstLine="340"/>
        <w:jc w:val="both"/>
        <w:rPr>
          <w:sz w:val="20"/>
        </w:rPr>
      </w:pPr>
      <w:r>
        <w:rPr>
          <w:sz w:val="20"/>
        </w:rPr>
        <w:t>Los anuncios de licitación deberán contener la información establecida en la parte correspondiente del anexo VII y, si procede, cualquier otra información que la entidad contratante considere conveniente, con arreglo al formato de los formularios</w:t>
      </w:r>
      <w:r>
        <w:rPr>
          <w:spacing w:val="-20"/>
          <w:sz w:val="20"/>
        </w:rPr>
        <w:t> </w:t>
      </w:r>
      <w:r>
        <w:rPr>
          <w:sz w:val="20"/>
        </w:rPr>
        <w:t>normalizados.</w:t>
      </w:r>
    </w:p>
    <w:p>
      <w:pPr>
        <w:pStyle w:val="BodyText"/>
        <w:spacing w:before="5"/>
        <w:ind w:left="0" w:firstLine="0"/>
        <w:jc w:val="left"/>
      </w:pPr>
    </w:p>
    <w:p>
      <w:pPr>
        <w:spacing w:before="0"/>
        <w:ind w:left="1074" w:right="0" w:firstLine="0"/>
        <w:jc w:val="both"/>
        <w:rPr>
          <w:i/>
          <w:sz w:val="20"/>
        </w:rPr>
      </w:pPr>
      <w:bookmarkStart w:name="Artículo 79. Anuncios de formalización d" w:id="124"/>
      <w:bookmarkEnd w:id="124"/>
      <w:r>
        <w:rPr/>
      </w:r>
      <w:r>
        <w:rPr>
          <w:b/>
          <w:sz w:val="20"/>
        </w:rPr>
        <w:t>Artículo 79. </w:t>
      </w:r>
      <w:r>
        <w:rPr>
          <w:i/>
          <w:sz w:val="20"/>
        </w:rPr>
        <w:t>Anuncios de formalización de los contratos.</w:t>
      </w:r>
    </w:p>
    <w:p>
      <w:pPr>
        <w:pStyle w:val="ListParagraph"/>
        <w:numPr>
          <w:ilvl w:val="0"/>
          <w:numId w:val="141"/>
        </w:numPr>
        <w:tabs>
          <w:tab w:pos="1684" w:val="left" w:leader="none"/>
        </w:tabs>
        <w:spacing w:line="249" w:lineRule="auto" w:before="118" w:after="0"/>
        <w:ind w:left="1074" w:right="1273" w:firstLine="340"/>
        <w:jc w:val="both"/>
        <w:rPr>
          <w:sz w:val="20"/>
        </w:rPr>
      </w:pPr>
      <w:r>
        <w:rPr>
          <w:sz w:val="20"/>
        </w:rPr>
        <w:t>La formalización de los contratos deberá publicarse, junto con el correspondiente contrato, en un plazo no superior a quince días tras el perfeccionamiento del contrato en el perfil de contratante de la entidad contratante y en el «Diario Oficial de la Unión</w:t>
      </w:r>
      <w:r>
        <w:rPr>
          <w:spacing w:val="-32"/>
          <w:sz w:val="20"/>
        </w:rPr>
        <w:t> </w:t>
      </w:r>
      <w:r>
        <w:rPr>
          <w:sz w:val="20"/>
        </w:rPr>
        <w:t>Europea».</w:t>
      </w:r>
    </w:p>
    <w:p>
      <w:pPr>
        <w:pStyle w:val="ListParagraph"/>
        <w:numPr>
          <w:ilvl w:val="0"/>
          <w:numId w:val="141"/>
        </w:numPr>
        <w:tabs>
          <w:tab w:pos="1658" w:val="left" w:leader="none"/>
        </w:tabs>
        <w:spacing w:line="249" w:lineRule="auto" w:before="2" w:after="0"/>
        <w:ind w:left="1074" w:right="1270" w:firstLine="340"/>
        <w:jc w:val="both"/>
        <w:rPr>
          <w:sz w:val="20"/>
        </w:rPr>
      </w:pPr>
      <w:r>
        <w:rPr>
          <w:sz w:val="20"/>
        </w:rPr>
        <w:t>La entidad contratante enviará a la Oficina de Publicaciones de la Unión Europea el anuncio de formalización a más tardar diez días después de la formalización del contrato o del acuerdo</w:t>
      </w:r>
      <w:r>
        <w:rPr>
          <w:spacing w:val="-3"/>
          <w:sz w:val="20"/>
        </w:rPr>
        <w:t> </w:t>
      </w:r>
      <w:r>
        <w:rPr>
          <w:sz w:val="20"/>
        </w:rPr>
        <w:t>marco.</w:t>
      </w:r>
    </w:p>
    <w:p>
      <w:pPr>
        <w:pStyle w:val="BodyText"/>
        <w:spacing w:line="249" w:lineRule="auto" w:before="3"/>
        <w:ind w:right="1274"/>
      </w:pPr>
      <w:r>
        <w:rPr/>
        <w:t>Este anuncio deberá contener la información establecida en la sección correspondiente del anexo VIII y se publicará de conformidad con el artículo 80.</w:t>
      </w:r>
    </w:p>
    <w:p>
      <w:pPr>
        <w:pStyle w:val="BodyText"/>
        <w:spacing w:line="249" w:lineRule="auto" w:before="1"/>
        <w:ind w:right="1274"/>
      </w:pPr>
      <w:r>
        <w:rPr/>
        <w:t>No obstante, determinada información relativa al procedimiento de licitación de un contrato o de un acuerdo marco podrá no ser publicada cuando su divulgación dificulte la aplicación del real decreto-ley, sea contraria al interés público, perjudique los intereses comerciales legítimos de determinados operadores, públicos o privados, o pueda perjudicar la competencia leal entre operadores económicos.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En todo caso, previa la decisión de no publicar unos determinados datos relativos a la celebración del contrato, las entidades contratantes deberán solicitar la emisión de informe por el Consejo de Transparencia y Buen Gobierno a que se refiere la Ley 19/2013, de 9 de diciembre, de transparencia, acceso a la información pública y buen gobierno, en el que se aprecie si el derecho de acceso a la información pública prevalece o no frente a los bienes que se pretenden salvaguardar con su no publicación, que será evacuado en un plazo máximo de diez días.</w:t>
      </w:r>
    </w:p>
    <w:p>
      <w:pPr>
        <w:pStyle w:val="BodyText"/>
        <w:spacing w:line="249" w:lineRule="auto" w:before="5"/>
        <w:ind w:right="1272"/>
      </w:pPr>
      <w:r>
        <w:rPr/>
        <w:t>No obstante lo anterior, no se requerirá dicho informe por el Consejo de Transparencia y Buen Gobierno en caso de que con anterioridad se hubiese efectuado por la entidad contratante perteneciente al Sector Público consulta sobre una materia idéntica o análoga, sin perjuicio de la justificación debida de su exclusión en el expediente en los términos establecidos en este</w:t>
      </w:r>
      <w:r>
        <w:rPr>
          <w:spacing w:val="-4"/>
        </w:rPr>
        <w:t> </w:t>
      </w:r>
      <w:r>
        <w:rPr/>
        <w:t>apartado.</w:t>
      </w:r>
    </w:p>
    <w:p>
      <w:pPr>
        <w:pStyle w:val="ListParagraph"/>
        <w:numPr>
          <w:ilvl w:val="0"/>
          <w:numId w:val="141"/>
        </w:numPr>
        <w:tabs>
          <w:tab w:pos="1670" w:val="left" w:leader="none"/>
        </w:tabs>
        <w:spacing w:line="249" w:lineRule="auto" w:before="4" w:after="0"/>
        <w:ind w:left="1074" w:right="1272" w:firstLine="340"/>
        <w:jc w:val="both"/>
        <w:rPr>
          <w:sz w:val="20"/>
        </w:rPr>
      </w:pPr>
      <w:r>
        <w:rPr>
          <w:sz w:val="20"/>
        </w:rPr>
        <w:t>La adjudicación de los contratos basados en un acuerdo marco o de los contratos específicos en el marco de un sistema dinámico de adquisición, ya perfeccionados en virtud de lo establecido en el artículo 73.3, se publicará trimestralmente por la entidad contratante dentro de los treinta días siguientes al final de cada trimestre, en la forma prevista en el presente</w:t>
      </w:r>
      <w:r>
        <w:rPr>
          <w:spacing w:val="-2"/>
          <w:sz w:val="20"/>
        </w:rPr>
        <w:t> </w:t>
      </w:r>
      <w:r>
        <w:rPr>
          <w:sz w:val="20"/>
        </w:rPr>
        <w:t>artículo.</w:t>
      </w:r>
    </w:p>
    <w:p>
      <w:pPr>
        <w:pStyle w:val="ListParagraph"/>
        <w:numPr>
          <w:ilvl w:val="0"/>
          <w:numId w:val="141"/>
        </w:numPr>
        <w:tabs>
          <w:tab w:pos="1682" w:val="left" w:leader="none"/>
        </w:tabs>
        <w:spacing w:line="249" w:lineRule="auto" w:before="5" w:after="0"/>
        <w:ind w:left="1074" w:right="1272" w:firstLine="340"/>
        <w:jc w:val="both"/>
        <w:rPr>
          <w:sz w:val="20"/>
        </w:rPr>
      </w:pPr>
      <w:r>
        <w:rPr>
          <w:sz w:val="20"/>
        </w:rPr>
        <w:t>En el caso de contratos de servicios de investigación y desarrollo, la información relativa a la naturaleza y la cantidad de los servicios podrá limitarse, respectivamente, a la siguiente:</w:t>
      </w:r>
    </w:p>
    <w:p>
      <w:pPr>
        <w:pStyle w:val="ListParagraph"/>
        <w:numPr>
          <w:ilvl w:val="0"/>
          <w:numId w:val="142"/>
        </w:numPr>
        <w:tabs>
          <w:tab w:pos="1702" w:val="left" w:leader="none"/>
        </w:tabs>
        <w:spacing w:line="249" w:lineRule="auto" w:before="122" w:after="0"/>
        <w:ind w:left="1074" w:right="1274" w:firstLine="340"/>
        <w:jc w:val="both"/>
        <w:rPr>
          <w:sz w:val="20"/>
        </w:rPr>
      </w:pPr>
      <w:r>
        <w:rPr>
          <w:sz w:val="20"/>
        </w:rPr>
        <w:t>La indicación «servicios de I+D», si el contrato ha sido adjudicado mediante un procedimiento negociado sin convocatoria de licitación, de conformidad con el artículo 85.1.b).</w:t>
      </w:r>
    </w:p>
    <w:p>
      <w:pPr>
        <w:pStyle w:val="ListParagraph"/>
        <w:numPr>
          <w:ilvl w:val="0"/>
          <w:numId w:val="142"/>
        </w:numPr>
        <w:tabs>
          <w:tab w:pos="1653" w:val="left" w:leader="none"/>
        </w:tabs>
        <w:spacing w:line="249" w:lineRule="auto" w:before="2" w:after="0"/>
        <w:ind w:left="1074" w:right="1274" w:firstLine="340"/>
        <w:jc w:val="both"/>
        <w:rPr>
          <w:sz w:val="20"/>
        </w:rPr>
      </w:pPr>
      <w:r>
        <w:rPr>
          <w:sz w:val="20"/>
        </w:rPr>
        <w:t>Información como mínimo tan detallada como la indicada en el anuncio utilizado como medio de convocatoria de</w:t>
      </w:r>
      <w:r>
        <w:rPr>
          <w:spacing w:val="-3"/>
          <w:sz w:val="20"/>
        </w:rPr>
        <w:t> </w:t>
      </w:r>
      <w:r>
        <w:rPr>
          <w:sz w:val="20"/>
        </w:rPr>
        <w:t>licitación.</w:t>
      </w:r>
    </w:p>
    <w:p>
      <w:pPr>
        <w:pStyle w:val="ListParagraph"/>
        <w:numPr>
          <w:ilvl w:val="0"/>
          <w:numId w:val="141"/>
        </w:numPr>
        <w:tabs>
          <w:tab w:pos="1694" w:val="left" w:leader="none"/>
        </w:tabs>
        <w:spacing w:line="249" w:lineRule="auto" w:before="122" w:after="0"/>
        <w:ind w:left="1074" w:right="1272" w:firstLine="340"/>
        <w:jc w:val="both"/>
        <w:rPr>
          <w:sz w:val="20"/>
        </w:rPr>
      </w:pPr>
      <w:r>
        <w:rPr>
          <w:sz w:val="20"/>
        </w:rPr>
        <w:t>La información facilitada de conformidad con el anexo VIII y señalada como no destinada a publicación solo se publicará de forma simplificada a efectos</w:t>
      </w:r>
      <w:r>
        <w:rPr>
          <w:spacing w:val="-29"/>
          <w:sz w:val="20"/>
        </w:rPr>
        <w:t> </w:t>
      </w:r>
      <w:r>
        <w:rPr>
          <w:sz w:val="20"/>
        </w:rPr>
        <w:t>estadísticos.</w:t>
      </w:r>
    </w:p>
    <w:p>
      <w:pPr>
        <w:pStyle w:val="BodyText"/>
        <w:spacing w:before="4"/>
        <w:ind w:left="0" w:firstLine="0"/>
        <w:jc w:val="left"/>
      </w:pPr>
    </w:p>
    <w:p>
      <w:pPr>
        <w:spacing w:before="0"/>
        <w:ind w:left="1074" w:right="0" w:firstLine="0"/>
        <w:jc w:val="both"/>
        <w:rPr>
          <w:i/>
          <w:sz w:val="20"/>
        </w:rPr>
      </w:pPr>
      <w:bookmarkStart w:name="Artículo 80. Criterios y modalidades de " w:id="125"/>
      <w:bookmarkEnd w:id="125"/>
      <w:r>
        <w:rPr/>
      </w:r>
      <w:r>
        <w:rPr>
          <w:b/>
          <w:sz w:val="20"/>
        </w:rPr>
        <w:t>Artículo 80. </w:t>
      </w:r>
      <w:r>
        <w:rPr>
          <w:i/>
          <w:sz w:val="20"/>
        </w:rPr>
        <w:t>Criterios y modalidades de publicación de los anuncios.</w:t>
      </w:r>
    </w:p>
    <w:p>
      <w:pPr>
        <w:pStyle w:val="ListParagraph"/>
        <w:numPr>
          <w:ilvl w:val="0"/>
          <w:numId w:val="143"/>
        </w:numPr>
        <w:tabs>
          <w:tab w:pos="1701" w:val="left" w:leader="none"/>
        </w:tabs>
        <w:spacing w:line="249" w:lineRule="auto" w:before="118" w:after="0"/>
        <w:ind w:left="1074" w:right="1273" w:firstLine="340"/>
        <w:jc w:val="both"/>
        <w:rPr>
          <w:sz w:val="20"/>
        </w:rPr>
      </w:pPr>
      <w:r>
        <w:rPr>
          <w:sz w:val="20"/>
        </w:rPr>
        <w:t>Los anuncios a que se refieren los artículos 34, 76, 78, 79 y 102 incluirán la información indicada en los anexos III, VI, VII, VIII, IX y X, respectivamente, según el formato de los formularios normalizados, incluidos los formularios normalizados para la corrección de errores.</w:t>
      </w:r>
    </w:p>
    <w:p>
      <w:pPr>
        <w:pStyle w:val="ListParagraph"/>
        <w:numPr>
          <w:ilvl w:val="0"/>
          <w:numId w:val="143"/>
        </w:numPr>
        <w:tabs>
          <w:tab w:pos="1640" w:val="left" w:leader="none"/>
        </w:tabs>
        <w:spacing w:line="249" w:lineRule="auto" w:before="3" w:after="0"/>
        <w:ind w:left="1074" w:right="1273" w:firstLine="340"/>
        <w:jc w:val="both"/>
        <w:rPr>
          <w:sz w:val="20"/>
        </w:rPr>
      </w:pPr>
      <w:r>
        <w:rPr>
          <w:sz w:val="20"/>
        </w:rPr>
        <w:t>Los anuncios a que se refiere el apartado anterior se enviarán por medios electrónicos a la Oficina de Publicaciones de la Unión</w:t>
      </w:r>
      <w:r>
        <w:rPr>
          <w:spacing w:val="-7"/>
          <w:sz w:val="20"/>
        </w:rPr>
        <w:t> </w:t>
      </w:r>
      <w:r>
        <w:rPr>
          <w:sz w:val="20"/>
        </w:rPr>
        <w:t>Europea.</w:t>
      </w:r>
    </w:p>
    <w:p>
      <w:pPr>
        <w:pStyle w:val="ListParagraph"/>
        <w:numPr>
          <w:ilvl w:val="0"/>
          <w:numId w:val="143"/>
        </w:numPr>
        <w:tabs>
          <w:tab w:pos="1651" w:val="left" w:leader="none"/>
        </w:tabs>
        <w:spacing w:line="249" w:lineRule="auto" w:before="2" w:after="0"/>
        <w:ind w:left="1074" w:right="1275" w:firstLine="340"/>
        <w:jc w:val="both"/>
        <w:rPr>
          <w:sz w:val="20"/>
        </w:rPr>
      </w:pPr>
      <w:r>
        <w:rPr>
          <w:sz w:val="20"/>
        </w:rPr>
        <w:t>Los anuncios a que se refiere el apartado 1 se publicarán en toda su extensión en la lengua oficial de las instituciones de la Unión Europea elegida por la entidad contratante. El texto publicado en esa lengua o lenguas será el único auténtico. Asimismo, se publicará un resumen de los puntos importantes de cada anuncio en las demás lenguas oficiales de las instituciones de la Unión</w:t>
      </w:r>
      <w:r>
        <w:rPr>
          <w:spacing w:val="-5"/>
          <w:sz w:val="20"/>
        </w:rPr>
        <w:t> </w:t>
      </w:r>
      <w:r>
        <w:rPr>
          <w:sz w:val="20"/>
        </w:rPr>
        <w:t>Europea.</w:t>
      </w:r>
    </w:p>
    <w:p>
      <w:pPr>
        <w:pStyle w:val="ListParagraph"/>
        <w:numPr>
          <w:ilvl w:val="0"/>
          <w:numId w:val="143"/>
        </w:numPr>
        <w:tabs>
          <w:tab w:pos="1707" w:val="left" w:leader="none"/>
        </w:tabs>
        <w:spacing w:line="249" w:lineRule="auto" w:before="4" w:after="0"/>
        <w:ind w:left="1074" w:right="1272" w:firstLine="340"/>
        <w:jc w:val="both"/>
        <w:rPr>
          <w:sz w:val="20"/>
        </w:rPr>
      </w:pPr>
      <w:r>
        <w:rPr>
          <w:sz w:val="20"/>
        </w:rPr>
        <w:t>Las entidades contratantes deberán poder demostrar la fecha de envío de los anuncios. Con esta finalidad la Oficina de Publicaciones de la Unión Europea confirmará a la entidad contratante la recepción del anuncio y la publicación de la información enviada, indicando la fecha de dicha publicación. Esta confirmación constituirá prueba de la publicación.</w:t>
      </w:r>
    </w:p>
    <w:p>
      <w:pPr>
        <w:pStyle w:val="ListParagraph"/>
        <w:numPr>
          <w:ilvl w:val="0"/>
          <w:numId w:val="143"/>
        </w:numPr>
        <w:tabs>
          <w:tab w:pos="1674" w:val="left" w:leader="none"/>
        </w:tabs>
        <w:spacing w:line="249" w:lineRule="auto" w:before="4" w:after="0"/>
        <w:ind w:left="1074" w:right="1272" w:firstLine="340"/>
        <w:jc w:val="both"/>
        <w:rPr>
          <w:sz w:val="20"/>
        </w:rPr>
      </w:pPr>
      <w:r>
        <w:rPr>
          <w:sz w:val="20"/>
        </w:rPr>
        <w:t>Los anuncios a que se refiere el apartado 1 de este artículo y la información que contienen no se publicarán en el ámbito nacional antes de su publicación en el «Diario Oficial de la Unión Europea». No obstante, los mismos podrán publicarse en el ámbito nacional si las entidades contratantes no hubieran recibido notificación de su publicación dentro de las cuarenta y ocho horas siguientes a la confirmación por la Oficina de Publicaciones de la Unión Europea de la recepción del anuncio</w:t>
      </w:r>
      <w:r>
        <w:rPr>
          <w:spacing w:val="-8"/>
          <w:sz w:val="20"/>
        </w:rPr>
        <w:t> </w:t>
      </w:r>
      <w:r>
        <w:rPr>
          <w:sz w:val="20"/>
        </w:rPr>
        <w:t>enviado.</w:t>
      </w:r>
    </w:p>
    <w:p>
      <w:pPr>
        <w:pStyle w:val="ListParagraph"/>
        <w:numPr>
          <w:ilvl w:val="0"/>
          <w:numId w:val="143"/>
        </w:numPr>
        <w:tabs>
          <w:tab w:pos="1664" w:val="left" w:leader="none"/>
        </w:tabs>
        <w:spacing w:line="249" w:lineRule="auto" w:before="5" w:after="0"/>
        <w:ind w:left="1074" w:right="1272" w:firstLine="340"/>
        <w:jc w:val="both"/>
        <w:rPr>
          <w:sz w:val="20"/>
        </w:rPr>
      </w:pPr>
      <w:r>
        <w:rPr>
          <w:sz w:val="20"/>
        </w:rPr>
        <w:t>Los anuncios publicados a nivel nacional no incluirán información distinta de la que figure en los anuncios enviados a la Oficina de Publicaciones de la Unión Europea o publicados en un perfil de contratante, pero deberán mencionar la fecha de envío  del anuncio a la Oficina de Publicaciones de la Unión Europea o de su publicación en el perfil de contratante.</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pStyle w:val="Heading2"/>
        <w:ind w:left="2930"/>
        <w:rPr>
          <w:i/>
        </w:rPr>
      </w:pPr>
      <w:bookmarkStart w:name="Sección 3.ª Tipos de procedimiento" w:id="126"/>
      <w:bookmarkEnd w:id="126"/>
      <w:r>
        <w:rPr>
          <w:b w:val="0"/>
          <w:i w:val="0"/>
        </w:rPr>
      </w:r>
      <w:bookmarkStart w:name="_bookmark22" w:id="127"/>
      <w:bookmarkEnd w:id="127"/>
      <w:r>
        <w:rPr>
          <w:b w:val="0"/>
          <w:i w:val="0"/>
        </w:rPr>
      </w:r>
      <w:r>
        <w:rPr>
          <w:i/>
        </w:rPr>
        <w:t>Sección 3.ª Tipos de procedimiento</w:t>
      </w:r>
    </w:p>
    <w:p>
      <w:pPr>
        <w:pStyle w:val="BodyText"/>
        <w:spacing w:before="5"/>
        <w:ind w:left="0" w:firstLine="0"/>
        <w:jc w:val="left"/>
        <w:rPr>
          <w:b/>
          <w:i/>
          <w:sz w:val="30"/>
        </w:rPr>
      </w:pPr>
    </w:p>
    <w:p>
      <w:pPr>
        <w:spacing w:before="0"/>
        <w:ind w:left="1074" w:right="0" w:firstLine="0"/>
        <w:jc w:val="both"/>
        <w:rPr>
          <w:i/>
          <w:sz w:val="20"/>
        </w:rPr>
      </w:pPr>
      <w:bookmarkStart w:name="Artículo 81. Procedimientos de adjudicac" w:id="128"/>
      <w:bookmarkEnd w:id="128"/>
      <w:r>
        <w:rPr/>
      </w:r>
      <w:r>
        <w:rPr>
          <w:b/>
          <w:sz w:val="20"/>
        </w:rPr>
        <w:t>Artículo 81. </w:t>
      </w:r>
      <w:r>
        <w:rPr>
          <w:i/>
          <w:sz w:val="20"/>
        </w:rPr>
        <w:t>Procedimientos de adjudicación.</w:t>
      </w:r>
    </w:p>
    <w:p>
      <w:pPr>
        <w:pStyle w:val="ListParagraph"/>
        <w:numPr>
          <w:ilvl w:val="0"/>
          <w:numId w:val="144"/>
        </w:numPr>
        <w:tabs>
          <w:tab w:pos="1697" w:val="left" w:leader="none"/>
        </w:tabs>
        <w:spacing w:line="249" w:lineRule="auto" w:before="118" w:after="0"/>
        <w:ind w:left="1074" w:right="1273" w:firstLine="340"/>
        <w:jc w:val="both"/>
        <w:rPr>
          <w:sz w:val="20"/>
        </w:rPr>
      </w:pPr>
      <w:r>
        <w:rPr>
          <w:sz w:val="20"/>
        </w:rPr>
        <w:t>La entidad contratante podrá elegir entre la adopción del procedimiento abierto, restringido, de licitación con negociación, de diálogo competitivo y de asociación para la innovación, siempre que se haya efectuado una convocatoria de licitación con arreglo a lo dispuesto en el artículo 77. También podrá utilizarse el procedimiento negociado sin publicidad en los casos previstos en el artículo 85 de este real</w:t>
      </w:r>
      <w:r>
        <w:rPr>
          <w:spacing w:val="-23"/>
          <w:sz w:val="20"/>
        </w:rPr>
        <w:t> </w:t>
      </w:r>
      <w:r>
        <w:rPr>
          <w:sz w:val="20"/>
        </w:rPr>
        <w:t>decreto-ley.</w:t>
      </w:r>
    </w:p>
    <w:p>
      <w:pPr>
        <w:pStyle w:val="ListParagraph"/>
        <w:numPr>
          <w:ilvl w:val="0"/>
          <w:numId w:val="144"/>
        </w:numPr>
        <w:tabs>
          <w:tab w:pos="1687" w:val="left" w:leader="none"/>
        </w:tabs>
        <w:spacing w:line="249" w:lineRule="auto" w:before="4" w:after="0"/>
        <w:ind w:left="1074" w:right="1275" w:firstLine="340"/>
        <w:jc w:val="both"/>
        <w:rPr>
          <w:sz w:val="20"/>
        </w:rPr>
      </w:pPr>
      <w:r>
        <w:rPr>
          <w:sz w:val="20"/>
        </w:rPr>
        <w:t>La entidad contratante deberá motivar la elección del procedimiento de licitación, dejando constancia documental de ello en el expediente de</w:t>
      </w:r>
      <w:r>
        <w:rPr>
          <w:spacing w:val="-15"/>
          <w:sz w:val="20"/>
        </w:rPr>
        <w:t> </w:t>
      </w:r>
      <w:r>
        <w:rPr>
          <w:sz w:val="20"/>
        </w:rPr>
        <w:t>contratación.</w:t>
      </w:r>
    </w:p>
    <w:p>
      <w:pPr>
        <w:pStyle w:val="BodyText"/>
        <w:spacing w:before="4"/>
        <w:ind w:left="0" w:firstLine="0"/>
        <w:jc w:val="left"/>
      </w:pPr>
    </w:p>
    <w:p>
      <w:pPr>
        <w:spacing w:before="0"/>
        <w:ind w:left="1074" w:right="0" w:firstLine="0"/>
        <w:jc w:val="both"/>
        <w:rPr>
          <w:i/>
          <w:sz w:val="20"/>
        </w:rPr>
      </w:pPr>
      <w:bookmarkStart w:name="Artículo 82. Procedimiento abierto." w:id="129"/>
      <w:bookmarkEnd w:id="129"/>
      <w:r>
        <w:rPr/>
      </w:r>
      <w:r>
        <w:rPr>
          <w:b/>
          <w:sz w:val="20"/>
        </w:rPr>
        <w:t>Artículo 82. </w:t>
      </w:r>
      <w:r>
        <w:rPr>
          <w:i/>
          <w:sz w:val="20"/>
        </w:rPr>
        <w:t>Procedimiento abierto.</w:t>
      </w:r>
    </w:p>
    <w:p>
      <w:pPr>
        <w:pStyle w:val="ListParagraph"/>
        <w:numPr>
          <w:ilvl w:val="0"/>
          <w:numId w:val="145"/>
        </w:numPr>
        <w:tabs>
          <w:tab w:pos="1706" w:val="left" w:leader="none"/>
        </w:tabs>
        <w:spacing w:line="249" w:lineRule="auto" w:before="118" w:after="0"/>
        <w:ind w:left="1074" w:right="1276" w:firstLine="340"/>
        <w:jc w:val="both"/>
        <w:rPr>
          <w:sz w:val="20"/>
        </w:rPr>
      </w:pPr>
      <w:r>
        <w:rPr>
          <w:sz w:val="20"/>
        </w:rPr>
        <w:t>En los procedimientos abiertos, cualquier operador económico interesado podrá presentar una oferta en respuesta a un anuncio de</w:t>
      </w:r>
      <w:r>
        <w:rPr>
          <w:spacing w:val="-13"/>
          <w:sz w:val="20"/>
        </w:rPr>
        <w:t> </w:t>
      </w:r>
      <w:r>
        <w:rPr>
          <w:sz w:val="20"/>
        </w:rPr>
        <w:t>licitación.</w:t>
      </w:r>
    </w:p>
    <w:p>
      <w:pPr>
        <w:pStyle w:val="ListParagraph"/>
        <w:numPr>
          <w:ilvl w:val="0"/>
          <w:numId w:val="145"/>
        </w:numPr>
        <w:tabs>
          <w:tab w:pos="1640" w:val="left" w:leader="none"/>
        </w:tabs>
        <w:spacing w:line="249" w:lineRule="auto" w:before="2" w:after="0"/>
        <w:ind w:left="1074" w:right="1274" w:firstLine="340"/>
        <w:jc w:val="both"/>
        <w:rPr>
          <w:sz w:val="20"/>
        </w:rPr>
      </w:pPr>
      <w:r>
        <w:rPr>
          <w:sz w:val="20"/>
        </w:rPr>
        <w:t>El plazo mínimo para la presentación de las ofertas será de treinta y cinco días a partir de la fecha de envío del anuncio de</w:t>
      </w:r>
      <w:r>
        <w:rPr>
          <w:spacing w:val="-10"/>
          <w:sz w:val="20"/>
        </w:rPr>
        <w:t> </w:t>
      </w:r>
      <w:r>
        <w:rPr>
          <w:sz w:val="20"/>
        </w:rPr>
        <w:t>licitación.</w:t>
      </w:r>
    </w:p>
    <w:p>
      <w:pPr>
        <w:pStyle w:val="ListParagraph"/>
        <w:numPr>
          <w:ilvl w:val="0"/>
          <w:numId w:val="145"/>
        </w:numPr>
        <w:tabs>
          <w:tab w:pos="1668" w:val="left" w:leader="none"/>
        </w:tabs>
        <w:spacing w:line="249" w:lineRule="auto" w:before="1" w:after="0"/>
        <w:ind w:left="1074" w:right="1276" w:firstLine="340"/>
        <w:jc w:val="both"/>
        <w:rPr>
          <w:sz w:val="20"/>
        </w:rPr>
      </w:pPr>
      <w:r>
        <w:rPr>
          <w:sz w:val="20"/>
        </w:rPr>
        <w:t>La oferta deberá ir acompañada de la información para la selección cualitativa que solicite la entidad</w:t>
      </w:r>
      <w:r>
        <w:rPr>
          <w:spacing w:val="-3"/>
          <w:sz w:val="20"/>
        </w:rPr>
        <w:t> </w:t>
      </w:r>
      <w:r>
        <w:rPr>
          <w:sz w:val="20"/>
        </w:rPr>
        <w:t>contratante.</w:t>
      </w:r>
    </w:p>
    <w:p>
      <w:pPr>
        <w:pStyle w:val="ListParagraph"/>
        <w:numPr>
          <w:ilvl w:val="0"/>
          <w:numId w:val="145"/>
        </w:numPr>
        <w:tabs>
          <w:tab w:pos="1647" w:val="left" w:leader="none"/>
        </w:tabs>
        <w:spacing w:line="249" w:lineRule="auto" w:before="2" w:after="0"/>
        <w:ind w:left="1074" w:right="1274" w:firstLine="340"/>
        <w:jc w:val="both"/>
        <w:rPr>
          <w:sz w:val="20"/>
        </w:rPr>
      </w:pPr>
      <w:r>
        <w:rPr>
          <w:sz w:val="20"/>
        </w:rPr>
        <w:t>Cuando las entidades contratantes hayan publicado un anuncio periódico indicativo el plazo mínimo de treinta y cinco días establecido en el apartado 2 anterior para la presentación de las ofertas podrá reducirse a quince días, siempre y cuando se cumplan todas las condiciones</w:t>
      </w:r>
      <w:r>
        <w:rPr>
          <w:spacing w:val="-2"/>
          <w:sz w:val="20"/>
        </w:rPr>
        <w:t> </w:t>
      </w:r>
      <w:r>
        <w:rPr>
          <w:sz w:val="20"/>
        </w:rPr>
        <w:t>siguientes:</w:t>
      </w:r>
    </w:p>
    <w:p>
      <w:pPr>
        <w:pStyle w:val="ListParagraph"/>
        <w:numPr>
          <w:ilvl w:val="0"/>
          <w:numId w:val="146"/>
        </w:numPr>
        <w:tabs>
          <w:tab w:pos="1681" w:val="left" w:leader="none"/>
        </w:tabs>
        <w:spacing w:line="249" w:lineRule="auto" w:before="123" w:after="0"/>
        <w:ind w:left="1074" w:right="1273" w:firstLine="340"/>
        <w:jc w:val="both"/>
        <w:rPr>
          <w:sz w:val="20"/>
        </w:rPr>
      </w:pPr>
      <w:r>
        <w:rPr>
          <w:sz w:val="20"/>
        </w:rPr>
        <w:t>Que en el anuncio periódico indicativo se haya incluido, además de la información exigida en el anexo VI sección A, apartado I, la información que relaciona el apartado II de idéntico anexo y sección, en la medida en que esta última información estuviera disponible en el momento en que se publicó el anuncio periódico indicativo. Cuando esta información  no se incluya en el anuncio, la entidad contratante deberá dejar constancia por escrito en la documentación preparatoria de la licitación del motivo por el cual esta no se encontraba disponible en la fecha de publicación de dicho</w:t>
      </w:r>
      <w:r>
        <w:rPr>
          <w:spacing w:val="-11"/>
          <w:sz w:val="20"/>
        </w:rPr>
        <w:t> </w:t>
      </w:r>
      <w:r>
        <w:rPr>
          <w:sz w:val="20"/>
        </w:rPr>
        <w:t>anuncio.</w:t>
      </w:r>
    </w:p>
    <w:p>
      <w:pPr>
        <w:pStyle w:val="ListParagraph"/>
        <w:numPr>
          <w:ilvl w:val="0"/>
          <w:numId w:val="146"/>
        </w:numPr>
        <w:tabs>
          <w:tab w:pos="1651" w:val="left" w:leader="none"/>
        </w:tabs>
        <w:spacing w:line="249" w:lineRule="auto" w:before="6" w:after="0"/>
        <w:ind w:left="1074" w:right="1275" w:firstLine="340"/>
        <w:jc w:val="both"/>
        <w:rPr>
          <w:sz w:val="20"/>
        </w:rPr>
      </w:pPr>
      <w:r>
        <w:rPr>
          <w:sz w:val="20"/>
        </w:rPr>
        <w:t>Que el anuncio periódico indicativo haya sido enviado para su publicación entre treinta y cinco días y doce meses antes de la fecha de envío del anuncio de</w:t>
      </w:r>
      <w:r>
        <w:rPr>
          <w:spacing w:val="-25"/>
          <w:sz w:val="20"/>
        </w:rPr>
        <w:t> </w:t>
      </w:r>
      <w:r>
        <w:rPr>
          <w:sz w:val="20"/>
        </w:rPr>
        <w:t>licitación.</w:t>
      </w:r>
    </w:p>
    <w:p>
      <w:pPr>
        <w:pStyle w:val="ListParagraph"/>
        <w:numPr>
          <w:ilvl w:val="0"/>
          <w:numId w:val="145"/>
        </w:numPr>
        <w:tabs>
          <w:tab w:pos="1639" w:val="left" w:leader="none"/>
        </w:tabs>
        <w:spacing w:line="249" w:lineRule="auto" w:before="122" w:after="0"/>
        <w:ind w:left="1074" w:right="1273" w:firstLine="340"/>
        <w:jc w:val="both"/>
        <w:rPr>
          <w:sz w:val="20"/>
        </w:rPr>
      </w:pPr>
      <w:r>
        <w:rPr>
          <w:sz w:val="20"/>
        </w:rPr>
        <w:t>En los procedimientos relativos a contratos de obras, suministros o servicios cuando el plazo de treinta y cinco días establecido en el apartado 2 sea impracticable a causa de una situación de urgencia debidamente justificada por las entidades contratantes, estas podrán fijar un plazo que no será inferior a quince días a partir de la fecha de envío del anuncio de licitación.</w:t>
      </w:r>
    </w:p>
    <w:p>
      <w:pPr>
        <w:pStyle w:val="ListParagraph"/>
        <w:numPr>
          <w:ilvl w:val="0"/>
          <w:numId w:val="145"/>
        </w:numPr>
        <w:tabs>
          <w:tab w:pos="1640" w:val="left" w:leader="none"/>
        </w:tabs>
        <w:spacing w:line="249" w:lineRule="auto" w:before="4" w:after="0"/>
        <w:ind w:left="1074" w:right="1273" w:firstLine="340"/>
        <w:jc w:val="both"/>
        <w:rPr>
          <w:sz w:val="20"/>
        </w:rPr>
      </w:pPr>
      <w:r>
        <w:rPr>
          <w:sz w:val="20"/>
        </w:rPr>
        <w:t>La entidad contratante podrá reducir en cinco días el plazo de treinta y cinco días para la presentación de ofertas establecido en el apartado 2 del presente artículo, cuando la misma acepte que las ofertas puedan presentarse por medios electrónicos, de conformidad con lo previsto en el artículo 61 de este real</w:t>
      </w:r>
      <w:r>
        <w:rPr>
          <w:spacing w:val="-13"/>
          <w:sz w:val="20"/>
        </w:rPr>
        <w:t> </w:t>
      </w:r>
      <w:r>
        <w:rPr>
          <w:sz w:val="20"/>
        </w:rPr>
        <w:t>decreto-ley.</w:t>
      </w:r>
    </w:p>
    <w:p>
      <w:pPr>
        <w:pStyle w:val="ListParagraph"/>
        <w:numPr>
          <w:ilvl w:val="0"/>
          <w:numId w:val="145"/>
        </w:numPr>
        <w:tabs>
          <w:tab w:pos="1653" w:val="left" w:leader="none"/>
        </w:tabs>
        <w:spacing w:line="249" w:lineRule="auto" w:before="3" w:after="0"/>
        <w:ind w:left="1074" w:right="1272" w:firstLine="340"/>
        <w:jc w:val="both"/>
        <w:rPr>
          <w:sz w:val="20"/>
        </w:rPr>
      </w:pPr>
      <w:r>
        <w:rPr>
          <w:sz w:val="20"/>
        </w:rPr>
        <w:t>Cuando para la valoración de las proposiciones hayan de tenerse en cuenta criterios distintos al del precio, las entidades contratantes para ello podrán solicitar, antes de decidir  la adjudicación, cuantos informes técnicos considere precisos. Igualmente, podrán solicitarse estos informes cuando sea necesario verificar que las ofertas cumplen con las especificaciones técnicas del</w:t>
      </w:r>
      <w:r>
        <w:rPr>
          <w:spacing w:val="-3"/>
          <w:sz w:val="20"/>
        </w:rPr>
        <w:t> </w:t>
      </w:r>
      <w:r>
        <w:rPr>
          <w:sz w:val="20"/>
        </w:rPr>
        <w:t>pliego.</w:t>
      </w:r>
    </w:p>
    <w:p>
      <w:pPr>
        <w:pStyle w:val="BodyText"/>
        <w:spacing w:line="249" w:lineRule="auto" w:before="4"/>
        <w:ind w:right="1274"/>
      </w:pPr>
      <w:r>
        <w:rPr/>
        <w:t>También se podrán requerir informes a las organizaciones sociales de usuarios destinatarios de la prestación, a las organizaciones representativas del ámbito de actividad al que corresponda el objeto del contrato, a las organizaciones sindicales, a las organizaciones que defiendan la igualdad de género y a otras organizaciones para la verificación de las consideraciones sociales y ambientales.</w:t>
      </w:r>
    </w:p>
    <w:p>
      <w:pPr>
        <w:pStyle w:val="BodyText"/>
        <w:spacing w:before="7"/>
        <w:ind w:left="0" w:firstLine="0"/>
        <w:jc w:val="left"/>
      </w:pPr>
    </w:p>
    <w:p>
      <w:pPr>
        <w:spacing w:before="0"/>
        <w:ind w:left="1074" w:right="0" w:firstLine="0"/>
        <w:jc w:val="both"/>
        <w:rPr>
          <w:i/>
          <w:sz w:val="20"/>
        </w:rPr>
      </w:pPr>
      <w:bookmarkStart w:name="Artículo 83. Procedimiento restringido." w:id="130"/>
      <w:bookmarkEnd w:id="130"/>
      <w:r>
        <w:rPr/>
      </w:r>
      <w:r>
        <w:rPr>
          <w:b/>
          <w:sz w:val="20"/>
        </w:rPr>
        <w:t>Artículo 83. </w:t>
      </w:r>
      <w:r>
        <w:rPr>
          <w:i/>
          <w:sz w:val="20"/>
        </w:rPr>
        <w:t>Procedimiento restringido.</w:t>
      </w:r>
    </w:p>
    <w:p>
      <w:pPr>
        <w:pStyle w:val="ListParagraph"/>
        <w:numPr>
          <w:ilvl w:val="0"/>
          <w:numId w:val="147"/>
        </w:numPr>
        <w:tabs>
          <w:tab w:pos="1648" w:val="left" w:leader="none"/>
        </w:tabs>
        <w:spacing w:line="249" w:lineRule="auto" w:before="117" w:after="0"/>
        <w:ind w:left="1074" w:right="1274" w:firstLine="340"/>
        <w:jc w:val="both"/>
        <w:rPr>
          <w:sz w:val="20"/>
        </w:rPr>
      </w:pPr>
      <w:r>
        <w:rPr>
          <w:sz w:val="20"/>
        </w:rPr>
        <w:t>En los procedimientos restringidos cualquier empresa interesada podrá presentar una solicitud</w:t>
      </w:r>
      <w:r>
        <w:rPr>
          <w:spacing w:val="12"/>
          <w:sz w:val="20"/>
        </w:rPr>
        <w:t> </w:t>
      </w:r>
      <w:r>
        <w:rPr>
          <w:sz w:val="20"/>
        </w:rPr>
        <w:t>de</w:t>
      </w:r>
      <w:r>
        <w:rPr>
          <w:spacing w:val="11"/>
          <w:sz w:val="20"/>
        </w:rPr>
        <w:t> </w:t>
      </w:r>
      <w:r>
        <w:rPr>
          <w:sz w:val="20"/>
        </w:rPr>
        <w:t>participación</w:t>
      </w:r>
      <w:r>
        <w:rPr>
          <w:spacing w:val="12"/>
          <w:sz w:val="20"/>
        </w:rPr>
        <w:t> </w:t>
      </w:r>
      <w:r>
        <w:rPr>
          <w:sz w:val="20"/>
        </w:rPr>
        <w:t>en</w:t>
      </w:r>
      <w:r>
        <w:rPr>
          <w:spacing w:val="11"/>
          <w:sz w:val="20"/>
        </w:rPr>
        <w:t> </w:t>
      </w:r>
      <w:r>
        <w:rPr>
          <w:sz w:val="20"/>
        </w:rPr>
        <w:t>respuesta</w:t>
      </w:r>
      <w:r>
        <w:rPr>
          <w:spacing w:val="12"/>
          <w:sz w:val="20"/>
        </w:rPr>
        <w:t> </w:t>
      </w:r>
      <w:r>
        <w:rPr>
          <w:sz w:val="20"/>
        </w:rPr>
        <w:t>a</w:t>
      </w:r>
      <w:r>
        <w:rPr>
          <w:spacing w:val="12"/>
          <w:sz w:val="20"/>
        </w:rPr>
        <w:t> </w:t>
      </w:r>
      <w:r>
        <w:rPr>
          <w:sz w:val="20"/>
        </w:rPr>
        <w:t>un</w:t>
      </w:r>
      <w:r>
        <w:rPr>
          <w:spacing w:val="11"/>
          <w:sz w:val="20"/>
        </w:rPr>
        <w:t> </w:t>
      </w:r>
      <w:r>
        <w:rPr>
          <w:sz w:val="20"/>
        </w:rPr>
        <w:t>anuncio</w:t>
      </w:r>
      <w:r>
        <w:rPr>
          <w:spacing w:val="12"/>
          <w:sz w:val="20"/>
        </w:rPr>
        <w:t> </w:t>
      </w:r>
      <w:r>
        <w:rPr>
          <w:sz w:val="20"/>
        </w:rPr>
        <w:t>que</w:t>
      </w:r>
      <w:r>
        <w:rPr>
          <w:spacing w:val="11"/>
          <w:sz w:val="20"/>
        </w:rPr>
        <w:t> </w:t>
      </w:r>
      <w:r>
        <w:rPr>
          <w:sz w:val="20"/>
        </w:rPr>
        <w:t>sirva</w:t>
      </w:r>
      <w:r>
        <w:rPr>
          <w:spacing w:val="12"/>
          <w:sz w:val="20"/>
        </w:rPr>
        <w:t> </w:t>
      </w:r>
      <w:r>
        <w:rPr>
          <w:sz w:val="20"/>
        </w:rPr>
        <w:t>de</w:t>
      </w:r>
      <w:r>
        <w:rPr>
          <w:spacing w:val="12"/>
          <w:sz w:val="20"/>
        </w:rPr>
        <w:t> </w:t>
      </w:r>
      <w:r>
        <w:rPr>
          <w:sz w:val="20"/>
        </w:rPr>
        <w:t>convocatoria</w:t>
      </w:r>
      <w:r>
        <w:rPr>
          <w:spacing w:val="12"/>
          <w:sz w:val="20"/>
        </w:rPr>
        <w:t> </w:t>
      </w:r>
      <w:r>
        <w:rPr>
          <w:sz w:val="20"/>
        </w:rPr>
        <w:t>de</w:t>
      </w:r>
      <w:r>
        <w:rPr>
          <w:spacing w:val="11"/>
          <w:sz w:val="20"/>
        </w:rPr>
        <w:t> </w:t>
      </w:r>
      <w:r>
        <w:rPr>
          <w:sz w:val="20"/>
        </w:rPr>
        <w:t>licitación,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firstLine="0"/>
      </w:pPr>
      <w:r>
        <w:rPr/>
        <w:t>proporcionando la información para la selección cualitativa que solicite la entidad contratante.</w:t>
      </w:r>
    </w:p>
    <w:p>
      <w:pPr>
        <w:pStyle w:val="ListParagraph"/>
        <w:numPr>
          <w:ilvl w:val="0"/>
          <w:numId w:val="147"/>
        </w:numPr>
        <w:tabs>
          <w:tab w:pos="1663" w:val="left" w:leader="none"/>
        </w:tabs>
        <w:spacing w:line="249" w:lineRule="auto" w:before="1" w:after="0"/>
        <w:ind w:left="1074" w:right="1273" w:firstLine="340"/>
        <w:jc w:val="both"/>
        <w:rPr>
          <w:sz w:val="20"/>
        </w:rPr>
      </w:pPr>
      <w:r>
        <w:rPr>
          <w:sz w:val="20"/>
        </w:rPr>
        <w:t>Cuando el procedimiento se refiera a contratos de obras, suministros o servicios, el plazo mínimo para la presentación de solicitudes de participación deberá ser el suficiente para el adecuado examen de los pliegos y de las circunstancias y condiciones relevantes para la ejecución del contrato, todo ello en atención al alcance y complejidad del contrato. En cualquier caso no será, como norma general, inferior a treinta días contados a partir de la fecha de envío del anuncio que sirva de convocatoria de licitación o de la invitación a confirmar el interés en el caso de que el medio de convocatoria hubiera sido un anuncio sobre la existencia de un sistema de clasificación, sin que en ningún caso pueda ser inferior a quince</w:t>
      </w:r>
      <w:r>
        <w:rPr>
          <w:spacing w:val="-3"/>
          <w:sz w:val="20"/>
        </w:rPr>
        <w:t> </w:t>
      </w:r>
      <w:r>
        <w:rPr>
          <w:sz w:val="20"/>
        </w:rPr>
        <w:t>días.</w:t>
      </w:r>
    </w:p>
    <w:p>
      <w:pPr>
        <w:pStyle w:val="BodyText"/>
        <w:spacing w:line="249" w:lineRule="auto" w:before="8"/>
        <w:ind w:right="1272"/>
      </w:pPr>
      <w:r>
        <w:rPr/>
        <w:t>En los procedimientos que tengan por objeto contratos de concesión de obras o de concesión de servicios el plazo a que se refiere el párrafo anterior en todo caso será de treinta días.</w:t>
      </w:r>
    </w:p>
    <w:p>
      <w:pPr>
        <w:pStyle w:val="ListParagraph"/>
        <w:numPr>
          <w:ilvl w:val="0"/>
          <w:numId w:val="147"/>
        </w:numPr>
        <w:tabs>
          <w:tab w:pos="1648" w:val="left" w:leader="none"/>
        </w:tabs>
        <w:spacing w:line="249" w:lineRule="auto" w:before="2" w:after="0"/>
        <w:ind w:left="1074" w:right="1273" w:firstLine="340"/>
        <w:jc w:val="both"/>
        <w:rPr>
          <w:sz w:val="20"/>
        </w:rPr>
      </w:pPr>
      <w:r>
        <w:rPr>
          <w:sz w:val="20"/>
        </w:rPr>
        <w:t>Solo podrán presentar una oferta aquellos operadores económicos que, a su solicitud y en atención a su aptitud y solvencia, sean seleccionados e invitados por la entidad contratante tras haber evaluado esta la información facilitada por el</w:t>
      </w:r>
      <w:r>
        <w:rPr>
          <w:spacing w:val="-19"/>
          <w:sz w:val="20"/>
        </w:rPr>
        <w:t> </w:t>
      </w:r>
      <w:r>
        <w:rPr>
          <w:sz w:val="20"/>
        </w:rPr>
        <w:t>empresario.</w:t>
      </w:r>
    </w:p>
    <w:p>
      <w:pPr>
        <w:pStyle w:val="BodyText"/>
        <w:spacing w:line="249" w:lineRule="auto" w:before="3"/>
        <w:ind w:right="1274"/>
      </w:pPr>
      <w:r>
        <w:rPr/>
        <w:t>Las entidades contratantes podrán limitar el número de candidatos a los que invitarán a presentar una oferta de conformidad con lo dispuesto en el artículo 56.2. El límite nunca será inferior a cinco.</w:t>
      </w:r>
    </w:p>
    <w:p>
      <w:pPr>
        <w:pStyle w:val="ListParagraph"/>
        <w:numPr>
          <w:ilvl w:val="0"/>
          <w:numId w:val="147"/>
        </w:numPr>
        <w:tabs>
          <w:tab w:pos="1650" w:val="left" w:leader="none"/>
        </w:tabs>
        <w:spacing w:line="249" w:lineRule="auto" w:before="2" w:after="0"/>
        <w:ind w:left="1074" w:right="1274" w:firstLine="340"/>
        <w:jc w:val="both"/>
        <w:rPr>
          <w:sz w:val="20"/>
        </w:rPr>
      </w:pPr>
      <w:r>
        <w:rPr>
          <w:sz w:val="20"/>
        </w:rPr>
        <w:t>La entidad contratante y los candidatos que hayan sido seleccionados podrán fijar de mutuo acuerdo el plazo para la presentación de ofertas, siempre que todos los candidatos seleccionados dispongan de un plazo idéntico. El plazo deberá ser el suficiente para la adecuada elaboración de las proposiciones en función del alcance y complejidad del contrato.</w:t>
      </w:r>
    </w:p>
    <w:p>
      <w:pPr>
        <w:pStyle w:val="BodyText"/>
        <w:spacing w:line="249" w:lineRule="auto" w:before="4"/>
        <w:ind w:right="1274"/>
      </w:pPr>
      <w:r>
        <w:rPr/>
        <w:t>En ausencia de acuerdo sobre el plazo para la presentación de ofertas, el plazo no podrá ser inferior a diez días contados a partir de la fecha en que fue enviada la invitación a licitar de acuerdo con lo dispuesto en el artículo 63.</w:t>
      </w:r>
    </w:p>
    <w:p>
      <w:pPr>
        <w:pStyle w:val="ListParagraph"/>
        <w:numPr>
          <w:ilvl w:val="0"/>
          <w:numId w:val="147"/>
        </w:numPr>
        <w:tabs>
          <w:tab w:pos="1728" w:val="left" w:leader="none"/>
        </w:tabs>
        <w:spacing w:line="249" w:lineRule="auto" w:before="3" w:after="0"/>
        <w:ind w:left="1074" w:right="1272" w:firstLine="340"/>
        <w:jc w:val="both"/>
        <w:rPr>
          <w:sz w:val="20"/>
        </w:rPr>
      </w:pPr>
      <w:r>
        <w:rPr>
          <w:sz w:val="20"/>
        </w:rPr>
        <w:t>Este procedimiento es especialmente adecuado cuando se trata de servicios intelectuales de especial complejidad, como es el caso de algunos servicios de consultoría, de arquitectura o de</w:t>
      </w:r>
      <w:r>
        <w:rPr>
          <w:spacing w:val="-5"/>
          <w:sz w:val="20"/>
        </w:rPr>
        <w:t> </w:t>
      </w:r>
      <w:r>
        <w:rPr>
          <w:sz w:val="20"/>
        </w:rPr>
        <w:t>ingeniería.</w:t>
      </w:r>
    </w:p>
    <w:p>
      <w:pPr>
        <w:pStyle w:val="BodyText"/>
        <w:spacing w:before="4"/>
        <w:ind w:left="0" w:firstLine="0"/>
        <w:jc w:val="left"/>
      </w:pPr>
    </w:p>
    <w:p>
      <w:pPr>
        <w:spacing w:before="1"/>
        <w:ind w:left="1074" w:right="0" w:firstLine="0"/>
        <w:jc w:val="both"/>
        <w:rPr>
          <w:i/>
          <w:sz w:val="20"/>
        </w:rPr>
      </w:pPr>
      <w:bookmarkStart w:name="Artículo 84. Procedimiento de licitación" w:id="131"/>
      <w:bookmarkEnd w:id="131"/>
      <w:r>
        <w:rPr/>
      </w:r>
      <w:r>
        <w:rPr>
          <w:b/>
          <w:sz w:val="20"/>
        </w:rPr>
        <w:t>Artículo 84. </w:t>
      </w:r>
      <w:r>
        <w:rPr>
          <w:i/>
          <w:sz w:val="20"/>
        </w:rPr>
        <w:t>Procedimiento de licitación con negociación.</w:t>
      </w:r>
    </w:p>
    <w:p>
      <w:pPr>
        <w:pStyle w:val="ListParagraph"/>
        <w:numPr>
          <w:ilvl w:val="0"/>
          <w:numId w:val="148"/>
        </w:numPr>
        <w:tabs>
          <w:tab w:pos="1677" w:val="left" w:leader="none"/>
        </w:tabs>
        <w:spacing w:line="249" w:lineRule="auto" w:before="117" w:after="0"/>
        <w:ind w:left="1074" w:right="1274" w:firstLine="340"/>
        <w:jc w:val="both"/>
        <w:rPr>
          <w:sz w:val="20"/>
        </w:rPr>
      </w:pPr>
      <w:r>
        <w:rPr>
          <w:sz w:val="20"/>
        </w:rPr>
        <w:t>En los procedimientos de licitación con negociación, cualquier empresa interesada podrá solicitar participar en respuesta a un anuncio que sirva de convocatoria de licitación, proporcionando la información para la selección cualitativa que solicite la entidad contratante.</w:t>
      </w:r>
    </w:p>
    <w:p>
      <w:pPr>
        <w:pStyle w:val="ListParagraph"/>
        <w:numPr>
          <w:ilvl w:val="0"/>
          <w:numId w:val="148"/>
        </w:numPr>
        <w:tabs>
          <w:tab w:pos="1645" w:val="left" w:leader="none"/>
        </w:tabs>
        <w:spacing w:line="249" w:lineRule="auto" w:before="4" w:after="0"/>
        <w:ind w:left="1074" w:right="1273" w:firstLine="340"/>
        <w:jc w:val="both"/>
        <w:rPr>
          <w:sz w:val="20"/>
        </w:rPr>
      </w:pPr>
      <w:r>
        <w:rPr>
          <w:sz w:val="20"/>
        </w:rPr>
        <w:t>En el pliego de condiciones se determinarán los aspectos económicos y técnicos que, en su caso, hayan de ser objeto de negociación con las empresas, así como el procedimiento que se seguirá para negociar, que en todo momento garantizará la máxima transparencia de la negociación, la publicidad de la misma y la no discriminación entre los licitadores que</w:t>
      </w:r>
      <w:r>
        <w:rPr>
          <w:spacing w:val="-3"/>
          <w:sz w:val="20"/>
        </w:rPr>
        <w:t> </w:t>
      </w:r>
      <w:r>
        <w:rPr>
          <w:sz w:val="20"/>
        </w:rPr>
        <w:t>participen.</w:t>
      </w:r>
    </w:p>
    <w:p>
      <w:pPr>
        <w:pStyle w:val="ListParagraph"/>
        <w:numPr>
          <w:ilvl w:val="0"/>
          <w:numId w:val="148"/>
        </w:numPr>
        <w:tabs>
          <w:tab w:pos="1663" w:val="left" w:leader="none"/>
        </w:tabs>
        <w:spacing w:line="249" w:lineRule="auto" w:before="4" w:after="0"/>
        <w:ind w:left="1074" w:right="1274" w:firstLine="340"/>
        <w:jc w:val="both"/>
        <w:rPr>
          <w:sz w:val="20"/>
        </w:rPr>
      </w:pPr>
      <w:r>
        <w:rPr>
          <w:sz w:val="20"/>
        </w:rPr>
        <w:t>Cuando el procedimiento se refiera a contratos de obras, suministros o servicios, el plazo mínimo fijado para la presentación de las solicitudes de participación no será, como norma general, inferior a treinta días contados a partir de la fecha de envío del anuncio que sirva de convocatoria de licitación o de la invitación a confirmar el interés en el caso de que el medio de convocatoria hubiera sido un anuncio sobre la existencia de un sistema de clasificación, sin que en ningún caso pueda ser inferior a quince</w:t>
      </w:r>
      <w:r>
        <w:rPr>
          <w:spacing w:val="-14"/>
          <w:sz w:val="20"/>
        </w:rPr>
        <w:t> </w:t>
      </w:r>
      <w:r>
        <w:rPr>
          <w:sz w:val="20"/>
        </w:rPr>
        <w:t>días.</w:t>
      </w:r>
    </w:p>
    <w:p>
      <w:pPr>
        <w:pStyle w:val="BodyText"/>
        <w:spacing w:line="249" w:lineRule="auto" w:before="5"/>
        <w:ind w:right="1272"/>
      </w:pPr>
      <w:r>
        <w:rPr/>
        <w:t>En los procedimientos que tengan por objeto contratos de concesión de obras o de concesión de servicios el plazo a que se refiere el párrafo anterior en todo caso será de treinta días.</w:t>
      </w:r>
    </w:p>
    <w:p>
      <w:pPr>
        <w:pStyle w:val="ListParagraph"/>
        <w:numPr>
          <w:ilvl w:val="0"/>
          <w:numId w:val="148"/>
        </w:numPr>
        <w:tabs>
          <w:tab w:pos="1658" w:val="left" w:leader="none"/>
        </w:tabs>
        <w:spacing w:line="249" w:lineRule="auto" w:before="2" w:after="0"/>
        <w:ind w:left="1074" w:right="1275" w:firstLine="340"/>
        <w:jc w:val="both"/>
        <w:rPr>
          <w:sz w:val="20"/>
        </w:rPr>
      </w:pPr>
      <w:r>
        <w:rPr>
          <w:sz w:val="20"/>
        </w:rPr>
        <w:t>Solo podrán participar en las negociaciones aquellos operadores económicos que, a su solicitud y en atención a su aptitud y solvencia, sean seleccionados e invitados por la entidad contratante tras haber evaluado esta la información facilitada por el</w:t>
      </w:r>
      <w:r>
        <w:rPr>
          <w:spacing w:val="-32"/>
          <w:sz w:val="20"/>
        </w:rPr>
        <w:t> </w:t>
      </w:r>
      <w:r>
        <w:rPr>
          <w:sz w:val="20"/>
        </w:rPr>
        <w:t>empresario.</w:t>
      </w:r>
    </w:p>
    <w:p>
      <w:pPr>
        <w:pStyle w:val="BodyText"/>
        <w:spacing w:line="249" w:lineRule="auto"/>
        <w:ind w:right="1273"/>
      </w:pPr>
      <w:r>
        <w:rPr/>
        <w:t>El procedimiento que se siga para negociar en todo momento garantizará la máxima trasparencia de la negociación, la publicidad de la misma y la no discriminación entre los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7" w:hanging="1"/>
      </w:pPr>
      <w:r>
        <w:rPr/>
        <w:t>licitadores que participen en ella; sin perjuicio de lo establecido en el artículo 28 relativo a la confidencialidad.</w:t>
      </w:r>
    </w:p>
    <w:p>
      <w:pPr>
        <w:pStyle w:val="BodyText"/>
        <w:spacing w:line="249" w:lineRule="auto" w:before="1"/>
        <w:ind w:right="1274"/>
      </w:pPr>
      <w:r>
        <w:rPr/>
        <w:t>Las entidades contratantes podrán limitar el número de candidatos a los que invitarán a presentar una oferta, de conformidad con lo dispuesto en el artículo 56.2. El límite nunca será inferior a</w:t>
      </w:r>
      <w:r>
        <w:rPr>
          <w:spacing w:val="-3"/>
        </w:rPr>
        <w:t> </w:t>
      </w:r>
      <w:r>
        <w:rPr/>
        <w:t>tres.</w:t>
      </w:r>
    </w:p>
    <w:p>
      <w:pPr>
        <w:pStyle w:val="ListParagraph"/>
        <w:numPr>
          <w:ilvl w:val="0"/>
          <w:numId w:val="148"/>
        </w:numPr>
        <w:tabs>
          <w:tab w:pos="1650" w:val="left" w:leader="none"/>
        </w:tabs>
        <w:spacing w:line="249" w:lineRule="auto" w:before="3" w:after="0"/>
        <w:ind w:left="1074" w:right="1274" w:firstLine="340"/>
        <w:jc w:val="both"/>
        <w:rPr>
          <w:sz w:val="20"/>
        </w:rPr>
      </w:pPr>
      <w:r>
        <w:rPr>
          <w:sz w:val="20"/>
        </w:rPr>
        <w:t>La entidad contratante y los candidatos que hayan sido seleccionados podrán fijar de mutuo acuerdo el plazo para la presentación de ofertas, siempre que todos los candidatos dispongan de un plazo</w:t>
      </w:r>
      <w:r>
        <w:rPr>
          <w:spacing w:val="-5"/>
          <w:sz w:val="20"/>
        </w:rPr>
        <w:t> </w:t>
      </w:r>
      <w:r>
        <w:rPr>
          <w:sz w:val="20"/>
        </w:rPr>
        <w:t>idéntico.</w:t>
      </w:r>
    </w:p>
    <w:p>
      <w:pPr>
        <w:pStyle w:val="BodyText"/>
        <w:spacing w:line="249" w:lineRule="auto"/>
        <w:ind w:right="1275"/>
      </w:pPr>
      <w:r>
        <w:rPr/>
        <w:t>En defecto de acuerdo sobre la fecha límite de presentación de las ofertas, el plazo será, como mínimo, de diez días contados a partir de la fecha en que fue enviada la invitación a presentar ofertas de acuerdo con lo dispuesto en el artículo 63.</w:t>
      </w:r>
    </w:p>
    <w:p>
      <w:pPr>
        <w:pStyle w:val="BodyText"/>
        <w:spacing w:before="5"/>
        <w:ind w:left="0" w:firstLine="0"/>
        <w:jc w:val="left"/>
      </w:pPr>
    </w:p>
    <w:p>
      <w:pPr>
        <w:spacing w:before="0"/>
        <w:ind w:left="1074" w:right="0" w:firstLine="0"/>
        <w:jc w:val="both"/>
        <w:rPr>
          <w:i/>
          <w:sz w:val="20"/>
        </w:rPr>
      </w:pPr>
      <w:bookmarkStart w:name="Artículo 85. Procedimiento negociado sin" w:id="132"/>
      <w:bookmarkEnd w:id="132"/>
      <w:r>
        <w:rPr/>
      </w:r>
      <w:r>
        <w:rPr>
          <w:b/>
          <w:sz w:val="20"/>
        </w:rPr>
        <w:t>Artículo 85. </w:t>
      </w:r>
      <w:r>
        <w:rPr>
          <w:i/>
          <w:sz w:val="20"/>
        </w:rPr>
        <w:t>Procedimiento negociado sin publicidad.</w:t>
      </w:r>
    </w:p>
    <w:p>
      <w:pPr>
        <w:pStyle w:val="BodyText"/>
        <w:spacing w:line="249" w:lineRule="auto" w:before="118"/>
        <w:ind w:right="1272"/>
      </w:pPr>
      <w:r>
        <w:rPr/>
        <w:t>1. Las entidades contratantes podrán utilizar el procedimiento negociado sin publicidad para adjudicar contratos de obras, suministros y servicios únicamente cuando concurra alguno de los casos siguientes:</w:t>
      </w:r>
    </w:p>
    <w:p>
      <w:pPr>
        <w:pStyle w:val="ListParagraph"/>
        <w:numPr>
          <w:ilvl w:val="0"/>
          <w:numId w:val="149"/>
        </w:numPr>
        <w:tabs>
          <w:tab w:pos="1657" w:val="left" w:leader="none"/>
        </w:tabs>
        <w:spacing w:line="249" w:lineRule="auto" w:before="122" w:after="0"/>
        <w:ind w:left="1074" w:right="1273" w:firstLine="340"/>
        <w:jc w:val="both"/>
        <w:rPr>
          <w:sz w:val="20"/>
        </w:rPr>
      </w:pPr>
      <w:r>
        <w:rPr>
          <w:sz w:val="20"/>
        </w:rPr>
        <w:t>Cuando, en respuesta a un procedimiento con convocatoria de licitación previa, no se haya presentado ninguna oferta, o ninguna oferta adecuada, o ninguna solicitud de participación, o ninguna solicitud de participación adecuada, siempre y cuando no se modifiquen sustancialmente las condiciones iniciales del contrato, sin que en ningún caso se pueda incrementar el presupuesto de licitación del contrato o documento equivalente, ni modificar el sistema de</w:t>
      </w:r>
      <w:r>
        <w:rPr>
          <w:spacing w:val="-3"/>
          <w:sz w:val="20"/>
        </w:rPr>
        <w:t> </w:t>
      </w:r>
      <w:r>
        <w:rPr>
          <w:sz w:val="20"/>
        </w:rPr>
        <w:t>retribución.</w:t>
      </w:r>
    </w:p>
    <w:p>
      <w:pPr>
        <w:pStyle w:val="BodyText"/>
        <w:spacing w:line="249" w:lineRule="auto" w:before="5"/>
        <w:ind w:right="1271"/>
      </w:pPr>
      <w:r>
        <w:rPr/>
        <w:t>Se considerará que una oferta no es adecuada cuando no sea pertinente para el contrato, al no poder satisfacer de forma manifiesta, sin cambios sustanciales, las necesidades y requisitos de la entidad contratante especificados en los pliegos de condiciones.</w:t>
      </w:r>
    </w:p>
    <w:p>
      <w:pPr>
        <w:pStyle w:val="BodyText"/>
        <w:spacing w:line="249" w:lineRule="auto" w:before="3"/>
        <w:ind w:right="1273"/>
      </w:pPr>
      <w:r>
        <w:rPr/>
        <w:t>Se considerará que una solicitud de participación no es adecuada cuando el operador económico de que se trate vaya a ser excluido o pueda ser excluido en virtud de los motivos establecidos en el presente real decreto-ley, o no cumpla los criterios de selección establecidos por la entidad contratante.</w:t>
      </w:r>
    </w:p>
    <w:p>
      <w:pPr>
        <w:pStyle w:val="ListParagraph"/>
        <w:numPr>
          <w:ilvl w:val="0"/>
          <w:numId w:val="149"/>
        </w:numPr>
        <w:tabs>
          <w:tab w:pos="1662" w:val="left" w:leader="none"/>
        </w:tabs>
        <w:spacing w:line="249" w:lineRule="auto" w:before="4" w:after="0"/>
        <w:ind w:left="1074" w:right="1273" w:firstLine="340"/>
        <w:jc w:val="both"/>
        <w:rPr>
          <w:sz w:val="20"/>
        </w:rPr>
      </w:pPr>
      <w:r>
        <w:rPr>
          <w:sz w:val="20"/>
        </w:rPr>
        <w:t>Cuando la finalidad del contrato sea únicamente la investigación, la experimentación, el estudio o el desarrollo, y no la obtención de una rentabilidad o la recuperación de los costes de investigación y desarrollo, y siempre que la adjudicación de tal contrato se entienda sin perjuicio de la convocatoria de una licitación para los contratos subsiguientes que persigan, en particular, los mismos</w:t>
      </w:r>
      <w:r>
        <w:rPr>
          <w:spacing w:val="-7"/>
          <w:sz w:val="20"/>
        </w:rPr>
        <w:t> </w:t>
      </w:r>
      <w:r>
        <w:rPr>
          <w:sz w:val="20"/>
        </w:rPr>
        <w:t>fines.</w:t>
      </w:r>
    </w:p>
    <w:p>
      <w:pPr>
        <w:pStyle w:val="ListParagraph"/>
        <w:numPr>
          <w:ilvl w:val="0"/>
          <w:numId w:val="149"/>
        </w:numPr>
        <w:tabs>
          <w:tab w:pos="1648" w:val="left" w:leader="none"/>
        </w:tabs>
        <w:spacing w:line="249" w:lineRule="auto" w:before="4" w:after="0"/>
        <w:ind w:left="1074" w:right="1275" w:firstLine="340"/>
        <w:jc w:val="both"/>
        <w:rPr>
          <w:sz w:val="20"/>
        </w:rPr>
      </w:pPr>
      <w:r>
        <w:rPr>
          <w:sz w:val="20"/>
        </w:rPr>
        <w:t>Cuando las obras, los suministros o los servicios solo puedan ser proporcionados por un operador económico concreto por alguna de las siguientes</w:t>
      </w:r>
      <w:r>
        <w:rPr>
          <w:spacing w:val="-13"/>
          <w:sz w:val="20"/>
        </w:rPr>
        <w:t> </w:t>
      </w:r>
      <w:r>
        <w:rPr>
          <w:sz w:val="20"/>
        </w:rPr>
        <w:t>razones:</w:t>
      </w:r>
    </w:p>
    <w:p>
      <w:pPr>
        <w:pStyle w:val="ListParagraph"/>
        <w:numPr>
          <w:ilvl w:val="0"/>
          <w:numId w:val="150"/>
        </w:numPr>
        <w:tabs>
          <w:tab w:pos="1583" w:val="left" w:leader="none"/>
        </w:tabs>
        <w:spacing w:line="249" w:lineRule="auto" w:before="122" w:after="0"/>
        <w:ind w:left="1074" w:right="1272" w:firstLine="340"/>
        <w:jc w:val="left"/>
        <w:rPr>
          <w:sz w:val="20"/>
        </w:rPr>
      </w:pPr>
      <w:r>
        <w:rPr>
          <w:sz w:val="20"/>
        </w:rPr>
        <w:t>º Que el contrato tenga por objeto la creación o adquisición de una obra de arte o actuación artística</w:t>
      </w:r>
      <w:r>
        <w:rPr>
          <w:spacing w:val="-3"/>
          <w:sz w:val="20"/>
        </w:rPr>
        <w:t> </w:t>
      </w:r>
      <w:r>
        <w:rPr>
          <w:sz w:val="20"/>
        </w:rPr>
        <w:t>única.</w:t>
      </w:r>
    </w:p>
    <w:p>
      <w:pPr>
        <w:pStyle w:val="ListParagraph"/>
        <w:numPr>
          <w:ilvl w:val="0"/>
          <w:numId w:val="150"/>
        </w:numPr>
        <w:tabs>
          <w:tab w:pos="1583" w:val="left" w:leader="none"/>
        </w:tabs>
        <w:spacing w:line="240" w:lineRule="auto" w:before="1" w:after="0"/>
        <w:ind w:left="1582" w:right="0" w:hanging="169"/>
        <w:jc w:val="left"/>
        <w:rPr>
          <w:sz w:val="20"/>
        </w:rPr>
      </w:pPr>
      <w:r>
        <w:rPr>
          <w:sz w:val="20"/>
        </w:rPr>
        <w:t>º Que no exista competencia por razones</w:t>
      </w:r>
      <w:r>
        <w:rPr>
          <w:spacing w:val="-5"/>
          <w:sz w:val="20"/>
        </w:rPr>
        <w:t> </w:t>
      </w:r>
      <w:r>
        <w:rPr>
          <w:sz w:val="20"/>
        </w:rPr>
        <w:t>técnicas.</w:t>
      </w:r>
    </w:p>
    <w:p>
      <w:pPr>
        <w:pStyle w:val="ListParagraph"/>
        <w:numPr>
          <w:ilvl w:val="0"/>
          <w:numId w:val="150"/>
        </w:numPr>
        <w:tabs>
          <w:tab w:pos="1583" w:val="left" w:leader="none"/>
        </w:tabs>
        <w:spacing w:line="249" w:lineRule="auto" w:before="10" w:after="0"/>
        <w:ind w:left="1074" w:right="1276" w:firstLine="340"/>
        <w:jc w:val="left"/>
        <w:rPr>
          <w:sz w:val="20"/>
        </w:rPr>
      </w:pPr>
      <w:r>
        <w:rPr>
          <w:sz w:val="20"/>
        </w:rPr>
        <w:t>º La protección de los derechos exclusivos, incluidos los derechos de propiedad intelectual o</w:t>
      </w:r>
      <w:r>
        <w:rPr>
          <w:spacing w:val="-3"/>
          <w:sz w:val="20"/>
        </w:rPr>
        <w:t> </w:t>
      </w:r>
      <w:r>
        <w:rPr>
          <w:sz w:val="20"/>
        </w:rPr>
        <w:t>industrial.</w:t>
      </w:r>
    </w:p>
    <w:p>
      <w:pPr>
        <w:pStyle w:val="BodyText"/>
        <w:spacing w:line="249" w:lineRule="auto" w:before="122"/>
        <w:ind w:right="1273"/>
      </w:pPr>
      <w:r>
        <w:rPr/>
        <w:t>Las excepciones previstas en los números 2.º y 3.º anteriores se aplicarán únicamente cuando no exista una alternativa o sustituto razonable, y cuando la ausencia de competencia no sea el resultado de una restricción artificial de los parámetros de adjudicación del contrato.</w:t>
      </w:r>
    </w:p>
    <w:p>
      <w:pPr>
        <w:pStyle w:val="ListParagraph"/>
        <w:numPr>
          <w:ilvl w:val="0"/>
          <w:numId w:val="149"/>
        </w:numPr>
        <w:tabs>
          <w:tab w:pos="1681" w:val="left" w:leader="none"/>
        </w:tabs>
        <w:spacing w:line="249" w:lineRule="auto" w:before="3" w:after="0"/>
        <w:ind w:left="1074" w:right="1272" w:firstLine="340"/>
        <w:jc w:val="both"/>
        <w:rPr>
          <w:sz w:val="20"/>
        </w:rPr>
      </w:pPr>
      <w:r>
        <w:rPr>
          <w:sz w:val="20"/>
        </w:rPr>
        <w:t>Cuando una imperiosa urgencia resultante de hechos imprevisibles para la entidad contratante y no imputables a la misma, no permita cumplir los plazos fijados para los procedimientos abiertos, los procedimientos restringidos y los procedimientos de licitación con</w:t>
      </w:r>
      <w:r>
        <w:rPr>
          <w:spacing w:val="-1"/>
          <w:sz w:val="20"/>
        </w:rPr>
        <w:t> </w:t>
      </w:r>
      <w:r>
        <w:rPr>
          <w:sz w:val="20"/>
        </w:rPr>
        <w:t>negociación.</w:t>
      </w:r>
    </w:p>
    <w:p>
      <w:pPr>
        <w:pStyle w:val="ListParagraph"/>
        <w:numPr>
          <w:ilvl w:val="0"/>
          <w:numId w:val="149"/>
        </w:numPr>
        <w:tabs>
          <w:tab w:pos="1657" w:val="left" w:leader="none"/>
        </w:tabs>
        <w:spacing w:line="249" w:lineRule="auto" w:before="3" w:after="0"/>
        <w:ind w:left="1074" w:right="1273" w:firstLine="340"/>
        <w:jc w:val="both"/>
        <w:rPr>
          <w:sz w:val="20"/>
        </w:rPr>
      </w:pPr>
      <w:r>
        <w:rPr>
          <w:sz w:val="20"/>
        </w:rPr>
        <w:t>En el caso de los contratos de suministro para entregas adicionales efectuadas por el proveedor inicial que constituyan, bien una reposición parcial de suministros o instalaciones, bien una ampliación de los suministros o instalaciones existentes, cuando un cambio de proveedor obligaría a la entidad contratante a adquirir material con características técnicas diferentes, dando lugar con ello a incompatibilidades o a dificultades técnicas de uso y mantenimiento</w:t>
      </w:r>
      <w:r>
        <w:rPr>
          <w:spacing w:val="-1"/>
          <w:sz w:val="20"/>
        </w:rPr>
        <w:t> </w:t>
      </w:r>
      <w:r>
        <w:rPr>
          <w:sz w:val="20"/>
        </w:rPr>
        <w:t>desproporcionadas.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49"/>
        </w:numPr>
        <w:tabs>
          <w:tab w:pos="1599" w:val="left" w:leader="none"/>
        </w:tabs>
        <w:spacing w:line="249" w:lineRule="auto" w:before="127" w:after="0"/>
        <w:ind w:left="1074" w:right="1272" w:firstLine="340"/>
        <w:jc w:val="both"/>
        <w:rPr>
          <w:sz w:val="20"/>
        </w:rPr>
      </w:pPr>
      <w:r>
        <w:rPr>
          <w:sz w:val="20"/>
        </w:rPr>
        <w:t>Cuando se trate de nuevas obras o servicios que consistan en la repetición de obras o servicios similares encargados al contratista, titular de un contrato inicial adjudicado por la misma entidad contratante, a condición de que dichas obras o servicios se ajusten a un proyecto de base y que dicho proyecto haya sido objeto de un primer contrato adjudicado según un procedimiento con convocatoria de licitación</w:t>
      </w:r>
      <w:r>
        <w:rPr>
          <w:spacing w:val="-8"/>
          <w:sz w:val="20"/>
        </w:rPr>
        <w:t> </w:t>
      </w:r>
      <w:r>
        <w:rPr>
          <w:sz w:val="20"/>
        </w:rPr>
        <w:t>previa.</w:t>
      </w:r>
    </w:p>
    <w:p>
      <w:pPr>
        <w:pStyle w:val="BodyText"/>
        <w:spacing w:line="249" w:lineRule="auto" w:before="4"/>
        <w:ind w:right="1272"/>
      </w:pPr>
      <w:r>
        <w:rPr/>
        <w:t>En dicho proyecto de base se mencionarán el número de posibles obras o servicios adicionales y las condiciones en que serán adjudicados. La posibilidad de hacer uso de este procedimiento estará indicada desde el inicio de la convocatoria de licitación del primer proyecto y las entidades contratantes tendrán en cuenta el importe total previsto para la continuación de las obras o de los servicios a efectos del cálculo del valor estimado de este.</w:t>
      </w:r>
    </w:p>
    <w:p>
      <w:pPr>
        <w:pStyle w:val="ListParagraph"/>
        <w:numPr>
          <w:ilvl w:val="0"/>
          <w:numId w:val="149"/>
        </w:numPr>
        <w:tabs>
          <w:tab w:pos="1689" w:val="left" w:leader="none"/>
        </w:tabs>
        <w:spacing w:line="249" w:lineRule="auto" w:before="4" w:after="0"/>
        <w:ind w:left="1074" w:right="1272" w:firstLine="340"/>
        <w:jc w:val="both"/>
        <w:rPr>
          <w:sz w:val="20"/>
        </w:rPr>
      </w:pPr>
      <w:r>
        <w:rPr>
          <w:sz w:val="20"/>
        </w:rPr>
        <w:t>Cuando se trate de suministros cotizados y comprados en una bolsa de materias primas.</w:t>
      </w:r>
    </w:p>
    <w:p>
      <w:pPr>
        <w:pStyle w:val="ListParagraph"/>
        <w:numPr>
          <w:ilvl w:val="0"/>
          <w:numId w:val="149"/>
        </w:numPr>
        <w:tabs>
          <w:tab w:pos="1655" w:val="left" w:leader="none"/>
        </w:tabs>
        <w:spacing w:line="249" w:lineRule="auto" w:before="1" w:after="0"/>
        <w:ind w:left="1074" w:right="1272" w:firstLine="340"/>
        <w:jc w:val="both"/>
        <w:rPr>
          <w:sz w:val="20"/>
        </w:rPr>
      </w:pPr>
      <w:r>
        <w:rPr>
          <w:sz w:val="20"/>
        </w:rPr>
        <w:t>Cuando se trate de compras de ocasión, siempre que sea posible adquirir suministros aprovechando oportunidades especialmente ventajosas que se presenten en un período de tiempo muy breve y cuyo precio de compra sea considerablemente más bajo que el habitual del</w:t>
      </w:r>
      <w:r>
        <w:rPr>
          <w:spacing w:val="-2"/>
          <w:sz w:val="20"/>
        </w:rPr>
        <w:t> </w:t>
      </w:r>
      <w:r>
        <w:rPr>
          <w:sz w:val="20"/>
        </w:rPr>
        <w:t>mercado.</w:t>
      </w:r>
    </w:p>
    <w:p>
      <w:pPr>
        <w:pStyle w:val="ListParagraph"/>
        <w:numPr>
          <w:ilvl w:val="0"/>
          <w:numId w:val="149"/>
        </w:numPr>
        <w:tabs>
          <w:tab w:pos="1586" w:val="left" w:leader="none"/>
        </w:tabs>
        <w:spacing w:line="249" w:lineRule="auto" w:before="4" w:after="0"/>
        <w:ind w:left="1074" w:right="1273" w:firstLine="340"/>
        <w:jc w:val="both"/>
        <w:rPr>
          <w:sz w:val="20"/>
        </w:rPr>
      </w:pPr>
      <w:r>
        <w:rPr>
          <w:sz w:val="20"/>
        </w:rPr>
        <w:t>Cuando se trate de la compra de suministros o servicios en condiciones especialmente ventajosas, bien a un proveedor que cese definitivamente sus actividades comerciales, bien a un administrador de un concurso, o a través de un acuerdo judicial o un procedimiento de la misma</w:t>
      </w:r>
      <w:r>
        <w:rPr>
          <w:spacing w:val="-2"/>
          <w:sz w:val="20"/>
        </w:rPr>
        <w:t> </w:t>
      </w:r>
      <w:r>
        <w:rPr>
          <w:sz w:val="20"/>
        </w:rPr>
        <w:t>naturaleza.</w:t>
      </w:r>
    </w:p>
    <w:p>
      <w:pPr>
        <w:pStyle w:val="ListParagraph"/>
        <w:numPr>
          <w:ilvl w:val="0"/>
          <w:numId w:val="149"/>
        </w:numPr>
        <w:tabs>
          <w:tab w:pos="1628" w:val="left" w:leader="none"/>
        </w:tabs>
        <w:spacing w:line="249" w:lineRule="auto" w:before="3" w:after="0"/>
        <w:ind w:left="1074" w:right="1273" w:firstLine="340"/>
        <w:jc w:val="both"/>
        <w:rPr>
          <w:sz w:val="20"/>
        </w:rPr>
      </w:pPr>
      <w:r>
        <w:rPr>
          <w:sz w:val="20"/>
        </w:rPr>
        <w:t>Cuando el contrato de servicios en cuestión resulte de un concurso de proyectos organizado de conformidad con el presente real decreto-ley y, con arreglo a las normas establecidas en el concurso de proyectos, deba adjudicarse al ganador o a uno de los ganadores del concurso; en este último caso, todos los ganadores del concurso deberán ser invitados a participar en las</w:t>
      </w:r>
      <w:r>
        <w:rPr>
          <w:spacing w:val="-7"/>
          <w:sz w:val="20"/>
        </w:rPr>
        <w:t> </w:t>
      </w:r>
      <w:r>
        <w:rPr>
          <w:sz w:val="20"/>
        </w:rPr>
        <w:t>negociaciones.</w:t>
      </w:r>
    </w:p>
    <w:p>
      <w:pPr>
        <w:pStyle w:val="ListParagraph"/>
        <w:numPr>
          <w:ilvl w:val="0"/>
          <w:numId w:val="151"/>
        </w:numPr>
        <w:tabs>
          <w:tab w:pos="1660" w:val="left" w:leader="none"/>
        </w:tabs>
        <w:spacing w:line="249" w:lineRule="auto" w:before="124" w:after="0"/>
        <w:ind w:left="1074" w:right="1272" w:firstLine="340"/>
        <w:jc w:val="both"/>
        <w:rPr>
          <w:sz w:val="20"/>
        </w:rPr>
      </w:pPr>
      <w:r>
        <w:rPr>
          <w:sz w:val="20"/>
        </w:rPr>
        <w:t>Las entidades contratantes podrán utilizar el procedimiento negociado sin publicidad para adjudicar contratos de concesión de obras o de concesión de servicios cuando concurran los casos previstos en las letras a) o c) del apartado</w:t>
      </w:r>
      <w:r>
        <w:rPr>
          <w:spacing w:val="-19"/>
          <w:sz w:val="20"/>
        </w:rPr>
        <w:t> </w:t>
      </w:r>
      <w:r>
        <w:rPr>
          <w:sz w:val="20"/>
        </w:rPr>
        <w:t>anterior.</w:t>
      </w:r>
    </w:p>
    <w:p>
      <w:pPr>
        <w:pStyle w:val="ListParagraph"/>
        <w:numPr>
          <w:ilvl w:val="0"/>
          <w:numId w:val="151"/>
        </w:numPr>
        <w:tabs>
          <w:tab w:pos="1645" w:val="left" w:leader="none"/>
        </w:tabs>
        <w:spacing w:line="249" w:lineRule="auto" w:before="3" w:after="0"/>
        <w:ind w:left="1074" w:right="1273" w:firstLine="340"/>
        <w:jc w:val="both"/>
        <w:rPr>
          <w:sz w:val="20"/>
        </w:rPr>
      </w:pPr>
      <w:r>
        <w:rPr>
          <w:sz w:val="20"/>
        </w:rPr>
        <w:t>En el pliego de condiciones se determinarán los aspectos económicos y técnicos que, en su caso, hayan de ser objeto de negociación con las empresas, así como el procedimiento que se seguirá para negociar, que en todo momento garantizará la máxima transparencia de la negociación, la publicidad de la misma y la no discriminación entre los licitadores que</w:t>
      </w:r>
      <w:r>
        <w:rPr>
          <w:spacing w:val="-3"/>
          <w:sz w:val="20"/>
        </w:rPr>
        <w:t> </w:t>
      </w:r>
      <w:r>
        <w:rPr>
          <w:sz w:val="20"/>
        </w:rPr>
        <w:t>participen.</w:t>
      </w:r>
    </w:p>
    <w:p>
      <w:pPr>
        <w:pStyle w:val="BodyText"/>
        <w:spacing w:before="6"/>
        <w:ind w:left="0" w:firstLine="0"/>
        <w:jc w:val="left"/>
      </w:pPr>
    </w:p>
    <w:p>
      <w:pPr>
        <w:spacing w:before="0"/>
        <w:ind w:left="1074" w:right="0" w:firstLine="0"/>
        <w:jc w:val="both"/>
        <w:rPr>
          <w:i/>
          <w:sz w:val="20"/>
        </w:rPr>
      </w:pPr>
      <w:bookmarkStart w:name="Artículo 86. Diálogo competitivo." w:id="133"/>
      <w:bookmarkEnd w:id="133"/>
      <w:r>
        <w:rPr/>
      </w:r>
      <w:r>
        <w:rPr>
          <w:b/>
          <w:sz w:val="20"/>
        </w:rPr>
        <w:t>Artículo 86. </w:t>
      </w:r>
      <w:r>
        <w:rPr>
          <w:i/>
          <w:sz w:val="20"/>
        </w:rPr>
        <w:t>Diálogo competitivo.</w:t>
      </w:r>
    </w:p>
    <w:p>
      <w:pPr>
        <w:pStyle w:val="ListParagraph"/>
        <w:numPr>
          <w:ilvl w:val="0"/>
          <w:numId w:val="152"/>
        </w:numPr>
        <w:tabs>
          <w:tab w:pos="1702" w:val="left" w:leader="none"/>
        </w:tabs>
        <w:spacing w:line="249" w:lineRule="auto" w:before="118" w:after="0"/>
        <w:ind w:left="1074" w:right="1274" w:firstLine="340"/>
        <w:jc w:val="both"/>
        <w:rPr>
          <w:sz w:val="20"/>
        </w:rPr>
      </w:pPr>
      <w:r>
        <w:rPr>
          <w:sz w:val="20"/>
        </w:rPr>
        <w:t>En los diálogos competitivos cualquier empresa interesada podrá presentar una solicitud de participación en respuesta a un anuncio que sirva de convocatoria de licitación proporcionando la información y documentación para la selección cualitativa que haya solicitado la entidad</w:t>
      </w:r>
      <w:r>
        <w:rPr>
          <w:spacing w:val="-3"/>
          <w:sz w:val="20"/>
        </w:rPr>
        <w:t> </w:t>
      </w:r>
      <w:r>
        <w:rPr>
          <w:sz w:val="20"/>
        </w:rPr>
        <w:t>contratante.</w:t>
      </w:r>
    </w:p>
    <w:p>
      <w:pPr>
        <w:pStyle w:val="ListParagraph"/>
        <w:numPr>
          <w:ilvl w:val="0"/>
          <w:numId w:val="152"/>
        </w:numPr>
        <w:tabs>
          <w:tab w:pos="1663" w:val="left" w:leader="none"/>
        </w:tabs>
        <w:spacing w:line="249" w:lineRule="auto" w:before="3" w:after="0"/>
        <w:ind w:left="1074" w:right="1274" w:firstLine="340"/>
        <w:jc w:val="both"/>
        <w:rPr>
          <w:sz w:val="20"/>
        </w:rPr>
      </w:pPr>
      <w:r>
        <w:rPr>
          <w:sz w:val="20"/>
        </w:rPr>
        <w:t>Cuando el procedimiento se refiera a contratos de obras, suministros o servicios, el plazo mínimo fijado para la presentación de las solicitudes de participación no será, como norma general, inferior a treinta días contados a partir de la fecha de envío del anuncio que sirva de convocatoria de licitación o de la invitación a confirmar el interés en el caso de que el medio de convocatoria hubiera sido un anuncio sobre la existencia de un sistema de clasificación, sin que en ningún caso pueda ser inferior a quince</w:t>
      </w:r>
      <w:r>
        <w:rPr>
          <w:spacing w:val="-14"/>
          <w:sz w:val="20"/>
        </w:rPr>
        <w:t> </w:t>
      </w:r>
      <w:r>
        <w:rPr>
          <w:sz w:val="20"/>
        </w:rPr>
        <w:t>días.</w:t>
      </w:r>
    </w:p>
    <w:p>
      <w:pPr>
        <w:pStyle w:val="BodyText"/>
        <w:spacing w:line="249" w:lineRule="auto" w:before="5"/>
        <w:ind w:right="1272"/>
      </w:pPr>
      <w:r>
        <w:rPr/>
        <w:t>En los procedimientos que tengan por objeto contratos de concesión de obras o de concesión de servicios el plazo a que se refiere el párrafo anterior en todo caso será de treinta días.</w:t>
      </w:r>
    </w:p>
    <w:p>
      <w:pPr>
        <w:pStyle w:val="ListParagraph"/>
        <w:numPr>
          <w:ilvl w:val="0"/>
          <w:numId w:val="152"/>
        </w:numPr>
        <w:tabs>
          <w:tab w:pos="1642" w:val="left" w:leader="none"/>
        </w:tabs>
        <w:spacing w:line="249" w:lineRule="auto" w:before="3" w:after="0"/>
        <w:ind w:left="1074" w:right="1273" w:firstLine="340"/>
        <w:jc w:val="both"/>
        <w:rPr>
          <w:sz w:val="20"/>
        </w:rPr>
      </w:pPr>
      <w:r>
        <w:rPr>
          <w:sz w:val="20"/>
        </w:rPr>
        <w:t>Solo podrán participar en las negociaciones aquellos empresarios que, a su solicitud y en atención a su aptitud y solvencia, sean seleccionados e invitados por la entidad contratante tras haber evaluado esta la información facilitada por el</w:t>
      </w:r>
      <w:r>
        <w:rPr>
          <w:spacing w:val="-19"/>
          <w:sz w:val="20"/>
        </w:rPr>
        <w:t> </w:t>
      </w:r>
      <w:r>
        <w:rPr>
          <w:sz w:val="20"/>
        </w:rPr>
        <w:t>empresario.</w:t>
      </w:r>
    </w:p>
    <w:p>
      <w:pPr>
        <w:pStyle w:val="BodyText"/>
        <w:spacing w:line="249" w:lineRule="auto"/>
        <w:ind w:right="1274"/>
      </w:pPr>
      <w:r>
        <w:rPr/>
        <w:t>Las entidades contratantes podrán limitar el número de candidatos admitidos a presentar una oferta que serán invitados a participar en el procedimiento, de conformidad con el artículo</w:t>
      </w:r>
      <w:r>
        <w:rPr>
          <w:spacing w:val="-2"/>
        </w:rPr>
        <w:t> </w:t>
      </w:r>
      <w:r>
        <w:rPr/>
        <w:t>56.2.</w:t>
      </w:r>
    </w:p>
    <w:p>
      <w:pPr>
        <w:pStyle w:val="ListParagraph"/>
        <w:numPr>
          <w:ilvl w:val="0"/>
          <w:numId w:val="152"/>
        </w:numPr>
        <w:tabs>
          <w:tab w:pos="1673" w:val="left" w:leader="none"/>
        </w:tabs>
        <w:spacing w:line="249" w:lineRule="auto" w:before="2" w:after="0"/>
        <w:ind w:left="1074" w:right="1274" w:firstLine="340"/>
        <w:jc w:val="both"/>
        <w:rPr>
          <w:sz w:val="20"/>
        </w:rPr>
      </w:pPr>
      <w:r>
        <w:rPr>
          <w:sz w:val="20"/>
        </w:rPr>
        <w:t>El contrato se adjudicará a la oferta que presente la mejor relación calidad-precio, según lo dispuesto en el artículo</w:t>
      </w:r>
      <w:r>
        <w:rPr>
          <w:spacing w:val="-7"/>
          <w:sz w:val="20"/>
        </w:rPr>
        <w:t> </w:t>
      </w:r>
      <w:r>
        <w:rPr>
          <w:sz w:val="20"/>
        </w:rPr>
        <w:t>66.2.</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52"/>
        </w:numPr>
        <w:tabs>
          <w:tab w:pos="1654" w:val="left" w:leader="none"/>
        </w:tabs>
        <w:spacing w:line="249" w:lineRule="auto" w:before="127" w:after="0"/>
        <w:ind w:left="1074" w:right="1273" w:firstLine="340"/>
        <w:jc w:val="both"/>
        <w:rPr>
          <w:sz w:val="20"/>
        </w:rPr>
      </w:pPr>
      <w:r>
        <w:rPr>
          <w:sz w:val="20"/>
        </w:rPr>
        <w:t>Las entidades contratantes establecerán y definirán en la convocatoria de licitación y en un documento descriptivo cuáles son sus necesidades y requisitos, los criterios de adjudicación elegidos y darán un plazo</w:t>
      </w:r>
      <w:r>
        <w:rPr>
          <w:spacing w:val="-8"/>
          <w:sz w:val="20"/>
        </w:rPr>
        <w:t> </w:t>
      </w:r>
      <w:r>
        <w:rPr>
          <w:sz w:val="20"/>
        </w:rPr>
        <w:t>indicativo.</w:t>
      </w:r>
    </w:p>
    <w:p>
      <w:pPr>
        <w:pStyle w:val="BodyText"/>
        <w:spacing w:line="249" w:lineRule="auto"/>
        <w:ind w:right="1274"/>
      </w:pPr>
      <w:r>
        <w:rPr/>
        <w:t>A los efectos de este real decreto-ley todas las menciones a los pliegos de condiciones se entenderán referidas al documento descriptivo cuando el contrato se adjudique mediante un procedimiento de diálogo</w:t>
      </w:r>
      <w:r>
        <w:rPr>
          <w:spacing w:val="-5"/>
        </w:rPr>
        <w:t> </w:t>
      </w:r>
      <w:r>
        <w:rPr/>
        <w:t>competitivo.</w:t>
      </w:r>
    </w:p>
    <w:p>
      <w:pPr>
        <w:pStyle w:val="ListParagraph"/>
        <w:numPr>
          <w:ilvl w:val="0"/>
          <w:numId w:val="152"/>
        </w:numPr>
        <w:tabs>
          <w:tab w:pos="1650" w:val="left" w:leader="none"/>
        </w:tabs>
        <w:spacing w:line="249" w:lineRule="auto" w:before="3" w:after="0"/>
        <w:ind w:left="1074" w:right="1274" w:firstLine="340"/>
        <w:jc w:val="both"/>
        <w:rPr>
          <w:sz w:val="20"/>
        </w:rPr>
      </w:pPr>
      <w:r>
        <w:rPr>
          <w:sz w:val="20"/>
        </w:rPr>
        <w:t>Las entidades contratantes entablarán con los participantes seleccionados un diálogo cuyo objetivo será determinar y definir los medios más idóneos para satisfacer sus necesidades. En el transcurso de este diálogo las entidades contratantes podrán debatir todos los aspectos de la contratación con los participantes</w:t>
      </w:r>
      <w:r>
        <w:rPr>
          <w:spacing w:val="-12"/>
          <w:sz w:val="20"/>
        </w:rPr>
        <w:t> </w:t>
      </w:r>
      <w:r>
        <w:rPr>
          <w:sz w:val="20"/>
        </w:rPr>
        <w:t>seleccionados.</w:t>
      </w:r>
    </w:p>
    <w:p>
      <w:pPr>
        <w:pStyle w:val="ListParagraph"/>
        <w:numPr>
          <w:ilvl w:val="0"/>
          <w:numId w:val="152"/>
        </w:numPr>
        <w:tabs>
          <w:tab w:pos="1702" w:val="left" w:leader="none"/>
        </w:tabs>
        <w:spacing w:line="249" w:lineRule="auto" w:before="3" w:after="0"/>
        <w:ind w:left="1074" w:right="1273" w:firstLine="340"/>
        <w:jc w:val="both"/>
        <w:rPr>
          <w:sz w:val="20"/>
        </w:rPr>
      </w:pPr>
      <w:r>
        <w:rPr>
          <w:sz w:val="20"/>
        </w:rPr>
        <w:t>Durante el diálogo, las entidades contratantes darán un trato igual a todos los participantes y no facilitarán de forma discriminatoria información que pueda dar ventajas a determinados participantes con respecto a</w:t>
      </w:r>
      <w:r>
        <w:rPr>
          <w:spacing w:val="-5"/>
          <w:sz w:val="20"/>
        </w:rPr>
        <w:t> </w:t>
      </w:r>
      <w:r>
        <w:rPr>
          <w:sz w:val="20"/>
        </w:rPr>
        <w:t>otros.</w:t>
      </w:r>
    </w:p>
    <w:p>
      <w:pPr>
        <w:pStyle w:val="BodyText"/>
        <w:spacing w:line="249" w:lineRule="auto"/>
        <w:ind w:right="1273"/>
      </w:pPr>
      <w:r>
        <w:rPr/>
        <w:t>De conformidad con el artículo 28 las entidades contratantes no revelarán a los demás participantes las soluciones propuestas u otros datos confidenciales que les comunique un candidato o licitador participante en el diálogo sin el acuerdo de este. Este acuerdo no podrá adoptar la forma de una renuncia general, sino que deberá referirse a la comunicación intencionada de información específica.</w:t>
      </w:r>
    </w:p>
    <w:p>
      <w:pPr>
        <w:pStyle w:val="ListParagraph"/>
        <w:numPr>
          <w:ilvl w:val="0"/>
          <w:numId w:val="152"/>
        </w:numPr>
        <w:tabs>
          <w:tab w:pos="1652" w:val="left" w:leader="none"/>
        </w:tabs>
        <w:spacing w:line="249" w:lineRule="auto" w:before="4" w:after="0"/>
        <w:ind w:left="1074" w:right="1272" w:firstLine="340"/>
        <w:jc w:val="both"/>
        <w:rPr>
          <w:sz w:val="20"/>
        </w:rPr>
      </w:pPr>
      <w:r>
        <w:rPr>
          <w:sz w:val="20"/>
        </w:rPr>
        <w:t>Los diálogos competitivos podrán desarrollarse en fases sucesivas a fin de reducir el número de soluciones que hayan de examinarse durante la fase del diálogo, aplicando los criterios de adjudicación indicados en la convocatoria de licitación o en el documento descriptivo. La entidad contratante indicará en la convocatoria de licitación o en el documento descriptivo si va a hacer uso de esta</w:t>
      </w:r>
      <w:r>
        <w:rPr>
          <w:spacing w:val="-12"/>
          <w:sz w:val="20"/>
        </w:rPr>
        <w:t> </w:t>
      </w:r>
      <w:r>
        <w:rPr>
          <w:sz w:val="20"/>
        </w:rPr>
        <w:t>opción.</w:t>
      </w:r>
    </w:p>
    <w:p>
      <w:pPr>
        <w:pStyle w:val="ListParagraph"/>
        <w:numPr>
          <w:ilvl w:val="0"/>
          <w:numId w:val="152"/>
        </w:numPr>
        <w:tabs>
          <w:tab w:pos="1702" w:val="left" w:leader="none"/>
        </w:tabs>
        <w:spacing w:line="249" w:lineRule="auto" w:before="4" w:after="0"/>
        <w:ind w:left="1074" w:right="1275" w:firstLine="340"/>
        <w:jc w:val="both"/>
        <w:rPr>
          <w:sz w:val="20"/>
        </w:rPr>
      </w:pPr>
      <w:r>
        <w:rPr>
          <w:sz w:val="20"/>
        </w:rPr>
        <w:t>La entidad contratante proseguirá el diálogo hasta que esté en condiciones de determinar la solución o soluciones que mejor puedan responder a sus</w:t>
      </w:r>
      <w:r>
        <w:rPr>
          <w:spacing w:val="-19"/>
          <w:sz w:val="20"/>
        </w:rPr>
        <w:t> </w:t>
      </w:r>
      <w:r>
        <w:rPr>
          <w:sz w:val="20"/>
        </w:rPr>
        <w:t>necesidades.</w:t>
      </w:r>
    </w:p>
    <w:p>
      <w:pPr>
        <w:pStyle w:val="ListParagraph"/>
        <w:numPr>
          <w:ilvl w:val="0"/>
          <w:numId w:val="152"/>
        </w:numPr>
        <w:tabs>
          <w:tab w:pos="1800" w:val="left" w:leader="none"/>
        </w:tabs>
        <w:spacing w:line="249" w:lineRule="auto" w:before="2" w:after="0"/>
        <w:ind w:left="1074" w:right="1273" w:firstLine="340"/>
        <w:jc w:val="both"/>
        <w:rPr>
          <w:sz w:val="20"/>
        </w:rPr>
      </w:pPr>
      <w:r>
        <w:rPr>
          <w:sz w:val="20"/>
        </w:rPr>
        <w:t>Tras haber declarado cerrado el diálogo y haber informado de ello a todos los participantes, las entidades contratantes les invitarán a que presenten su oferta final, basada en la solución o soluciones presentadas y especificadas durante la fase de diálogo. Las ofertas finales deberán incluir todos los elementos requeridos y necesarios para la realización del</w:t>
      </w:r>
      <w:r>
        <w:rPr>
          <w:spacing w:val="-2"/>
          <w:sz w:val="20"/>
        </w:rPr>
        <w:t> </w:t>
      </w:r>
      <w:r>
        <w:rPr>
          <w:sz w:val="20"/>
        </w:rPr>
        <w:t>proyecto.</w:t>
      </w:r>
    </w:p>
    <w:p>
      <w:pPr>
        <w:pStyle w:val="ListParagraph"/>
        <w:numPr>
          <w:ilvl w:val="0"/>
          <w:numId w:val="152"/>
        </w:numPr>
        <w:tabs>
          <w:tab w:pos="1783" w:val="left" w:leader="none"/>
        </w:tabs>
        <w:spacing w:line="249" w:lineRule="auto" w:before="4" w:after="0"/>
        <w:ind w:left="1074" w:right="1272" w:firstLine="340"/>
        <w:jc w:val="both"/>
        <w:rPr>
          <w:sz w:val="20"/>
        </w:rPr>
      </w:pPr>
      <w:r>
        <w:rPr>
          <w:sz w:val="20"/>
        </w:rPr>
        <w:t>A petición de la entidad contratante dichas ofertas podrán aclararse, precisarse y ajustarse. No obstante, estas aclaraciones, precisiones, ajustes o información complementaria no podrán suponer la modificación de elementos fundamentales de la oferta o de las condiciones de la contratación, en particular de las necesidades y de los requisitos establecidos en la convocatoria de licitación o en el documento descriptivo, cuando las modificaciones de dichos elementos, necesidades y requisitos puedan distorsionar la competencia o tener un efecto</w:t>
      </w:r>
      <w:r>
        <w:rPr>
          <w:spacing w:val="-5"/>
          <w:sz w:val="20"/>
        </w:rPr>
        <w:t> </w:t>
      </w:r>
      <w:r>
        <w:rPr>
          <w:sz w:val="20"/>
        </w:rPr>
        <w:t>discriminatorio.</w:t>
      </w:r>
    </w:p>
    <w:p>
      <w:pPr>
        <w:pStyle w:val="ListParagraph"/>
        <w:numPr>
          <w:ilvl w:val="0"/>
          <w:numId w:val="152"/>
        </w:numPr>
        <w:tabs>
          <w:tab w:pos="1757" w:val="left" w:leader="none"/>
        </w:tabs>
        <w:spacing w:line="249" w:lineRule="auto" w:before="6" w:after="0"/>
        <w:ind w:left="1074" w:right="1273" w:firstLine="340"/>
        <w:jc w:val="both"/>
        <w:rPr>
          <w:sz w:val="20"/>
        </w:rPr>
      </w:pPr>
      <w:r>
        <w:rPr>
          <w:sz w:val="20"/>
        </w:rPr>
        <w:t>Las entidades contratantes evaluarán las ofertas recibidas en función de los criterios de</w:t>
      </w:r>
      <w:r>
        <w:rPr>
          <w:spacing w:val="-5"/>
          <w:sz w:val="20"/>
        </w:rPr>
        <w:t> </w:t>
      </w:r>
      <w:r>
        <w:rPr>
          <w:sz w:val="20"/>
        </w:rPr>
        <w:t>adjudicación</w:t>
      </w:r>
      <w:r>
        <w:rPr>
          <w:spacing w:val="-4"/>
          <w:sz w:val="20"/>
        </w:rPr>
        <w:t> </w:t>
      </w:r>
      <w:r>
        <w:rPr>
          <w:sz w:val="20"/>
        </w:rPr>
        <w:t>establecidos</w:t>
      </w:r>
      <w:r>
        <w:rPr>
          <w:spacing w:val="-5"/>
          <w:sz w:val="20"/>
        </w:rPr>
        <w:t> </w:t>
      </w:r>
      <w:r>
        <w:rPr>
          <w:sz w:val="20"/>
        </w:rPr>
        <w:t>en</w:t>
      </w:r>
      <w:r>
        <w:rPr>
          <w:spacing w:val="-4"/>
          <w:sz w:val="20"/>
        </w:rPr>
        <w:t> </w:t>
      </w:r>
      <w:r>
        <w:rPr>
          <w:sz w:val="20"/>
        </w:rPr>
        <w:t>la</w:t>
      </w:r>
      <w:r>
        <w:rPr>
          <w:spacing w:val="-5"/>
          <w:sz w:val="20"/>
        </w:rPr>
        <w:t> </w:t>
      </w:r>
      <w:r>
        <w:rPr>
          <w:sz w:val="20"/>
        </w:rPr>
        <w:t>convocatoria</w:t>
      </w:r>
      <w:r>
        <w:rPr>
          <w:spacing w:val="-3"/>
          <w:sz w:val="20"/>
        </w:rPr>
        <w:t> </w:t>
      </w:r>
      <w:r>
        <w:rPr>
          <w:sz w:val="20"/>
        </w:rPr>
        <w:t>de</w:t>
      </w:r>
      <w:r>
        <w:rPr>
          <w:spacing w:val="-5"/>
          <w:sz w:val="20"/>
        </w:rPr>
        <w:t> </w:t>
      </w:r>
      <w:r>
        <w:rPr>
          <w:sz w:val="20"/>
        </w:rPr>
        <w:t>licitación</w:t>
      </w:r>
      <w:r>
        <w:rPr>
          <w:spacing w:val="-4"/>
          <w:sz w:val="20"/>
        </w:rPr>
        <w:t> </w:t>
      </w:r>
      <w:r>
        <w:rPr>
          <w:sz w:val="20"/>
        </w:rPr>
        <w:t>o</w:t>
      </w:r>
      <w:r>
        <w:rPr>
          <w:spacing w:val="-5"/>
          <w:sz w:val="20"/>
        </w:rPr>
        <w:t> </w:t>
      </w:r>
      <w:r>
        <w:rPr>
          <w:sz w:val="20"/>
        </w:rPr>
        <w:t>en</w:t>
      </w:r>
      <w:r>
        <w:rPr>
          <w:spacing w:val="-4"/>
          <w:sz w:val="20"/>
        </w:rPr>
        <w:t> </w:t>
      </w:r>
      <w:r>
        <w:rPr>
          <w:sz w:val="20"/>
        </w:rPr>
        <w:t>el</w:t>
      </w:r>
      <w:r>
        <w:rPr>
          <w:spacing w:val="-4"/>
          <w:sz w:val="20"/>
        </w:rPr>
        <w:t> </w:t>
      </w:r>
      <w:r>
        <w:rPr>
          <w:sz w:val="20"/>
        </w:rPr>
        <w:t>documento</w:t>
      </w:r>
      <w:r>
        <w:rPr>
          <w:spacing w:val="-5"/>
          <w:sz w:val="20"/>
        </w:rPr>
        <w:t> </w:t>
      </w:r>
      <w:r>
        <w:rPr>
          <w:sz w:val="20"/>
        </w:rPr>
        <w:t>descriptivo.</w:t>
      </w:r>
    </w:p>
    <w:p>
      <w:pPr>
        <w:pStyle w:val="ListParagraph"/>
        <w:numPr>
          <w:ilvl w:val="0"/>
          <w:numId w:val="152"/>
        </w:numPr>
        <w:tabs>
          <w:tab w:pos="1773" w:val="left" w:leader="none"/>
        </w:tabs>
        <w:spacing w:line="249" w:lineRule="auto" w:before="2" w:after="0"/>
        <w:ind w:left="1074" w:right="1271" w:firstLine="340"/>
        <w:jc w:val="both"/>
        <w:rPr>
          <w:sz w:val="20"/>
        </w:rPr>
      </w:pPr>
      <w:r>
        <w:rPr>
          <w:sz w:val="20"/>
        </w:rPr>
        <w:t>A petición de la entidad contratante, se podrán llevar a cabo negociaciones con el licitador que haya presentado la oferta que contenga la mejor relación calidad-precio con el fin de confirmar compromisos financieros u otras condiciones contenidas en la oferta, para lo cual se ultimarán las condiciones del contrato, siempre y cuando dicha negociación no dé lugar a que se modifiquen materialmente aspectos fundamentales de la oferta o de las condiciones de la contratación, en particular de las necesidades y de los requisitos establecidos en la convocatoria de licitación o en el documento descriptivo, y no conlleve un riesgo de distorsión de la competencia ni provoque</w:t>
      </w:r>
      <w:r>
        <w:rPr>
          <w:spacing w:val="-12"/>
          <w:sz w:val="20"/>
        </w:rPr>
        <w:t> </w:t>
      </w:r>
      <w:r>
        <w:rPr>
          <w:sz w:val="20"/>
        </w:rPr>
        <w:t>discriminación.</w:t>
      </w:r>
    </w:p>
    <w:p>
      <w:pPr>
        <w:pStyle w:val="ListParagraph"/>
        <w:numPr>
          <w:ilvl w:val="0"/>
          <w:numId w:val="152"/>
        </w:numPr>
        <w:tabs>
          <w:tab w:pos="1759" w:val="left" w:leader="none"/>
        </w:tabs>
        <w:spacing w:line="249" w:lineRule="auto" w:before="6" w:after="0"/>
        <w:ind w:left="1074" w:right="1275" w:firstLine="340"/>
        <w:jc w:val="both"/>
        <w:rPr>
          <w:sz w:val="20"/>
        </w:rPr>
      </w:pPr>
      <w:r>
        <w:rPr>
          <w:sz w:val="20"/>
        </w:rPr>
        <w:t>Las entidades contratantes podrán prever premios o pagos para los participantes en el diálogo, siempre y cuando no tengan un efecto</w:t>
      </w:r>
      <w:r>
        <w:rPr>
          <w:spacing w:val="-11"/>
          <w:sz w:val="20"/>
        </w:rPr>
        <w:t> </w:t>
      </w:r>
      <w:r>
        <w:rPr>
          <w:sz w:val="20"/>
        </w:rPr>
        <w:t>discriminatorio.</w:t>
      </w:r>
    </w:p>
    <w:p>
      <w:pPr>
        <w:pStyle w:val="BodyText"/>
        <w:spacing w:before="4"/>
        <w:ind w:left="0" w:firstLine="0"/>
        <w:jc w:val="left"/>
      </w:pPr>
    </w:p>
    <w:p>
      <w:pPr>
        <w:spacing w:before="0"/>
        <w:ind w:left="1074" w:right="0" w:firstLine="0"/>
        <w:jc w:val="both"/>
        <w:rPr>
          <w:i/>
          <w:sz w:val="20"/>
        </w:rPr>
      </w:pPr>
      <w:bookmarkStart w:name="Artículo 87. Asociación para la innovaci" w:id="134"/>
      <w:bookmarkEnd w:id="134"/>
      <w:r>
        <w:rPr/>
      </w:r>
      <w:r>
        <w:rPr>
          <w:b/>
          <w:sz w:val="20"/>
        </w:rPr>
        <w:t>Artículo 87. </w:t>
      </w:r>
      <w:r>
        <w:rPr>
          <w:i/>
          <w:sz w:val="20"/>
        </w:rPr>
        <w:t>Asociación para la innovación.</w:t>
      </w:r>
    </w:p>
    <w:p>
      <w:pPr>
        <w:pStyle w:val="ListParagraph"/>
        <w:numPr>
          <w:ilvl w:val="0"/>
          <w:numId w:val="153"/>
        </w:numPr>
        <w:tabs>
          <w:tab w:pos="1654" w:val="left" w:leader="none"/>
        </w:tabs>
        <w:spacing w:line="249" w:lineRule="auto" w:before="118" w:after="0"/>
        <w:ind w:left="1074" w:right="1274" w:firstLine="340"/>
        <w:jc w:val="both"/>
        <w:rPr>
          <w:sz w:val="20"/>
        </w:rPr>
      </w:pPr>
      <w:r>
        <w:rPr>
          <w:sz w:val="20"/>
        </w:rPr>
        <w:t>En el procedimiento de asociación para la innovación, cualquier operador económico podrá presentar una solicitud de participación en respuesta a un anuncio que sirva de convocatoria de licitación, proporcionando la información para la selección cualitativa que solicite la entidad</w:t>
      </w:r>
      <w:r>
        <w:rPr>
          <w:spacing w:val="-3"/>
          <w:sz w:val="20"/>
        </w:rPr>
        <w:t> </w:t>
      </w:r>
      <w:r>
        <w:rPr>
          <w:sz w:val="20"/>
        </w:rPr>
        <w:t>contratante.</w:t>
      </w:r>
    </w:p>
    <w:p>
      <w:pPr>
        <w:pStyle w:val="ListParagraph"/>
        <w:numPr>
          <w:ilvl w:val="0"/>
          <w:numId w:val="153"/>
        </w:numPr>
        <w:tabs>
          <w:tab w:pos="1652" w:val="left" w:leader="none"/>
        </w:tabs>
        <w:spacing w:line="249" w:lineRule="auto" w:before="3" w:after="0"/>
        <w:ind w:left="1074" w:right="1274" w:firstLine="340"/>
        <w:jc w:val="both"/>
        <w:rPr>
          <w:sz w:val="20"/>
        </w:rPr>
      </w:pPr>
      <w:r>
        <w:rPr>
          <w:sz w:val="20"/>
        </w:rPr>
        <w:t>En los pliegos de condiciones, la entidad contratante determinará la necesidad de un producto,</w:t>
      </w:r>
      <w:r>
        <w:rPr>
          <w:spacing w:val="14"/>
          <w:sz w:val="20"/>
        </w:rPr>
        <w:t> </w:t>
      </w:r>
      <w:r>
        <w:rPr>
          <w:sz w:val="20"/>
        </w:rPr>
        <w:t>servicio</w:t>
      </w:r>
      <w:r>
        <w:rPr>
          <w:spacing w:val="16"/>
          <w:sz w:val="20"/>
        </w:rPr>
        <w:t> </w:t>
      </w:r>
      <w:r>
        <w:rPr>
          <w:sz w:val="20"/>
        </w:rPr>
        <w:t>u</w:t>
      </w:r>
      <w:r>
        <w:rPr>
          <w:spacing w:val="15"/>
          <w:sz w:val="20"/>
        </w:rPr>
        <w:t> </w:t>
      </w:r>
      <w:r>
        <w:rPr>
          <w:sz w:val="20"/>
        </w:rPr>
        <w:t>obra</w:t>
      </w:r>
      <w:r>
        <w:rPr>
          <w:spacing w:val="15"/>
          <w:sz w:val="20"/>
        </w:rPr>
        <w:t> </w:t>
      </w:r>
      <w:r>
        <w:rPr>
          <w:sz w:val="20"/>
        </w:rPr>
        <w:t>innovadores</w:t>
      </w:r>
      <w:r>
        <w:rPr>
          <w:spacing w:val="15"/>
          <w:sz w:val="20"/>
        </w:rPr>
        <w:t> </w:t>
      </w:r>
      <w:r>
        <w:rPr>
          <w:sz w:val="20"/>
        </w:rPr>
        <w:t>que</w:t>
      </w:r>
      <w:r>
        <w:rPr>
          <w:spacing w:val="15"/>
          <w:sz w:val="20"/>
        </w:rPr>
        <w:t> </w:t>
      </w:r>
      <w:r>
        <w:rPr>
          <w:sz w:val="20"/>
        </w:rPr>
        <w:t>no</w:t>
      </w:r>
      <w:r>
        <w:rPr>
          <w:spacing w:val="15"/>
          <w:sz w:val="20"/>
        </w:rPr>
        <w:t> </w:t>
      </w:r>
      <w:r>
        <w:rPr>
          <w:sz w:val="20"/>
        </w:rPr>
        <w:t>pueda</w:t>
      </w:r>
      <w:r>
        <w:rPr>
          <w:spacing w:val="14"/>
          <w:sz w:val="20"/>
        </w:rPr>
        <w:t> </w:t>
      </w:r>
      <w:r>
        <w:rPr>
          <w:sz w:val="20"/>
        </w:rPr>
        <w:t>ser</w:t>
      </w:r>
      <w:r>
        <w:rPr>
          <w:spacing w:val="16"/>
          <w:sz w:val="20"/>
        </w:rPr>
        <w:t> </w:t>
      </w:r>
      <w:r>
        <w:rPr>
          <w:sz w:val="20"/>
        </w:rPr>
        <w:t>satisfecha</w:t>
      </w:r>
      <w:r>
        <w:rPr>
          <w:spacing w:val="16"/>
          <w:sz w:val="20"/>
        </w:rPr>
        <w:t> </w:t>
      </w:r>
      <w:r>
        <w:rPr>
          <w:sz w:val="20"/>
        </w:rPr>
        <w:t>mediante</w:t>
      </w:r>
      <w:r>
        <w:rPr>
          <w:spacing w:val="16"/>
          <w:sz w:val="20"/>
        </w:rPr>
        <w:t> </w:t>
      </w:r>
      <w:r>
        <w:rPr>
          <w:sz w:val="20"/>
        </w:rPr>
        <w:t>la</w:t>
      </w:r>
      <w:r>
        <w:rPr>
          <w:spacing w:val="15"/>
          <w:sz w:val="20"/>
        </w:rPr>
        <w:t> </w:t>
      </w:r>
      <w:r>
        <w:rPr>
          <w:sz w:val="20"/>
        </w:rPr>
        <w:t>adquisición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de productos, servicios u obras ya disponibles en el mercado. Indicará asimismo qué elementos de la descripción constituyen los requisitos mínimos que han de cumplir todos los participantes. Las indicaciones serán lo suficientemente precisas para que los operadores económicos puedan reconocer la naturaleza y el alcance de la solución demandada y decidir si solicitan participar en el procedimiento.</w:t>
      </w:r>
    </w:p>
    <w:p>
      <w:pPr>
        <w:pStyle w:val="ListParagraph"/>
        <w:numPr>
          <w:ilvl w:val="0"/>
          <w:numId w:val="153"/>
        </w:numPr>
        <w:tabs>
          <w:tab w:pos="1650" w:val="left" w:leader="none"/>
        </w:tabs>
        <w:spacing w:line="249" w:lineRule="auto" w:before="4" w:after="0"/>
        <w:ind w:left="1074" w:right="1274" w:firstLine="340"/>
        <w:jc w:val="both"/>
        <w:rPr>
          <w:sz w:val="20"/>
        </w:rPr>
      </w:pPr>
      <w:r>
        <w:rPr>
          <w:sz w:val="20"/>
        </w:rPr>
        <w:t>La entidad contratante podrá decidir crear la asociación para la innovación con uno o varios empresarios que realicen por separado actividades de investigación y</w:t>
      </w:r>
      <w:r>
        <w:rPr>
          <w:spacing w:val="-30"/>
          <w:sz w:val="20"/>
        </w:rPr>
        <w:t> </w:t>
      </w:r>
      <w:r>
        <w:rPr>
          <w:sz w:val="20"/>
        </w:rPr>
        <w:t>desarrollo.</w:t>
      </w:r>
    </w:p>
    <w:p>
      <w:pPr>
        <w:pStyle w:val="ListParagraph"/>
        <w:numPr>
          <w:ilvl w:val="0"/>
          <w:numId w:val="153"/>
        </w:numPr>
        <w:tabs>
          <w:tab w:pos="1663" w:val="left" w:leader="none"/>
        </w:tabs>
        <w:spacing w:line="249" w:lineRule="auto" w:before="1" w:after="0"/>
        <w:ind w:left="1074" w:right="1274" w:firstLine="340"/>
        <w:jc w:val="both"/>
        <w:rPr>
          <w:sz w:val="20"/>
        </w:rPr>
      </w:pPr>
      <w:r>
        <w:rPr>
          <w:sz w:val="20"/>
        </w:rPr>
        <w:t>Cuando el procedimiento se refiera a contratos de obras, suministros o servicios, el plazo mínimo fijado para la presentación de las solicitudes de participación no será, como norma general, inferior a treinta días contados a partir de la fecha de envío del anuncio que sirva de convocatoria de licitación o de la invitación a confirmar el interés en el caso de que el medio de convocatoria hubiera sido un anuncio sobre la existencia de un sistema de clasificación, sin que en ningún caso pueda ser inferior a quince</w:t>
      </w:r>
      <w:r>
        <w:rPr>
          <w:spacing w:val="-14"/>
          <w:sz w:val="20"/>
        </w:rPr>
        <w:t> </w:t>
      </w:r>
      <w:r>
        <w:rPr>
          <w:sz w:val="20"/>
        </w:rPr>
        <w:t>días.</w:t>
      </w:r>
    </w:p>
    <w:p>
      <w:pPr>
        <w:pStyle w:val="BodyText"/>
        <w:spacing w:line="249" w:lineRule="auto" w:before="5"/>
        <w:ind w:right="1272"/>
      </w:pPr>
      <w:r>
        <w:rPr/>
        <w:t>En los procedimientos que tengan por objeto contratos de concesión de obras o de concesión de servicios el plazo a que se refiere el párrafo anterior en todo caso será de treinta días.</w:t>
      </w:r>
    </w:p>
    <w:p>
      <w:pPr>
        <w:pStyle w:val="BodyText"/>
        <w:spacing w:line="249" w:lineRule="auto" w:before="3"/>
        <w:ind w:right="1275"/>
      </w:pPr>
      <w:r>
        <w:rPr/>
        <w:t>Solo podrán participar en el procedimiento los operadores económicos invitados por la entidad contratante tras haber evaluado la información facilitada.</w:t>
      </w:r>
    </w:p>
    <w:p>
      <w:pPr>
        <w:pStyle w:val="ListParagraph"/>
        <w:numPr>
          <w:ilvl w:val="0"/>
          <w:numId w:val="153"/>
        </w:numPr>
        <w:tabs>
          <w:tab w:pos="1703" w:val="left" w:leader="none"/>
        </w:tabs>
        <w:spacing w:line="249" w:lineRule="auto" w:before="1" w:after="0"/>
        <w:ind w:left="1074" w:right="1274" w:firstLine="340"/>
        <w:jc w:val="both"/>
        <w:rPr>
          <w:sz w:val="20"/>
        </w:rPr>
      </w:pPr>
      <w:r>
        <w:rPr>
          <w:sz w:val="20"/>
        </w:rPr>
        <w:t>Las entidades contratantes podrán limitar el número de candidatos admitidos a presentar una oferta que serán invitados a participar en el procedimiento, de conformidad con el artículo</w:t>
      </w:r>
      <w:r>
        <w:rPr>
          <w:spacing w:val="-3"/>
          <w:sz w:val="20"/>
        </w:rPr>
        <w:t> </w:t>
      </w:r>
      <w:r>
        <w:rPr>
          <w:sz w:val="20"/>
        </w:rPr>
        <w:t>56.2.</w:t>
      </w:r>
    </w:p>
    <w:p>
      <w:pPr>
        <w:pStyle w:val="BodyText"/>
        <w:spacing w:line="249" w:lineRule="auto" w:before="3"/>
        <w:ind w:right="1274"/>
      </w:pPr>
      <w:r>
        <w:rPr/>
        <w:t>Los contratos se adjudicarán únicamente con arreglo al criterio de la mejor relación calidad-precio, según lo dispuesto en el artículo 66.</w:t>
      </w:r>
    </w:p>
    <w:p>
      <w:pPr>
        <w:pStyle w:val="ListParagraph"/>
        <w:numPr>
          <w:ilvl w:val="0"/>
          <w:numId w:val="153"/>
        </w:numPr>
        <w:tabs>
          <w:tab w:pos="1673" w:val="left" w:leader="none"/>
        </w:tabs>
        <w:spacing w:line="249" w:lineRule="auto" w:before="1" w:after="0"/>
        <w:ind w:left="1074" w:right="1273" w:firstLine="340"/>
        <w:jc w:val="both"/>
        <w:rPr>
          <w:sz w:val="20"/>
        </w:rPr>
      </w:pPr>
      <w:r>
        <w:rPr>
          <w:sz w:val="20"/>
        </w:rPr>
        <w:t>La asociación para la innovación tendrá como finalidad el desarrollo de productos, servicios u obras innovadores y la compra ulterior de los suministros, servicios u obras resultantes, siempre que correspondan a los niveles de rendimiento y a los costes máximos acordados entre la entidad contratante y los</w:t>
      </w:r>
      <w:r>
        <w:rPr>
          <w:spacing w:val="-9"/>
          <w:sz w:val="20"/>
        </w:rPr>
        <w:t> </w:t>
      </w:r>
      <w:r>
        <w:rPr>
          <w:sz w:val="20"/>
        </w:rPr>
        <w:t>participantes.</w:t>
      </w:r>
    </w:p>
    <w:p>
      <w:pPr>
        <w:pStyle w:val="ListParagraph"/>
        <w:numPr>
          <w:ilvl w:val="0"/>
          <w:numId w:val="153"/>
        </w:numPr>
        <w:tabs>
          <w:tab w:pos="1644" w:val="left" w:leader="none"/>
        </w:tabs>
        <w:spacing w:line="249" w:lineRule="auto" w:before="4" w:after="0"/>
        <w:ind w:left="1074" w:right="1272" w:firstLine="340"/>
        <w:jc w:val="both"/>
        <w:rPr>
          <w:sz w:val="20"/>
        </w:rPr>
      </w:pPr>
      <w:r>
        <w:rPr>
          <w:sz w:val="20"/>
        </w:rPr>
        <w:t>La asociación para la innovación deberá estructurarse en etapas sucesivas, siguiendo la secuencia de las etapas del proceso de investigación e innovación, que podrá incluir la fabricación de los productos, la prestación de los servicios o la realización de las obras. La asociación para la innovación fijará unos objetivos intermedios que deberán alcanzar los socios, y proveerá el pago de la retribución en plazos</w:t>
      </w:r>
      <w:r>
        <w:rPr>
          <w:spacing w:val="-13"/>
          <w:sz w:val="20"/>
        </w:rPr>
        <w:t> </w:t>
      </w:r>
      <w:r>
        <w:rPr>
          <w:sz w:val="20"/>
        </w:rPr>
        <w:t>adecuados.</w:t>
      </w:r>
    </w:p>
    <w:p>
      <w:pPr>
        <w:pStyle w:val="BodyText"/>
        <w:spacing w:line="249" w:lineRule="auto" w:before="4"/>
        <w:ind w:right="1274"/>
      </w:pPr>
      <w:r>
        <w:rPr/>
        <w:t>A partir de dichos objetivos, la entidad contratante podrá decidir, al final de cada etapa, poner fin a la asociación para la innovación o, en el caso de una asociación para la innovación con varios socios, reducir el número de aquellos, siempre que la entidad contratante haya indicado en los pliegos de condiciones que puede hacer uso de estas posibilidades y las condiciones en que puede hacerlo.</w:t>
      </w:r>
    </w:p>
    <w:p>
      <w:pPr>
        <w:pStyle w:val="ListParagraph"/>
        <w:numPr>
          <w:ilvl w:val="0"/>
          <w:numId w:val="153"/>
        </w:numPr>
        <w:tabs>
          <w:tab w:pos="1663" w:val="left" w:leader="none"/>
        </w:tabs>
        <w:spacing w:line="249" w:lineRule="auto" w:before="4" w:after="0"/>
        <w:ind w:left="1074" w:right="1274" w:firstLine="340"/>
        <w:jc w:val="both"/>
        <w:rPr>
          <w:sz w:val="20"/>
        </w:rPr>
      </w:pPr>
      <w:r>
        <w:rPr>
          <w:sz w:val="20"/>
        </w:rPr>
        <w:t>Salvo que se disponga otra cosa en el presente artículo, las entidades contratantes negociarán con los licitadores las ofertas iniciales y todas las ofertas ulteriores presentadas por estos, excepto la oferta definitiva, con el fin de mejorar su</w:t>
      </w:r>
      <w:r>
        <w:rPr>
          <w:spacing w:val="-16"/>
          <w:sz w:val="20"/>
        </w:rPr>
        <w:t> </w:t>
      </w:r>
      <w:r>
        <w:rPr>
          <w:sz w:val="20"/>
        </w:rPr>
        <w:t>contenido.</w:t>
      </w:r>
    </w:p>
    <w:p>
      <w:pPr>
        <w:pStyle w:val="BodyText"/>
        <w:ind w:left="1414" w:firstLine="0"/>
      </w:pPr>
      <w:r>
        <w:rPr/>
        <w:t>No se negociarán los requisitos mínimos ni los criterios de adjudicación.</w:t>
      </w:r>
    </w:p>
    <w:p>
      <w:pPr>
        <w:pStyle w:val="ListParagraph"/>
        <w:numPr>
          <w:ilvl w:val="0"/>
          <w:numId w:val="153"/>
        </w:numPr>
        <w:tabs>
          <w:tab w:pos="1721" w:val="left" w:leader="none"/>
        </w:tabs>
        <w:spacing w:line="249" w:lineRule="auto" w:before="10" w:after="0"/>
        <w:ind w:left="1074" w:right="1272" w:firstLine="340"/>
        <w:jc w:val="both"/>
        <w:rPr>
          <w:sz w:val="20"/>
        </w:rPr>
      </w:pPr>
      <w:r>
        <w:rPr>
          <w:sz w:val="20"/>
        </w:rPr>
        <w:t>Durante la negociación, las entidades contratantes velarán por que todos los licitadores reciban igual trato. Con ese fin las citadas entidades no facilitarán de forma discriminatoria información que pueda dar ventajas a determinados licitadores con respecto  a otros; e informarán por escrito a todos los licitadores cuyas ofertas no hayan sido eliminadas de conformidad con el apartado 10 siguiente, de todo cambio en las prescripciones técnicas u otra documentación de la contratación que no sea la que establece los requisitos mínimos. A raíz de tales cambios, las entidades contratantes darán a los licitadores tiempo suficiente para que puedan modificar y volver a presentar ofertas modificadas, según</w:t>
      </w:r>
      <w:r>
        <w:rPr>
          <w:spacing w:val="-1"/>
          <w:sz w:val="20"/>
        </w:rPr>
        <w:t> </w:t>
      </w:r>
      <w:r>
        <w:rPr>
          <w:sz w:val="20"/>
        </w:rPr>
        <w:t>proceda.</w:t>
      </w:r>
    </w:p>
    <w:p>
      <w:pPr>
        <w:pStyle w:val="BodyText"/>
        <w:spacing w:line="249" w:lineRule="auto" w:before="8"/>
        <w:ind w:right="1274"/>
      </w:pPr>
      <w:r>
        <w:rPr/>
        <w:t>De conformidad con lo dispuesto en el artículo 28, las entidades contratantes no revelarán a los demás participantes los datos confidenciales que les hayan</w:t>
      </w:r>
      <w:r>
        <w:rPr>
          <w:spacing w:val="13"/>
        </w:rPr>
        <w:t> </w:t>
      </w:r>
      <w:r>
        <w:rPr/>
        <w:t>sido comunicados por un candidato o licitador participante en la negociación sin el acuerdo previo de este. Este acuerdo no podrá adoptar la forma de una renuncia general, sino que deberá referirse a la comunicación intencionada de información</w:t>
      </w:r>
      <w:r>
        <w:rPr>
          <w:spacing w:val="-10"/>
        </w:rPr>
        <w:t> </w:t>
      </w:r>
      <w:r>
        <w:rPr/>
        <w:t>específica.</w:t>
      </w:r>
    </w:p>
    <w:p>
      <w:pPr>
        <w:pStyle w:val="ListParagraph"/>
        <w:numPr>
          <w:ilvl w:val="0"/>
          <w:numId w:val="153"/>
        </w:numPr>
        <w:tabs>
          <w:tab w:pos="1801" w:val="left" w:leader="none"/>
        </w:tabs>
        <w:spacing w:line="249" w:lineRule="auto" w:before="4" w:after="0"/>
        <w:ind w:left="1074" w:right="1274" w:firstLine="340"/>
        <w:jc w:val="both"/>
        <w:rPr>
          <w:sz w:val="20"/>
        </w:rPr>
      </w:pPr>
      <w:r>
        <w:rPr>
          <w:sz w:val="20"/>
        </w:rPr>
        <w:t>Las negociaciones durante los procedimientos de asociación para la innovación podrán desarrollarse en fases sucesivas, a fin de reducir el número de ofertas que haya que negociar, aplicando los criterios de adjudicación especificados en el anuncio que sirva</w:t>
      </w:r>
      <w:r>
        <w:rPr>
          <w:spacing w:val="48"/>
          <w:sz w:val="20"/>
        </w:rPr>
        <w:t> </w:t>
      </w:r>
      <w:r>
        <w:rPr>
          <w:sz w:val="20"/>
        </w:rPr>
        <w:t>como</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medio de convocatoria de licitación, o en los pliegos de condiciones. En el anuncio que sirva de convocatoria de licitación o en los pliegos de condiciones, la entidad contratante indicará si hará uso de esta opción.</w:t>
      </w:r>
    </w:p>
    <w:p>
      <w:pPr>
        <w:pStyle w:val="ListParagraph"/>
        <w:numPr>
          <w:ilvl w:val="0"/>
          <w:numId w:val="153"/>
        </w:numPr>
        <w:tabs>
          <w:tab w:pos="1773" w:val="left" w:leader="none"/>
        </w:tabs>
        <w:spacing w:line="249" w:lineRule="auto" w:before="2" w:after="0"/>
        <w:ind w:left="1074" w:right="1274" w:firstLine="340"/>
        <w:jc w:val="both"/>
        <w:rPr>
          <w:sz w:val="20"/>
        </w:rPr>
      </w:pPr>
      <w:r>
        <w:rPr>
          <w:sz w:val="20"/>
        </w:rPr>
        <w:t>Al seleccionar a los candidatos, las entidades contratantes aplicarán, en particular, criterios relativos a la capacidad de los candidatos en los ámbitos de la investigación y el desarrollo, y del desarrollo y aplicación de soluciones</w:t>
      </w:r>
      <w:r>
        <w:rPr>
          <w:spacing w:val="-12"/>
          <w:sz w:val="20"/>
        </w:rPr>
        <w:t> </w:t>
      </w:r>
      <w:r>
        <w:rPr>
          <w:sz w:val="20"/>
        </w:rPr>
        <w:t>innovadoras.</w:t>
      </w:r>
    </w:p>
    <w:p>
      <w:pPr>
        <w:pStyle w:val="BodyText"/>
        <w:spacing w:line="249" w:lineRule="auto" w:before="3"/>
        <w:ind w:right="1275"/>
      </w:pPr>
      <w:r>
        <w:rPr/>
        <w:t>Solo podrán presentar proyectos de investigación e innovación destinados a responder a las necesidades señaladas por la entidad contratante, y que no puedan satisfacerse con las soluciones existentes, aquellos operadores económicos a los que invite la entidad contratante tras evaluar la información solicitada de conformidad con el apartado 1, cuando el medio de convocatoria hubiera sido un anuncio periódico indicativo o de licitación; o de conformidad con el artículo 40, cuando el medio de convocatoria hubiera sido un anuncio sobre la existencia de un sistema de</w:t>
      </w:r>
      <w:r>
        <w:rPr>
          <w:spacing w:val="-7"/>
        </w:rPr>
        <w:t> </w:t>
      </w:r>
      <w:r>
        <w:rPr/>
        <w:t>clasificación.</w:t>
      </w:r>
    </w:p>
    <w:p>
      <w:pPr>
        <w:pStyle w:val="ListParagraph"/>
        <w:numPr>
          <w:ilvl w:val="0"/>
          <w:numId w:val="153"/>
        </w:numPr>
        <w:tabs>
          <w:tab w:pos="1808" w:val="left" w:leader="none"/>
        </w:tabs>
        <w:spacing w:line="249" w:lineRule="auto" w:before="5" w:after="0"/>
        <w:ind w:left="1074" w:right="1273" w:firstLine="340"/>
        <w:jc w:val="both"/>
        <w:rPr>
          <w:sz w:val="20"/>
        </w:rPr>
      </w:pPr>
      <w:r>
        <w:rPr>
          <w:sz w:val="20"/>
        </w:rPr>
        <w:t>En los pliegos de condiciones, la entidad contratante definirá las disposiciones aplicables a los derechos de propiedad intelectual e industrial. En el caso de las asociaciones para la innovación con varios socios, la entidad contratante, de conformidad con el artículo 28, no revelará a los otros socios las soluciones propuestas u otros datos confidenciales que comunique un socio en el marco de la asociación sin el acuerdo de este último. Este acuerdo no podrá adoptar la forma de una renuncia general, sino que deberá referirse a la comunicación intencionada de información</w:t>
      </w:r>
      <w:r>
        <w:rPr>
          <w:spacing w:val="-10"/>
          <w:sz w:val="20"/>
        </w:rPr>
        <w:t> </w:t>
      </w:r>
      <w:r>
        <w:rPr>
          <w:sz w:val="20"/>
        </w:rPr>
        <w:t>específica.</w:t>
      </w:r>
    </w:p>
    <w:p>
      <w:pPr>
        <w:pStyle w:val="ListParagraph"/>
        <w:numPr>
          <w:ilvl w:val="0"/>
          <w:numId w:val="153"/>
        </w:numPr>
        <w:tabs>
          <w:tab w:pos="1763" w:val="left" w:leader="none"/>
        </w:tabs>
        <w:spacing w:line="249" w:lineRule="auto" w:before="6" w:after="0"/>
        <w:ind w:left="1074" w:right="1274" w:firstLine="340"/>
        <w:jc w:val="both"/>
        <w:rPr>
          <w:sz w:val="20"/>
        </w:rPr>
      </w:pPr>
      <w:r>
        <w:rPr>
          <w:sz w:val="20"/>
        </w:rPr>
        <w:t>La entidad contratante velará por que la estructura de la asociación y, en particular, la duración y el valor de las diferentes etapas reflejen el grado de innovación de la solución propuesta y la secuencia de las actividades de investigación y de innovación necesarias para el desarrollo de una solución innovadora aún no disponible en el mercado. El valor estimado de los suministros, servicios u obras adquiridos no será desproporcionado con respecto a la inversión para su</w:t>
      </w:r>
      <w:r>
        <w:rPr>
          <w:spacing w:val="-3"/>
          <w:sz w:val="20"/>
        </w:rPr>
        <w:t> </w:t>
      </w:r>
      <w:r>
        <w:rPr>
          <w:sz w:val="20"/>
        </w:rPr>
        <w:t>desarrollo.</w:t>
      </w:r>
    </w:p>
    <w:p>
      <w:pPr>
        <w:pStyle w:val="BodyText"/>
        <w:spacing w:before="0"/>
        <w:ind w:left="0" w:firstLine="0"/>
        <w:jc w:val="left"/>
        <w:rPr>
          <w:sz w:val="26"/>
        </w:rPr>
      </w:pPr>
    </w:p>
    <w:p>
      <w:pPr>
        <w:pStyle w:val="BodyText"/>
        <w:spacing w:before="165"/>
        <w:ind w:left="2930" w:right="3127" w:firstLine="0"/>
        <w:jc w:val="center"/>
      </w:pPr>
      <w:bookmarkStart w:name="TÍTULO V. Técnicas de racionalización de" w:id="135"/>
      <w:bookmarkEnd w:id="135"/>
      <w:r>
        <w:rPr/>
      </w:r>
      <w:bookmarkStart w:name="_bookmark23" w:id="136"/>
      <w:bookmarkEnd w:id="136"/>
      <w:r>
        <w:rPr/>
      </w:r>
      <w:r>
        <w:rPr/>
        <w:t>TÍTULO V</w:t>
      </w:r>
    </w:p>
    <w:p>
      <w:pPr>
        <w:pStyle w:val="Heading1"/>
        <w:spacing w:before="124"/>
        <w:ind w:right="1612"/>
      </w:pPr>
      <w:r>
        <w:rPr/>
        <w:t>Técnicas de racionalización de la contratación y concursos de proyectos</w:t>
      </w:r>
    </w:p>
    <w:p>
      <w:pPr>
        <w:pStyle w:val="BodyText"/>
        <w:spacing w:before="0"/>
        <w:ind w:left="0" w:firstLine="0"/>
        <w:jc w:val="left"/>
        <w:rPr>
          <w:b/>
          <w:sz w:val="22"/>
        </w:rPr>
      </w:pPr>
    </w:p>
    <w:p>
      <w:pPr>
        <w:pStyle w:val="BodyText"/>
        <w:spacing w:before="3"/>
        <w:ind w:left="0" w:firstLine="0"/>
        <w:jc w:val="left"/>
        <w:rPr>
          <w:b/>
          <w:sz w:val="18"/>
        </w:rPr>
      </w:pPr>
    </w:p>
    <w:p>
      <w:pPr>
        <w:pStyle w:val="BodyText"/>
        <w:spacing w:before="0"/>
        <w:ind w:left="2929" w:right="3127" w:firstLine="0"/>
        <w:jc w:val="center"/>
      </w:pPr>
      <w:bookmarkStart w:name="CAPÍTULO I. Técnicas de racionalización" w:id="137"/>
      <w:bookmarkEnd w:id="137"/>
      <w:r>
        <w:rPr/>
      </w:r>
      <w:bookmarkStart w:name="_bookmark24" w:id="138"/>
      <w:bookmarkEnd w:id="138"/>
      <w:r>
        <w:rPr/>
      </w:r>
      <w:r>
        <w:rPr/>
        <w:t>CAPÍTULO I</w:t>
      </w:r>
    </w:p>
    <w:p>
      <w:pPr>
        <w:pStyle w:val="Heading1"/>
        <w:spacing w:before="124"/>
        <w:ind w:left="2930"/>
      </w:pPr>
      <w:r>
        <w:rPr/>
        <w:t>Técnicas de racionalización</w:t>
      </w:r>
    </w:p>
    <w:p>
      <w:pPr>
        <w:pStyle w:val="BodyText"/>
        <w:spacing w:before="6"/>
        <w:ind w:left="0" w:firstLine="0"/>
        <w:jc w:val="left"/>
        <w:rPr>
          <w:b/>
        </w:rPr>
      </w:pPr>
    </w:p>
    <w:p>
      <w:pPr>
        <w:pStyle w:val="Heading2"/>
        <w:spacing w:before="1"/>
        <w:ind w:left="2929"/>
        <w:rPr>
          <w:i/>
        </w:rPr>
      </w:pPr>
      <w:bookmarkStart w:name="Sección 1.ª Centrales de compras" w:id="139"/>
      <w:bookmarkEnd w:id="139"/>
      <w:r>
        <w:rPr>
          <w:b w:val="0"/>
          <w:i w:val="0"/>
        </w:rPr>
      </w:r>
      <w:bookmarkStart w:name="_bookmark25" w:id="140"/>
      <w:bookmarkEnd w:id="140"/>
      <w:r>
        <w:rPr>
          <w:b w:val="0"/>
          <w:i w:val="0"/>
        </w:rPr>
      </w:r>
      <w:r>
        <w:rPr>
          <w:i/>
        </w:rPr>
        <w:t>Sección 1.ª Centrales de compras</w:t>
      </w:r>
    </w:p>
    <w:p>
      <w:pPr>
        <w:pStyle w:val="BodyText"/>
        <w:spacing w:before="5"/>
        <w:ind w:left="0" w:firstLine="0"/>
        <w:jc w:val="left"/>
        <w:rPr>
          <w:b/>
          <w:i/>
          <w:sz w:val="30"/>
        </w:rPr>
      </w:pPr>
    </w:p>
    <w:p>
      <w:pPr>
        <w:spacing w:before="0"/>
        <w:ind w:left="1074" w:right="0" w:firstLine="0"/>
        <w:jc w:val="both"/>
        <w:rPr>
          <w:i/>
          <w:sz w:val="20"/>
        </w:rPr>
      </w:pPr>
      <w:bookmarkStart w:name="Artículo 88. Actividades de compra centr" w:id="141"/>
      <w:bookmarkEnd w:id="141"/>
      <w:r>
        <w:rPr/>
      </w:r>
      <w:r>
        <w:rPr>
          <w:b/>
          <w:sz w:val="20"/>
        </w:rPr>
        <w:t>Artículo 88. </w:t>
      </w:r>
      <w:r>
        <w:rPr>
          <w:i/>
          <w:sz w:val="20"/>
        </w:rPr>
        <w:t>Actividades de compra centralizada y centrales de compras.</w:t>
      </w:r>
    </w:p>
    <w:p>
      <w:pPr>
        <w:pStyle w:val="ListParagraph"/>
        <w:numPr>
          <w:ilvl w:val="0"/>
          <w:numId w:val="154"/>
        </w:numPr>
        <w:tabs>
          <w:tab w:pos="1639" w:val="left" w:leader="none"/>
        </w:tabs>
        <w:spacing w:line="249" w:lineRule="auto" w:before="117" w:after="0"/>
        <w:ind w:left="1074" w:right="1273" w:firstLine="340"/>
        <w:jc w:val="both"/>
        <w:rPr>
          <w:sz w:val="20"/>
        </w:rPr>
      </w:pPr>
      <w:r>
        <w:rPr>
          <w:sz w:val="20"/>
        </w:rPr>
        <w:t>Las entidades contratantes podrán adquirir obras, suministros o servicios a una central de compras que ofrezca la actividad de compra centralizada mencionada en el artículo 2.m).1.º</w:t>
      </w:r>
    </w:p>
    <w:p>
      <w:pPr>
        <w:pStyle w:val="ListParagraph"/>
        <w:numPr>
          <w:ilvl w:val="0"/>
          <w:numId w:val="154"/>
        </w:numPr>
        <w:tabs>
          <w:tab w:pos="1717" w:val="left" w:leader="none"/>
        </w:tabs>
        <w:spacing w:line="249" w:lineRule="auto" w:before="3" w:after="0"/>
        <w:ind w:left="1074" w:right="1275" w:firstLine="340"/>
        <w:jc w:val="both"/>
        <w:rPr>
          <w:sz w:val="20"/>
        </w:rPr>
      </w:pPr>
      <w:r>
        <w:rPr>
          <w:sz w:val="20"/>
        </w:rPr>
        <w:t>Las entidades contratantes podrán adquirir obras, suministros o servicios bien recurriendo a contratos adjudicados por una central de compras, bien recurriendo a sistemas dinámicos de adquisición administrados por una central de compras, o bien recurriendo a un acuerdo marco celebrado por una central de compras que ofrezca la actividad de compra centralizada mencionada en el artículo</w:t>
      </w:r>
      <w:r>
        <w:rPr>
          <w:spacing w:val="-5"/>
          <w:sz w:val="20"/>
        </w:rPr>
        <w:t> </w:t>
      </w:r>
      <w:r>
        <w:rPr>
          <w:sz w:val="20"/>
        </w:rPr>
        <w:t>2.m).2.º</w:t>
      </w:r>
    </w:p>
    <w:p>
      <w:pPr>
        <w:pStyle w:val="ListParagraph"/>
        <w:numPr>
          <w:ilvl w:val="0"/>
          <w:numId w:val="154"/>
        </w:numPr>
        <w:tabs>
          <w:tab w:pos="1646" w:val="left" w:leader="none"/>
        </w:tabs>
        <w:spacing w:line="249" w:lineRule="auto" w:before="4" w:after="0"/>
        <w:ind w:left="1074" w:right="1274" w:firstLine="340"/>
        <w:jc w:val="both"/>
        <w:rPr>
          <w:sz w:val="20"/>
        </w:rPr>
      </w:pPr>
      <w:r>
        <w:rPr>
          <w:sz w:val="20"/>
        </w:rPr>
        <w:t>Cuando un sistema dinámico de adquisición administrado por una central de compras pueda ser utilizado por otras entidades contratantes, ello se hará constar en la convocatoria de licitación del sistema dinámico de</w:t>
      </w:r>
      <w:r>
        <w:rPr>
          <w:spacing w:val="-8"/>
          <w:sz w:val="20"/>
        </w:rPr>
        <w:t> </w:t>
      </w:r>
      <w:r>
        <w:rPr>
          <w:sz w:val="20"/>
        </w:rPr>
        <w:t>adquisición.</w:t>
      </w:r>
    </w:p>
    <w:p>
      <w:pPr>
        <w:pStyle w:val="ListParagraph"/>
        <w:numPr>
          <w:ilvl w:val="0"/>
          <w:numId w:val="154"/>
        </w:numPr>
        <w:tabs>
          <w:tab w:pos="1714" w:val="left" w:leader="none"/>
        </w:tabs>
        <w:spacing w:line="249" w:lineRule="auto" w:before="2" w:after="0"/>
        <w:ind w:left="1074" w:right="1274" w:firstLine="340"/>
        <w:jc w:val="both"/>
        <w:rPr>
          <w:sz w:val="20"/>
        </w:rPr>
      </w:pPr>
      <w:r>
        <w:rPr>
          <w:sz w:val="20"/>
        </w:rPr>
        <w:t>Sin perjuicio de lo establecido en el artículo 20.k), las entidades contratantes cumplirán las obligaciones que les impone el presente real decreto-ley en cualesquiera de los supuestos mencionados en los apartados 1 y 2</w:t>
      </w:r>
      <w:r>
        <w:rPr>
          <w:spacing w:val="-10"/>
          <w:sz w:val="20"/>
        </w:rPr>
        <w:t> </w:t>
      </w:r>
      <w:r>
        <w:rPr>
          <w:sz w:val="20"/>
        </w:rPr>
        <w:t>anteriores.</w:t>
      </w:r>
    </w:p>
    <w:p>
      <w:pPr>
        <w:pStyle w:val="BodyText"/>
        <w:spacing w:line="249" w:lineRule="auto" w:before="3"/>
        <w:ind w:right="1274"/>
      </w:pPr>
      <w:r>
        <w:rPr/>
        <w:t>En especial, las entidades contratantes serán responsables del cumplimiento de las obligaciones que les impone el presente real decreto-ley en las partes que ejecuten ellas mismas, tales como:</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155"/>
        </w:numPr>
        <w:tabs>
          <w:tab w:pos="1663" w:val="left" w:leader="none"/>
        </w:tabs>
        <w:spacing w:line="249" w:lineRule="auto" w:before="126" w:after="0"/>
        <w:ind w:left="1074" w:right="1275" w:firstLine="340"/>
        <w:jc w:val="both"/>
        <w:rPr>
          <w:sz w:val="20"/>
        </w:rPr>
      </w:pPr>
      <w:r>
        <w:rPr>
          <w:sz w:val="20"/>
        </w:rPr>
        <w:t>la adjudicación de un contrato mediante un sistema dinámico de adquisición que sea administrado por una central de compras,</w:t>
      </w:r>
      <w:r>
        <w:rPr>
          <w:spacing w:val="-6"/>
          <w:sz w:val="20"/>
        </w:rPr>
        <w:t> </w:t>
      </w:r>
      <w:r>
        <w:rPr>
          <w:sz w:val="20"/>
        </w:rPr>
        <w:t>o</w:t>
      </w:r>
    </w:p>
    <w:p>
      <w:pPr>
        <w:pStyle w:val="ListParagraph"/>
        <w:numPr>
          <w:ilvl w:val="0"/>
          <w:numId w:val="155"/>
        </w:numPr>
        <w:tabs>
          <w:tab w:pos="1653" w:val="left" w:leader="none"/>
        </w:tabs>
        <w:spacing w:line="249" w:lineRule="auto" w:before="2" w:after="0"/>
        <w:ind w:left="1074" w:right="1273" w:firstLine="340"/>
        <w:jc w:val="both"/>
        <w:rPr>
          <w:sz w:val="20"/>
        </w:rPr>
      </w:pPr>
      <w:r>
        <w:rPr>
          <w:sz w:val="20"/>
        </w:rPr>
        <w:t>la convocatoria de una nueva licitación con arreglo a un acuerdo marco que haya sido celebrado por una central de</w:t>
      </w:r>
      <w:r>
        <w:rPr>
          <w:spacing w:val="-4"/>
          <w:sz w:val="20"/>
        </w:rPr>
        <w:t> </w:t>
      </w:r>
      <w:r>
        <w:rPr>
          <w:sz w:val="20"/>
        </w:rPr>
        <w:t>compras.</w:t>
      </w:r>
    </w:p>
    <w:p>
      <w:pPr>
        <w:pStyle w:val="ListParagraph"/>
        <w:numPr>
          <w:ilvl w:val="0"/>
          <w:numId w:val="154"/>
        </w:numPr>
        <w:tabs>
          <w:tab w:pos="1639" w:val="left" w:leader="none"/>
        </w:tabs>
        <w:spacing w:line="249" w:lineRule="auto" w:before="121" w:after="0"/>
        <w:ind w:left="1074" w:right="1274" w:firstLine="340"/>
        <w:jc w:val="both"/>
        <w:rPr>
          <w:sz w:val="20"/>
        </w:rPr>
      </w:pPr>
      <w:r>
        <w:rPr>
          <w:sz w:val="20"/>
        </w:rPr>
        <w:t>Todos los procedimientos de licitación dirigidos por una central de compras se llevarán a cabo utilizando medios de comunicación electrónicos, de conformidad con los requisitos establecidos en el artículo</w:t>
      </w:r>
      <w:r>
        <w:rPr>
          <w:spacing w:val="-5"/>
          <w:sz w:val="20"/>
        </w:rPr>
        <w:t> </w:t>
      </w:r>
      <w:r>
        <w:rPr>
          <w:sz w:val="20"/>
        </w:rPr>
        <w:t>61.</w:t>
      </w:r>
    </w:p>
    <w:p>
      <w:pPr>
        <w:pStyle w:val="BodyText"/>
        <w:spacing w:before="5"/>
        <w:ind w:left="0" w:firstLine="0"/>
        <w:jc w:val="left"/>
      </w:pPr>
    </w:p>
    <w:p>
      <w:pPr>
        <w:spacing w:before="0"/>
        <w:ind w:left="1074" w:right="0" w:firstLine="0"/>
        <w:jc w:val="both"/>
        <w:rPr>
          <w:i/>
          <w:sz w:val="20"/>
        </w:rPr>
      </w:pPr>
      <w:bookmarkStart w:name="Artículo 89. Contratación conjunta espor" w:id="142"/>
      <w:bookmarkEnd w:id="142"/>
      <w:r>
        <w:rPr/>
      </w:r>
      <w:r>
        <w:rPr>
          <w:b/>
          <w:sz w:val="20"/>
        </w:rPr>
        <w:t>Artículo 89. </w:t>
      </w:r>
      <w:r>
        <w:rPr>
          <w:i/>
          <w:sz w:val="20"/>
        </w:rPr>
        <w:t>Contratación conjunta esporádica.</w:t>
      </w:r>
    </w:p>
    <w:p>
      <w:pPr>
        <w:pStyle w:val="ListParagraph"/>
        <w:numPr>
          <w:ilvl w:val="0"/>
          <w:numId w:val="156"/>
        </w:numPr>
        <w:tabs>
          <w:tab w:pos="1710" w:val="left" w:leader="none"/>
        </w:tabs>
        <w:spacing w:line="249" w:lineRule="auto" w:before="118" w:after="0"/>
        <w:ind w:left="1074" w:right="1274" w:firstLine="340"/>
        <w:jc w:val="both"/>
        <w:rPr>
          <w:sz w:val="20"/>
        </w:rPr>
      </w:pPr>
      <w:r>
        <w:rPr>
          <w:sz w:val="20"/>
        </w:rPr>
        <w:t>Dos o varias entidades contratantes podrán acordar la realización conjunta de determinadas contrataciones</w:t>
      </w:r>
      <w:r>
        <w:rPr>
          <w:spacing w:val="-2"/>
          <w:sz w:val="20"/>
        </w:rPr>
        <w:t> </w:t>
      </w:r>
      <w:r>
        <w:rPr>
          <w:sz w:val="20"/>
        </w:rPr>
        <w:t>específicas.</w:t>
      </w:r>
    </w:p>
    <w:p>
      <w:pPr>
        <w:pStyle w:val="ListParagraph"/>
        <w:numPr>
          <w:ilvl w:val="0"/>
          <w:numId w:val="156"/>
        </w:numPr>
        <w:tabs>
          <w:tab w:pos="1647" w:val="left" w:leader="none"/>
        </w:tabs>
        <w:spacing w:line="249" w:lineRule="auto" w:before="2" w:after="0"/>
        <w:ind w:left="1074" w:right="1273" w:firstLine="340"/>
        <w:jc w:val="both"/>
        <w:rPr>
          <w:sz w:val="20"/>
        </w:rPr>
      </w:pPr>
      <w:r>
        <w:rPr>
          <w:sz w:val="20"/>
        </w:rPr>
        <w:t>Cuando el desarrollo de un procedimiento de licitación en su totalidad se lleve a cabo en nombre y por cuenta de todas las entidades contratantes interesadas, estas tendrán la responsabilidad conjunta del cumplimiento de las obligaciones derivadas del presente real decreto-ley. Ello se aplica también en aquellos casos en que una sola entidad contratante administre el procedimiento de licitación por cuenta propia y por cuenta de las demás entidades contratantes</w:t>
      </w:r>
      <w:r>
        <w:rPr>
          <w:spacing w:val="-2"/>
          <w:sz w:val="20"/>
        </w:rPr>
        <w:t> </w:t>
      </w:r>
      <w:r>
        <w:rPr>
          <w:sz w:val="20"/>
        </w:rPr>
        <w:t>interesadas.</w:t>
      </w:r>
    </w:p>
    <w:p>
      <w:pPr>
        <w:pStyle w:val="ListParagraph"/>
        <w:numPr>
          <w:ilvl w:val="0"/>
          <w:numId w:val="156"/>
        </w:numPr>
        <w:tabs>
          <w:tab w:pos="1683" w:val="left" w:leader="none"/>
        </w:tabs>
        <w:spacing w:line="249" w:lineRule="auto" w:before="5" w:after="0"/>
        <w:ind w:left="1074" w:right="1272" w:firstLine="340"/>
        <w:jc w:val="both"/>
        <w:rPr>
          <w:sz w:val="20"/>
        </w:rPr>
      </w:pPr>
      <w:r>
        <w:rPr>
          <w:sz w:val="20"/>
        </w:rPr>
        <w:t>Cuando el desarrollo de un procedimiento de licitación no se lleve a cabo en su totalidad en nombre y por cuenta de las entidades contratantes interesadas, estas solo serán responsables de las partes llevadas a cabo conjuntamente. Cada entidad contratante será la única responsable del cumplimiento de las disposiciones del presente real decreto-ley con respecto a las partes que realice por sí misma y en su propio</w:t>
      </w:r>
      <w:r>
        <w:rPr>
          <w:spacing w:val="-14"/>
          <w:sz w:val="20"/>
        </w:rPr>
        <w:t> </w:t>
      </w:r>
      <w:r>
        <w:rPr>
          <w:sz w:val="20"/>
        </w:rPr>
        <w:t>nombre.</w:t>
      </w:r>
    </w:p>
    <w:p>
      <w:pPr>
        <w:pStyle w:val="BodyText"/>
        <w:spacing w:before="6"/>
        <w:ind w:left="0" w:firstLine="0"/>
        <w:jc w:val="left"/>
      </w:pPr>
    </w:p>
    <w:p>
      <w:pPr>
        <w:spacing w:line="249" w:lineRule="auto" w:before="0"/>
        <w:ind w:left="1074" w:right="1274" w:hanging="1"/>
        <w:jc w:val="both"/>
        <w:rPr>
          <w:i/>
          <w:sz w:val="20"/>
        </w:rPr>
      </w:pPr>
      <w:bookmarkStart w:name="Artículo 90. Contratación con intervenci" w:id="143"/>
      <w:bookmarkEnd w:id="143"/>
      <w:r>
        <w:rPr/>
      </w:r>
      <w:r>
        <w:rPr>
          <w:b/>
          <w:sz w:val="20"/>
        </w:rPr>
        <w:t>Artículo 90. </w:t>
      </w:r>
      <w:r>
        <w:rPr>
          <w:i/>
          <w:sz w:val="20"/>
        </w:rPr>
        <w:t>Contratación con intervención de entidades contratantes de diferentes Estados </w:t>
      </w:r>
      <w:r>
        <w:rPr>
          <w:i/>
          <w:sz w:val="20"/>
        </w:rPr>
        <w:t>miembros de la Unión Europea.</w:t>
      </w:r>
    </w:p>
    <w:p>
      <w:pPr>
        <w:pStyle w:val="ListParagraph"/>
        <w:numPr>
          <w:ilvl w:val="0"/>
          <w:numId w:val="157"/>
        </w:numPr>
        <w:tabs>
          <w:tab w:pos="1675" w:val="left" w:leader="none"/>
        </w:tabs>
        <w:spacing w:line="249" w:lineRule="auto" w:before="110" w:after="0"/>
        <w:ind w:left="1074" w:right="1272" w:firstLine="340"/>
        <w:jc w:val="both"/>
        <w:rPr>
          <w:sz w:val="20"/>
        </w:rPr>
      </w:pPr>
      <w:r>
        <w:rPr>
          <w:sz w:val="20"/>
        </w:rPr>
        <w:t>Las entidades contratantes nacionales podrán actuar conjuntamente con entidades contratantes de otros Estados Miembros de la Unión Europea en la adjudicación de  contratos en los términos previstos en el presente</w:t>
      </w:r>
      <w:r>
        <w:rPr>
          <w:spacing w:val="-10"/>
          <w:sz w:val="20"/>
        </w:rPr>
        <w:t> </w:t>
      </w:r>
      <w:r>
        <w:rPr>
          <w:sz w:val="20"/>
        </w:rPr>
        <w:t>artículo.</w:t>
      </w:r>
    </w:p>
    <w:p>
      <w:pPr>
        <w:pStyle w:val="ListParagraph"/>
        <w:numPr>
          <w:ilvl w:val="0"/>
          <w:numId w:val="157"/>
        </w:numPr>
        <w:tabs>
          <w:tab w:pos="1651" w:val="left" w:leader="none"/>
        </w:tabs>
        <w:spacing w:line="249" w:lineRule="auto" w:before="2" w:after="0"/>
        <w:ind w:left="1074" w:right="1275" w:firstLine="340"/>
        <w:jc w:val="both"/>
        <w:rPr>
          <w:sz w:val="20"/>
        </w:rPr>
      </w:pPr>
      <w:r>
        <w:rPr>
          <w:sz w:val="20"/>
        </w:rPr>
        <w:t>Las entidades contratantes no aplicarán lo dispuesto en este artículo con la intención de eludir la aplicación del presente real</w:t>
      </w:r>
      <w:r>
        <w:rPr>
          <w:spacing w:val="-10"/>
          <w:sz w:val="20"/>
        </w:rPr>
        <w:t> </w:t>
      </w:r>
      <w:r>
        <w:rPr>
          <w:sz w:val="20"/>
        </w:rPr>
        <w:t>decreto-ley.</w:t>
      </w:r>
    </w:p>
    <w:p>
      <w:pPr>
        <w:pStyle w:val="ListParagraph"/>
        <w:numPr>
          <w:ilvl w:val="0"/>
          <w:numId w:val="157"/>
        </w:numPr>
        <w:tabs>
          <w:tab w:pos="1646" w:val="left" w:leader="none"/>
        </w:tabs>
        <w:spacing w:line="249" w:lineRule="auto" w:before="2" w:after="0"/>
        <w:ind w:left="1074" w:right="1273" w:firstLine="340"/>
        <w:jc w:val="both"/>
        <w:rPr>
          <w:sz w:val="20"/>
        </w:rPr>
      </w:pPr>
      <w:r>
        <w:rPr>
          <w:sz w:val="20"/>
        </w:rPr>
        <w:t>Las entidades contratantes podrán recurrir a actividades de compra centralizadas que les sean ofrecidas por centrales de compras situadas en otro Estados miembros de la Unión Europea.</w:t>
      </w:r>
    </w:p>
    <w:p>
      <w:pPr>
        <w:pStyle w:val="ListParagraph"/>
        <w:numPr>
          <w:ilvl w:val="0"/>
          <w:numId w:val="157"/>
        </w:numPr>
        <w:tabs>
          <w:tab w:pos="1656" w:val="left" w:leader="none"/>
        </w:tabs>
        <w:spacing w:line="249" w:lineRule="auto" w:before="2" w:after="0"/>
        <w:ind w:left="1074" w:right="1273" w:firstLine="340"/>
        <w:jc w:val="both"/>
        <w:rPr>
          <w:sz w:val="20"/>
        </w:rPr>
      </w:pPr>
      <w:r>
        <w:rPr>
          <w:sz w:val="20"/>
        </w:rPr>
        <w:t>La prestación de las actividades de compra centralizada por una central de compras situada en otro Estado miembro de la Unión Europea se llevará a cabo de conformidad con las disposiciones nacionales de ese Estado. Estas últimas asimismo se aplicarán a lo siguiente:</w:t>
      </w:r>
    </w:p>
    <w:p>
      <w:pPr>
        <w:pStyle w:val="ListParagraph"/>
        <w:numPr>
          <w:ilvl w:val="0"/>
          <w:numId w:val="158"/>
        </w:numPr>
        <w:tabs>
          <w:tab w:pos="1648" w:val="left" w:leader="none"/>
        </w:tabs>
        <w:spacing w:line="240" w:lineRule="auto" w:before="123" w:after="0"/>
        <w:ind w:left="1647" w:right="0" w:hanging="234"/>
        <w:jc w:val="left"/>
        <w:rPr>
          <w:sz w:val="20"/>
        </w:rPr>
      </w:pPr>
      <w:r>
        <w:rPr>
          <w:sz w:val="20"/>
        </w:rPr>
        <w:t>A la adjudicación de un contrato mediante un sistema dinámico de adquisición,</w:t>
      </w:r>
      <w:r>
        <w:rPr>
          <w:spacing w:val="-17"/>
          <w:sz w:val="20"/>
        </w:rPr>
        <w:t> </w:t>
      </w:r>
      <w:r>
        <w:rPr>
          <w:sz w:val="20"/>
        </w:rPr>
        <w:t>y</w:t>
      </w:r>
    </w:p>
    <w:p>
      <w:pPr>
        <w:pStyle w:val="ListParagraph"/>
        <w:numPr>
          <w:ilvl w:val="0"/>
          <w:numId w:val="158"/>
        </w:numPr>
        <w:tabs>
          <w:tab w:pos="1648" w:val="left" w:leader="none"/>
        </w:tabs>
        <w:spacing w:line="240" w:lineRule="auto" w:before="10" w:after="0"/>
        <w:ind w:left="1647" w:right="0" w:hanging="234"/>
        <w:jc w:val="left"/>
        <w:rPr>
          <w:sz w:val="20"/>
        </w:rPr>
      </w:pPr>
      <w:r>
        <w:rPr>
          <w:sz w:val="20"/>
        </w:rPr>
        <w:t>a la convocatoria de una nueva licitación en virtud de un acuerdo</w:t>
      </w:r>
      <w:r>
        <w:rPr>
          <w:spacing w:val="-16"/>
          <w:sz w:val="20"/>
        </w:rPr>
        <w:t> </w:t>
      </w:r>
      <w:r>
        <w:rPr>
          <w:sz w:val="20"/>
        </w:rPr>
        <w:t>marco.</w:t>
      </w:r>
    </w:p>
    <w:p>
      <w:pPr>
        <w:pStyle w:val="ListParagraph"/>
        <w:numPr>
          <w:ilvl w:val="0"/>
          <w:numId w:val="157"/>
        </w:numPr>
        <w:tabs>
          <w:tab w:pos="1661" w:val="left" w:leader="none"/>
        </w:tabs>
        <w:spacing w:line="249" w:lineRule="auto" w:before="130" w:after="0"/>
        <w:ind w:left="1074" w:right="1273" w:firstLine="340"/>
        <w:jc w:val="both"/>
        <w:rPr>
          <w:sz w:val="20"/>
        </w:rPr>
      </w:pPr>
      <w:r>
        <w:rPr>
          <w:sz w:val="20"/>
        </w:rPr>
        <w:t>Varias entidades contratantes de diferentes Estados miembros de la Unión Europea podrán adjudicar conjuntamente un contrato, celebrar un acuerdo marco, administrar un sistema dinámico de adquisición o adjudicar contratos basados en estos acuerdos marco o en estos sistemas dinámicos de</w:t>
      </w:r>
      <w:r>
        <w:rPr>
          <w:spacing w:val="-6"/>
          <w:sz w:val="20"/>
        </w:rPr>
        <w:t> </w:t>
      </w:r>
      <w:r>
        <w:rPr>
          <w:sz w:val="20"/>
        </w:rPr>
        <w:t>adquisición.</w:t>
      </w:r>
    </w:p>
    <w:p>
      <w:pPr>
        <w:pStyle w:val="BodyText"/>
        <w:spacing w:line="249" w:lineRule="auto" w:before="4"/>
        <w:ind w:right="1274"/>
      </w:pPr>
      <w:r>
        <w:rPr/>
        <w:t>Con esta finalidad, y salvo acuerdo internacional celebrado entre los Estados miembros interesados que regule los elementos necesarios, las entidades contratantes participantes celebrarán un acuerdo que determine:</w:t>
      </w:r>
    </w:p>
    <w:p>
      <w:pPr>
        <w:pStyle w:val="ListParagraph"/>
        <w:numPr>
          <w:ilvl w:val="0"/>
          <w:numId w:val="159"/>
        </w:numPr>
        <w:tabs>
          <w:tab w:pos="1667" w:val="left" w:leader="none"/>
        </w:tabs>
        <w:spacing w:line="249" w:lineRule="auto" w:before="122" w:after="0"/>
        <w:ind w:left="1074" w:right="1274" w:firstLine="340"/>
        <w:jc w:val="both"/>
        <w:rPr>
          <w:sz w:val="20"/>
        </w:rPr>
      </w:pPr>
      <w:r>
        <w:rPr>
          <w:sz w:val="20"/>
        </w:rPr>
        <w:t>Las responsabilidades de las partes y las correspondientes disposiciones nacionales que son de aplicación,</w:t>
      </w:r>
      <w:r>
        <w:rPr>
          <w:spacing w:val="-4"/>
          <w:sz w:val="20"/>
        </w:rPr>
        <w:t> </w:t>
      </w:r>
      <w:r>
        <w:rPr>
          <w:sz w:val="20"/>
        </w:rPr>
        <w:t>y</w:t>
      </w:r>
    </w:p>
    <w:p>
      <w:pPr>
        <w:pStyle w:val="ListParagraph"/>
        <w:numPr>
          <w:ilvl w:val="0"/>
          <w:numId w:val="159"/>
        </w:numPr>
        <w:tabs>
          <w:tab w:pos="1686" w:val="left" w:leader="none"/>
        </w:tabs>
        <w:spacing w:line="249" w:lineRule="auto" w:before="2" w:after="0"/>
        <w:ind w:left="1074" w:right="1275" w:firstLine="340"/>
        <w:jc w:val="both"/>
        <w:rPr>
          <w:sz w:val="20"/>
        </w:rPr>
      </w:pPr>
      <w:r>
        <w:rPr>
          <w:sz w:val="20"/>
        </w:rPr>
        <w:t>la organización interna del procedimiento de licitación, en particular: la gestión del procedimiento, la distribución de las obras, los suministros o los servicios que se vayan a adquirir y la celebración de los</w:t>
      </w:r>
      <w:r>
        <w:rPr>
          <w:spacing w:val="-5"/>
          <w:sz w:val="20"/>
        </w:rPr>
        <w:t> </w:t>
      </w:r>
      <w:r>
        <w:rPr>
          <w:sz w:val="20"/>
        </w:rPr>
        <w:t>contratos.</w:t>
      </w:r>
    </w:p>
    <w:p>
      <w:pPr>
        <w:pStyle w:val="BodyText"/>
        <w:spacing w:line="249" w:lineRule="auto" w:before="122"/>
        <w:ind w:right="1274"/>
      </w:pPr>
      <w:r>
        <w:rPr/>
        <w:t>Una entidad contratante participante cumplirá con las obligaciones que le impone el presente real decreto-ley cuando adquiera obras, suministros o servicios de una entidad contratante que sea responsable del procedimiento de licitación.</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Cuando, de conformidad con la letra a) anterior, se determinen las responsabilidades y las disposiciones nacionales aplicables, las entidades contratantes participantes podrán optar por asignar responsabilidades específicas entre ellas y determinar las disposiciones aplicables de Derecho nacional de cualesquiera de sus respectivos Estados. La asignación de responsabilidades y las correspondientes disposiciones nacionales aplicables se indicarán en los pliegos de condiciones respecto de los contratos que se adjudicarán de forma conjunta.</w:t>
      </w:r>
    </w:p>
    <w:p>
      <w:pPr>
        <w:pStyle w:val="ListParagraph"/>
        <w:numPr>
          <w:ilvl w:val="0"/>
          <w:numId w:val="157"/>
        </w:numPr>
        <w:tabs>
          <w:tab w:pos="1669" w:val="left" w:leader="none"/>
        </w:tabs>
        <w:spacing w:line="249" w:lineRule="auto" w:before="5" w:after="0"/>
        <w:ind w:left="1074" w:right="1272" w:firstLine="340"/>
        <w:jc w:val="both"/>
        <w:rPr>
          <w:sz w:val="20"/>
        </w:rPr>
      </w:pPr>
      <w:r>
        <w:rPr>
          <w:sz w:val="20"/>
        </w:rPr>
        <w:t>Cuando varias entidades contratantes de diferentes Estados miembros de la Unión Europea hayan constituido una entidad común, en particular una agrupación europea de cooperación territorial en virtud del Reglamento (CE) n.º 1082/2006 del Parlamento Europeo y del Consejo, de 5 de julio de 2006, sobre la Agrupación europea de cooperación territorial (AECT), u otras entidades reguladas por el Derecho de la Unión Europea, las entidades contratantes participantes acordarán, mediante una decisión del órgano competente de la entidad común, las normas nacionales de contratación aplicables de uno de los siguientes Estados:</w:t>
      </w:r>
    </w:p>
    <w:p>
      <w:pPr>
        <w:pStyle w:val="ListParagraph"/>
        <w:numPr>
          <w:ilvl w:val="0"/>
          <w:numId w:val="160"/>
        </w:numPr>
        <w:tabs>
          <w:tab w:pos="1670" w:val="left" w:leader="none"/>
        </w:tabs>
        <w:spacing w:line="249" w:lineRule="auto" w:before="127" w:after="0"/>
        <w:ind w:left="1074" w:right="1273" w:firstLine="340"/>
        <w:jc w:val="both"/>
        <w:rPr>
          <w:sz w:val="20"/>
        </w:rPr>
      </w:pPr>
      <w:r>
        <w:rPr>
          <w:sz w:val="20"/>
        </w:rPr>
        <w:t>Las disposiciones nacionales del Estado miembro de la Unión Europea en el que la entidad común tenga su domicilio social,</w:t>
      </w:r>
      <w:r>
        <w:rPr>
          <w:spacing w:val="-3"/>
          <w:sz w:val="20"/>
        </w:rPr>
        <w:t> </w:t>
      </w:r>
      <w:r>
        <w:rPr>
          <w:sz w:val="20"/>
        </w:rPr>
        <w:t>y</w:t>
      </w:r>
    </w:p>
    <w:p>
      <w:pPr>
        <w:pStyle w:val="ListParagraph"/>
        <w:numPr>
          <w:ilvl w:val="0"/>
          <w:numId w:val="160"/>
        </w:numPr>
        <w:tabs>
          <w:tab w:pos="1675" w:val="left" w:leader="none"/>
        </w:tabs>
        <w:spacing w:line="249" w:lineRule="auto" w:before="2" w:after="0"/>
        <w:ind w:left="1074" w:right="1273" w:firstLine="340"/>
        <w:jc w:val="both"/>
        <w:rPr>
          <w:sz w:val="20"/>
        </w:rPr>
      </w:pPr>
      <w:r>
        <w:rPr>
          <w:sz w:val="20"/>
        </w:rPr>
        <w:t>las disposiciones nacionales del Estado miembro de la Unión Europea en el que la entidad común lleve a cabo sus</w:t>
      </w:r>
      <w:r>
        <w:rPr>
          <w:spacing w:val="-5"/>
          <w:sz w:val="20"/>
        </w:rPr>
        <w:t> </w:t>
      </w:r>
      <w:r>
        <w:rPr>
          <w:sz w:val="20"/>
        </w:rPr>
        <w:t>actividades.</w:t>
      </w:r>
    </w:p>
    <w:p>
      <w:pPr>
        <w:pStyle w:val="BodyText"/>
        <w:spacing w:line="249" w:lineRule="auto" w:before="121"/>
        <w:ind w:right="1274"/>
      </w:pPr>
      <w:r>
        <w:rPr/>
        <w:t>El acuerdo mencionado en el párrafo primero podrá aplicarse durante un período indeterminado, cuando esté incorporado en el acto de constitución de la entidad común, o bien limitarse a un período determinado, a determinados tipos de contratos o a uno o varios procedimientos de licitación específicos.</w:t>
      </w:r>
    </w:p>
    <w:p>
      <w:pPr>
        <w:pStyle w:val="BodyText"/>
        <w:spacing w:before="6"/>
        <w:ind w:left="0" w:firstLine="0"/>
        <w:jc w:val="left"/>
      </w:pPr>
    </w:p>
    <w:p>
      <w:pPr>
        <w:spacing w:before="0"/>
        <w:ind w:left="1074" w:right="0" w:firstLine="0"/>
        <w:jc w:val="both"/>
        <w:rPr>
          <w:i/>
          <w:sz w:val="20"/>
        </w:rPr>
      </w:pPr>
      <w:bookmarkStart w:name="Artículo 91. Contratos y acuerdos marco " w:id="144"/>
      <w:bookmarkEnd w:id="144"/>
      <w:r>
        <w:rPr/>
      </w:r>
      <w:r>
        <w:rPr>
          <w:b/>
          <w:sz w:val="20"/>
        </w:rPr>
        <w:t>Artículo 91. </w:t>
      </w:r>
      <w:r>
        <w:rPr>
          <w:i/>
          <w:sz w:val="20"/>
        </w:rPr>
        <w:t>Contratos y acuerdos marco celebrados con las centrales de compras.</w:t>
      </w:r>
    </w:p>
    <w:p>
      <w:pPr>
        <w:pStyle w:val="ListParagraph"/>
        <w:numPr>
          <w:ilvl w:val="0"/>
          <w:numId w:val="161"/>
        </w:numPr>
        <w:tabs>
          <w:tab w:pos="1654" w:val="left" w:leader="none"/>
        </w:tabs>
        <w:spacing w:line="249" w:lineRule="auto" w:before="118" w:after="0"/>
        <w:ind w:left="1074" w:right="1273" w:firstLine="340"/>
        <w:jc w:val="both"/>
        <w:rPr>
          <w:sz w:val="20"/>
        </w:rPr>
      </w:pPr>
      <w:r>
        <w:rPr>
          <w:sz w:val="20"/>
        </w:rPr>
        <w:t>Se considerará que las entidades contratantes que contraten la realización de obras, la adquisición de suministros o la prestación de servicios por medio de una central de compras, en los supuestos regulado en este real decreto-ley, han respetado</w:t>
      </w:r>
      <w:r>
        <w:rPr>
          <w:spacing w:val="22"/>
          <w:sz w:val="20"/>
        </w:rPr>
        <w:t> </w:t>
      </w:r>
      <w:r>
        <w:rPr>
          <w:sz w:val="20"/>
        </w:rPr>
        <w:t>las disposiciones de esta última siempre que la central de compras cumpla tales disposiciones  o, en su caso, lo dispuesto en la Ley 9/2017, de 8 de</w:t>
      </w:r>
      <w:r>
        <w:rPr>
          <w:spacing w:val="-19"/>
          <w:sz w:val="20"/>
        </w:rPr>
        <w:t> </w:t>
      </w:r>
      <w:r>
        <w:rPr>
          <w:sz w:val="20"/>
        </w:rPr>
        <w:t>noviembre.</w:t>
      </w:r>
    </w:p>
    <w:p>
      <w:pPr>
        <w:pStyle w:val="ListParagraph"/>
        <w:numPr>
          <w:ilvl w:val="0"/>
          <w:numId w:val="161"/>
        </w:numPr>
        <w:tabs>
          <w:tab w:pos="1640" w:val="left" w:leader="none"/>
        </w:tabs>
        <w:spacing w:line="249" w:lineRule="auto" w:before="4" w:after="0"/>
        <w:ind w:left="1074" w:right="1274" w:firstLine="340"/>
        <w:jc w:val="both"/>
        <w:rPr>
          <w:sz w:val="20"/>
        </w:rPr>
      </w:pPr>
      <w:r>
        <w:rPr>
          <w:sz w:val="20"/>
        </w:rPr>
        <w:t>En ningún caso las entidades contratantes se considerarán incluidas dentro del ámbito subjetivo obligatorio del sistema estatal de contratación centralizada a que se refiere la Ley 9/2017, de 8 de noviembre, sin perjuicio de la posibilidad de adhesión al</w:t>
      </w:r>
      <w:r>
        <w:rPr>
          <w:spacing w:val="-29"/>
          <w:sz w:val="20"/>
        </w:rPr>
        <w:t> </w:t>
      </w:r>
      <w:r>
        <w:rPr>
          <w:sz w:val="20"/>
        </w:rPr>
        <w:t>mismo.</w:t>
      </w:r>
    </w:p>
    <w:p>
      <w:pPr>
        <w:pStyle w:val="BodyText"/>
        <w:spacing w:before="5"/>
        <w:ind w:left="0" w:firstLine="0"/>
        <w:jc w:val="left"/>
      </w:pPr>
    </w:p>
    <w:p>
      <w:pPr>
        <w:pStyle w:val="Heading2"/>
        <w:ind w:left="2929"/>
        <w:rPr>
          <w:i/>
        </w:rPr>
      </w:pPr>
      <w:bookmarkStart w:name="Sección 2.ª Acuerdos marco" w:id="145"/>
      <w:bookmarkEnd w:id="145"/>
      <w:r>
        <w:rPr>
          <w:b w:val="0"/>
          <w:i w:val="0"/>
        </w:rPr>
      </w:r>
      <w:bookmarkStart w:name="_bookmark26" w:id="146"/>
      <w:bookmarkEnd w:id="146"/>
      <w:r>
        <w:rPr>
          <w:b w:val="0"/>
          <w:i w:val="0"/>
        </w:rPr>
      </w:r>
      <w:r>
        <w:rPr>
          <w:i/>
        </w:rPr>
        <w:t>Sección 2.ª Acuerdos marco</w:t>
      </w:r>
    </w:p>
    <w:p>
      <w:pPr>
        <w:pStyle w:val="BodyText"/>
        <w:spacing w:before="5"/>
        <w:ind w:left="0" w:firstLine="0"/>
        <w:jc w:val="left"/>
        <w:rPr>
          <w:b/>
          <w:i/>
          <w:sz w:val="30"/>
        </w:rPr>
      </w:pPr>
    </w:p>
    <w:p>
      <w:pPr>
        <w:spacing w:before="0"/>
        <w:ind w:left="1074" w:right="0" w:firstLine="0"/>
        <w:jc w:val="both"/>
        <w:rPr>
          <w:i/>
          <w:sz w:val="20"/>
        </w:rPr>
      </w:pPr>
      <w:bookmarkStart w:name="Artículo 92. Acuerdos marco." w:id="147"/>
      <w:bookmarkEnd w:id="147"/>
      <w:r>
        <w:rPr/>
      </w:r>
      <w:r>
        <w:rPr>
          <w:b/>
          <w:sz w:val="20"/>
        </w:rPr>
        <w:t>Artículo 92. </w:t>
      </w:r>
      <w:r>
        <w:rPr>
          <w:i/>
          <w:sz w:val="20"/>
        </w:rPr>
        <w:t>Acuerdos marco.</w:t>
      </w:r>
    </w:p>
    <w:p>
      <w:pPr>
        <w:pStyle w:val="ListParagraph"/>
        <w:numPr>
          <w:ilvl w:val="0"/>
          <w:numId w:val="162"/>
        </w:numPr>
        <w:tabs>
          <w:tab w:pos="1689" w:val="left" w:leader="none"/>
        </w:tabs>
        <w:spacing w:line="249" w:lineRule="auto" w:before="118" w:after="0"/>
        <w:ind w:left="1074" w:right="1274" w:firstLine="340"/>
        <w:jc w:val="both"/>
        <w:rPr>
          <w:sz w:val="20"/>
        </w:rPr>
      </w:pPr>
      <w:r>
        <w:rPr>
          <w:sz w:val="20"/>
        </w:rPr>
        <w:t>Las entidades contratantes podrán celebrar acuerdos marco, a condición de que apliquen los procedimientos previstos en el presente real</w:t>
      </w:r>
      <w:r>
        <w:rPr>
          <w:spacing w:val="-16"/>
          <w:sz w:val="20"/>
        </w:rPr>
        <w:t> </w:t>
      </w:r>
      <w:r>
        <w:rPr>
          <w:sz w:val="20"/>
        </w:rPr>
        <w:t>decreto-ley.</w:t>
      </w:r>
    </w:p>
    <w:p>
      <w:pPr>
        <w:pStyle w:val="ListParagraph"/>
        <w:numPr>
          <w:ilvl w:val="0"/>
          <w:numId w:val="162"/>
        </w:numPr>
        <w:tabs>
          <w:tab w:pos="1650" w:val="left" w:leader="none"/>
        </w:tabs>
        <w:spacing w:line="249" w:lineRule="auto" w:before="1" w:after="0"/>
        <w:ind w:left="1074" w:right="1273" w:firstLine="340"/>
        <w:jc w:val="both"/>
        <w:rPr>
          <w:sz w:val="20"/>
        </w:rPr>
      </w:pPr>
      <w:r>
        <w:rPr>
          <w:sz w:val="20"/>
        </w:rPr>
        <w:t>A los efectos de este real decreto-ley por «acuerdo marco» se entenderá un acuerdo celebrado entre una o varias entidades contratantes y uno o varios operadores económicos, que tenga por objeto establecer los términos que deberán regir los contratos que se hayan de adjudicar en el transcurso de un período determinado, en particular por lo que respecta a los precios y, en su caso, a las cantidades</w:t>
      </w:r>
      <w:r>
        <w:rPr>
          <w:spacing w:val="-8"/>
          <w:sz w:val="20"/>
        </w:rPr>
        <w:t> </w:t>
      </w:r>
      <w:r>
        <w:rPr>
          <w:sz w:val="20"/>
        </w:rPr>
        <w:t>previstas.</w:t>
      </w:r>
    </w:p>
    <w:p>
      <w:pPr>
        <w:pStyle w:val="ListParagraph"/>
        <w:numPr>
          <w:ilvl w:val="0"/>
          <w:numId w:val="162"/>
        </w:numPr>
        <w:tabs>
          <w:tab w:pos="1700" w:val="left" w:leader="none"/>
        </w:tabs>
        <w:spacing w:line="249" w:lineRule="auto" w:before="4" w:after="0"/>
        <w:ind w:left="1074" w:right="1274" w:firstLine="340"/>
        <w:jc w:val="both"/>
        <w:rPr>
          <w:sz w:val="20"/>
        </w:rPr>
      </w:pPr>
      <w:r>
        <w:rPr>
          <w:sz w:val="20"/>
        </w:rPr>
        <w:t>La duración de un acuerdo marco no superará los ocho años, salvo en casos excepcionales debidamente justificados, en particular por el objeto del acuerdo</w:t>
      </w:r>
      <w:r>
        <w:rPr>
          <w:spacing w:val="-37"/>
          <w:sz w:val="20"/>
        </w:rPr>
        <w:t> </w:t>
      </w:r>
      <w:r>
        <w:rPr>
          <w:sz w:val="20"/>
        </w:rPr>
        <w:t>marco.</w:t>
      </w:r>
    </w:p>
    <w:p>
      <w:pPr>
        <w:pStyle w:val="ListParagraph"/>
        <w:numPr>
          <w:ilvl w:val="0"/>
          <w:numId w:val="162"/>
        </w:numPr>
        <w:tabs>
          <w:tab w:pos="1658" w:val="left" w:leader="none"/>
        </w:tabs>
        <w:spacing w:line="249" w:lineRule="auto" w:before="2" w:after="0"/>
        <w:ind w:left="1074" w:right="1274" w:firstLine="340"/>
        <w:jc w:val="both"/>
        <w:rPr>
          <w:sz w:val="20"/>
        </w:rPr>
      </w:pPr>
      <w:r>
        <w:rPr>
          <w:sz w:val="20"/>
        </w:rPr>
        <w:t>Los contratos basados en un acuerdo marco se adjudicarán con arreglo a normas y criterios objetivos, entre los que podrán figurar la convocatoria de una nueva licitación entre los operadores económicos que sean partes en el acuerdo marco celebrado. Estas normas y criterios se indicarán en los pliegos de condiciones del acuerdo marco, y garantizarán una igualdad de trato de los operadores económicos que sean parte del</w:t>
      </w:r>
      <w:r>
        <w:rPr>
          <w:spacing w:val="-19"/>
          <w:sz w:val="20"/>
        </w:rPr>
        <w:t> </w:t>
      </w:r>
      <w:r>
        <w:rPr>
          <w:sz w:val="20"/>
        </w:rPr>
        <w:t>mismo.</w:t>
      </w:r>
    </w:p>
    <w:p>
      <w:pPr>
        <w:pStyle w:val="BodyText"/>
        <w:spacing w:line="249" w:lineRule="auto" w:before="4"/>
        <w:ind w:right="1272"/>
      </w:pPr>
      <w:r>
        <w:rPr/>
        <w:t>Cuando se convoque una nueva licitación, las entidades contratantes fijarán un plazo suficientemente amplio para que puedan presentarse ofertas para cada contrato específico,  y las mismas adjudicarán cada contrato al licitador que haya presentado la mejor oferta en función de los criterios de adjudicación fijados en el pliego de condiciones del acuerdo marco.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62"/>
        </w:numPr>
        <w:tabs>
          <w:tab w:pos="1663" w:val="left" w:leader="none"/>
        </w:tabs>
        <w:spacing w:line="249" w:lineRule="auto" w:before="127" w:after="0"/>
        <w:ind w:left="1074" w:right="1274" w:firstLine="340"/>
        <w:jc w:val="both"/>
        <w:rPr>
          <w:sz w:val="20"/>
        </w:rPr>
      </w:pPr>
      <w:r>
        <w:rPr>
          <w:sz w:val="20"/>
        </w:rPr>
        <w:t>Las entidades contratantes no utilizarán los acuerdos marco de forma abusiva o de manera que la competencia se vea obstaculizada, restringida o</w:t>
      </w:r>
      <w:r>
        <w:rPr>
          <w:spacing w:val="-12"/>
          <w:sz w:val="20"/>
        </w:rPr>
        <w:t> </w:t>
      </w:r>
      <w:r>
        <w:rPr>
          <w:sz w:val="20"/>
        </w:rPr>
        <w:t>distorsionada.</w:t>
      </w:r>
    </w:p>
    <w:p>
      <w:pPr>
        <w:pStyle w:val="BodyText"/>
        <w:spacing w:before="4"/>
        <w:ind w:left="0" w:firstLine="0"/>
        <w:jc w:val="left"/>
      </w:pPr>
    </w:p>
    <w:p>
      <w:pPr>
        <w:pStyle w:val="Heading2"/>
        <w:ind w:left="2930"/>
        <w:rPr>
          <w:i/>
        </w:rPr>
      </w:pPr>
      <w:bookmarkStart w:name="Sección 3.ª Sistemas dinámicos de adquis" w:id="148"/>
      <w:bookmarkEnd w:id="148"/>
      <w:r>
        <w:rPr>
          <w:b w:val="0"/>
          <w:i w:val="0"/>
        </w:rPr>
      </w:r>
      <w:bookmarkStart w:name="_bookmark27" w:id="149"/>
      <w:bookmarkEnd w:id="149"/>
      <w:r>
        <w:rPr>
          <w:b w:val="0"/>
          <w:i w:val="0"/>
        </w:rPr>
      </w:r>
      <w:r>
        <w:rPr>
          <w:i/>
        </w:rPr>
        <w:t>Sección 3.ª Sistemas dinámicos de adquisición</w:t>
      </w:r>
    </w:p>
    <w:p>
      <w:pPr>
        <w:pStyle w:val="BodyText"/>
        <w:spacing w:before="5"/>
        <w:ind w:left="0" w:firstLine="0"/>
        <w:jc w:val="left"/>
        <w:rPr>
          <w:b/>
          <w:i/>
          <w:sz w:val="30"/>
        </w:rPr>
      </w:pPr>
    </w:p>
    <w:p>
      <w:pPr>
        <w:spacing w:before="0"/>
        <w:ind w:left="1074" w:right="0" w:firstLine="0"/>
        <w:jc w:val="both"/>
        <w:rPr>
          <w:i/>
          <w:sz w:val="20"/>
        </w:rPr>
      </w:pPr>
      <w:bookmarkStart w:name="Artículo 93. Delimitación." w:id="150"/>
      <w:bookmarkEnd w:id="150"/>
      <w:r>
        <w:rPr/>
      </w:r>
      <w:r>
        <w:rPr>
          <w:b/>
          <w:sz w:val="20"/>
        </w:rPr>
        <w:t>Artículo 93.</w:t>
      </w:r>
      <w:r>
        <w:rPr>
          <w:b/>
          <w:spacing w:val="54"/>
          <w:sz w:val="20"/>
        </w:rPr>
        <w:t> </w:t>
      </w:r>
      <w:r>
        <w:rPr>
          <w:i/>
          <w:sz w:val="20"/>
        </w:rPr>
        <w:t>Delimitación.</w:t>
      </w:r>
    </w:p>
    <w:p>
      <w:pPr>
        <w:pStyle w:val="ListParagraph"/>
        <w:numPr>
          <w:ilvl w:val="0"/>
          <w:numId w:val="163"/>
        </w:numPr>
        <w:tabs>
          <w:tab w:pos="1683" w:val="left" w:leader="none"/>
        </w:tabs>
        <w:spacing w:line="249" w:lineRule="auto" w:before="118" w:after="0"/>
        <w:ind w:left="1074" w:right="1273" w:firstLine="340"/>
        <w:jc w:val="both"/>
        <w:rPr>
          <w:sz w:val="20"/>
        </w:rPr>
      </w:pPr>
      <w:r>
        <w:rPr>
          <w:sz w:val="20"/>
        </w:rPr>
        <w:t>Las entidades contratantes podrán articular sistemas dinámicos de adquisición de obras, servicios y suministros de uso corriente cuyas características, generalmente disponibles en el mercado, satisfagan sus</w:t>
      </w:r>
      <w:r>
        <w:rPr>
          <w:spacing w:val="-6"/>
          <w:sz w:val="20"/>
        </w:rPr>
        <w:t> </w:t>
      </w:r>
      <w:r>
        <w:rPr>
          <w:sz w:val="20"/>
        </w:rPr>
        <w:t>necesidades.</w:t>
      </w:r>
    </w:p>
    <w:p>
      <w:pPr>
        <w:pStyle w:val="ListParagraph"/>
        <w:numPr>
          <w:ilvl w:val="0"/>
          <w:numId w:val="163"/>
        </w:numPr>
        <w:tabs>
          <w:tab w:pos="1675" w:val="left" w:leader="none"/>
        </w:tabs>
        <w:spacing w:line="249" w:lineRule="auto" w:before="2" w:after="0"/>
        <w:ind w:left="1074" w:right="1272" w:firstLine="340"/>
        <w:jc w:val="both"/>
        <w:rPr>
          <w:sz w:val="20"/>
        </w:rPr>
      </w:pPr>
      <w:r>
        <w:rPr>
          <w:sz w:val="20"/>
        </w:rPr>
        <w:t>El sistema dinámico de adquisición es un proceso totalmente electrónico, con una duración limitada y determinada en los pliegos de condiciones, y debe estar abierto durante todo el período de vigencia a cualquier empresa interesada que cumpla los criterios de selección.</w:t>
      </w:r>
    </w:p>
    <w:p>
      <w:pPr>
        <w:pStyle w:val="ListParagraph"/>
        <w:numPr>
          <w:ilvl w:val="0"/>
          <w:numId w:val="163"/>
        </w:numPr>
        <w:tabs>
          <w:tab w:pos="1678" w:val="left" w:leader="none"/>
        </w:tabs>
        <w:spacing w:line="249" w:lineRule="auto" w:before="3" w:after="0"/>
        <w:ind w:left="1074" w:right="1274" w:firstLine="340"/>
        <w:jc w:val="both"/>
        <w:rPr>
          <w:sz w:val="20"/>
        </w:rPr>
      </w:pPr>
      <w:r>
        <w:rPr>
          <w:sz w:val="20"/>
        </w:rPr>
        <w:t>Las entidades contratantes podrán articular el sistema dinámico de adquisición en categorías definidas objetivamente de productos, obras o</w:t>
      </w:r>
      <w:r>
        <w:rPr>
          <w:spacing w:val="-11"/>
          <w:sz w:val="20"/>
        </w:rPr>
        <w:t> </w:t>
      </w:r>
      <w:r>
        <w:rPr>
          <w:sz w:val="20"/>
        </w:rPr>
        <w:t>servicios.</w:t>
      </w:r>
    </w:p>
    <w:p>
      <w:pPr>
        <w:pStyle w:val="BodyText"/>
        <w:spacing w:line="249" w:lineRule="auto"/>
        <w:ind w:right="1274"/>
      </w:pPr>
      <w:r>
        <w:rPr/>
        <w:t>A los efectos del párrafo anterior se entenderá que son criterios objetivos válidos para definir las categorías, entre otros, el volumen máximo admisible de contratos que la entidad contratante prevea adjudicar en el marco del sistema, o la zona geográfica específica donde vayan a ejecutarse estos contratos específicos.</w:t>
      </w:r>
    </w:p>
    <w:p>
      <w:pPr>
        <w:pStyle w:val="ListParagraph"/>
        <w:numPr>
          <w:ilvl w:val="0"/>
          <w:numId w:val="163"/>
        </w:numPr>
        <w:tabs>
          <w:tab w:pos="1692" w:val="left" w:leader="none"/>
        </w:tabs>
        <w:spacing w:line="249" w:lineRule="auto" w:before="3" w:after="0"/>
        <w:ind w:left="1074" w:right="1274" w:firstLine="340"/>
        <w:jc w:val="both"/>
        <w:rPr>
          <w:sz w:val="20"/>
        </w:rPr>
      </w:pPr>
      <w:r>
        <w:rPr>
          <w:sz w:val="20"/>
        </w:rPr>
        <w:t>Las entidades contratantes no podrán recurrir a este sistema de manera que</w:t>
      </w:r>
      <w:r>
        <w:rPr>
          <w:spacing w:val="20"/>
          <w:sz w:val="20"/>
        </w:rPr>
        <w:t> </w:t>
      </w:r>
      <w:r>
        <w:rPr>
          <w:sz w:val="20"/>
        </w:rPr>
        <w:t>la competencia se vea obstaculizada, restringida o</w:t>
      </w:r>
      <w:r>
        <w:rPr>
          <w:spacing w:val="-4"/>
          <w:sz w:val="20"/>
        </w:rPr>
        <w:t> </w:t>
      </w:r>
      <w:r>
        <w:rPr>
          <w:sz w:val="20"/>
        </w:rPr>
        <w:t>falseada.</w:t>
      </w:r>
    </w:p>
    <w:p>
      <w:pPr>
        <w:pStyle w:val="BodyText"/>
        <w:spacing w:before="4"/>
        <w:ind w:left="0" w:firstLine="0"/>
        <w:jc w:val="left"/>
      </w:pPr>
    </w:p>
    <w:p>
      <w:pPr>
        <w:spacing w:before="1"/>
        <w:ind w:left="1074" w:right="0" w:firstLine="0"/>
        <w:jc w:val="both"/>
        <w:rPr>
          <w:i/>
          <w:sz w:val="20"/>
        </w:rPr>
      </w:pPr>
      <w:bookmarkStart w:name="Artículo 94. Reglas aplicables a los sis" w:id="151"/>
      <w:bookmarkEnd w:id="151"/>
      <w:r>
        <w:rPr/>
      </w:r>
      <w:r>
        <w:rPr>
          <w:b/>
          <w:sz w:val="20"/>
        </w:rPr>
        <w:t>Artículo 94. </w:t>
      </w:r>
      <w:r>
        <w:rPr>
          <w:i/>
          <w:sz w:val="20"/>
        </w:rPr>
        <w:t>Reglas aplicables a los sistemas dinámicos de adquisición.</w:t>
      </w:r>
    </w:p>
    <w:p>
      <w:pPr>
        <w:pStyle w:val="ListParagraph"/>
        <w:numPr>
          <w:ilvl w:val="0"/>
          <w:numId w:val="164"/>
        </w:numPr>
        <w:tabs>
          <w:tab w:pos="1685" w:val="left" w:leader="none"/>
        </w:tabs>
        <w:spacing w:line="249" w:lineRule="auto" w:before="117" w:after="0"/>
        <w:ind w:left="1074" w:right="1274" w:firstLine="340"/>
        <w:jc w:val="both"/>
        <w:rPr>
          <w:sz w:val="20"/>
        </w:rPr>
      </w:pPr>
      <w:r>
        <w:rPr>
          <w:sz w:val="20"/>
        </w:rPr>
        <w:t>Para contratar en el marco de un sistema dinámico de adquisición las entidades contratantes seguirán las normas del procedimiento restringido, con las especialidades que se establecen en este</w:t>
      </w:r>
      <w:r>
        <w:rPr>
          <w:spacing w:val="-4"/>
          <w:sz w:val="20"/>
        </w:rPr>
        <w:t> </w:t>
      </w:r>
      <w:r>
        <w:rPr>
          <w:sz w:val="20"/>
        </w:rPr>
        <w:t>capítulo.</w:t>
      </w:r>
    </w:p>
    <w:p>
      <w:pPr>
        <w:pStyle w:val="ListParagraph"/>
        <w:numPr>
          <w:ilvl w:val="0"/>
          <w:numId w:val="164"/>
        </w:numPr>
        <w:tabs>
          <w:tab w:pos="1682" w:val="left" w:leader="none"/>
        </w:tabs>
        <w:spacing w:line="249" w:lineRule="auto" w:before="3" w:after="0"/>
        <w:ind w:left="1074" w:right="1274" w:firstLine="340"/>
        <w:jc w:val="both"/>
        <w:rPr>
          <w:sz w:val="20"/>
        </w:rPr>
      </w:pPr>
      <w:r>
        <w:rPr>
          <w:sz w:val="20"/>
        </w:rPr>
        <w:t>Serán admitidos en el sistema todos los solicitantes que cumplan los criterios de selección, sin que pueda limitarse el número de candidatos admisibles en el</w:t>
      </w:r>
      <w:r>
        <w:rPr>
          <w:spacing w:val="-24"/>
          <w:sz w:val="20"/>
        </w:rPr>
        <w:t> </w:t>
      </w:r>
      <w:r>
        <w:rPr>
          <w:sz w:val="20"/>
        </w:rPr>
        <w:t>sistema.</w:t>
      </w:r>
    </w:p>
    <w:p>
      <w:pPr>
        <w:pStyle w:val="ListParagraph"/>
        <w:numPr>
          <w:ilvl w:val="0"/>
          <w:numId w:val="164"/>
        </w:numPr>
        <w:tabs>
          <w:tab w:pos="1709" w:val="left" w:leader="none"/>
        </w:tabs>
        <w:spacing w:line="249" w:lineRule="auto" w:before="1" w:after="0"/>
        <w:ind w:left="1074" w:right="1274" w:firstLine="340"/>
        <w:jc w:val="both"/>
        <w:rPr>
          <w:sz w:val="20"/>
        </w:rPr>
      </w:pPr>
      <w:r>
        <w:rPr>
          <w:sz w:val="20"/>
        </w:rPr>
        <w:t>Cuando las entidades contratantes hayan dividido el sistema en categorías de productos, obras o servicios conforme a lo dispuesto en el artículo anterior, especificarán los criterios de selección que se apliquen a cada</w:t>
      </w:r>
      <w:r>
        <w:rPr>
          <w:spacing w:val="-6"/>
          <w:sz w:val="20"/>
        </w:rPr>
        <w:t> </w:t>
      </w:r>
      <w:r>
        <w:rPr>
          <w:sz w:val="20"/>
        </w:rPr>
        <w:t>categoría.</w:t>
      </w:r>
    </w:p>
    <w:p>
      <w:pPr>
        <w:pStyle w:val="ListParagraph"/>
        <w:numPr>
          <w:ilvl w:val="0"/>
          <w:numId w:val="164"/>
        </w:numPr>
        <w:tabs>
          <w:tab w:pos="1652" w:val="left" w:leader="none"/>
        </w:tabs>
        <w:spacing w:line="249" w:lineRule="auto" w:before="3" w:after="0"/>
        <w:ind w:left="1074" w:right="1273" w:firstLine="340"/>
        <w:jc w:val="both"/>
        <w:rPr>
          <w:sz w:val="20"/>
        </w:rPr>
      </w:pPr>
      <w:r>
        <w:rPr>
          <w:sz w:val="20"/>
        </w:rPr>
        <w:t>Todas las comunicaciones que se realicen en el contexto de un sistema dinámico de adquisición se harán utilizando únicamente medios electrónicos, de conformidad con lo dispuesto en el artículo</w:t>
      </w:r>
      <w:r>
        <w:rPr>
          <w:spacing w:val="-5"/>
          <w:sz w:val="20"/>
        </w:rPr>
        <w:t> </w:t>
      </w:r>
      <w:r>
        <w:rPr>
          <w:sz w:val="20"/>
        </w:rPr>
        <w:t>61.</w:t>
      </w:r>
    </w:p>
    <w:p>
      <w:pPr>
        <w:pStyle w:val="ListParagraph"/>
        <w:numPr>
          <w:ilvl w:val="0"/>
          <w:numId w:val="164"/>
        </w:numPr>
        <w:tabs>
          <w:tab w:pos="1641" w:val="left" w:leader="none"/>
        </w:tabs>
        <w:spacing w:line="249" w:lineRule="auto" w:before="2" w:after="0"/>
        <w:ind w:left="1074" w:right="1275" w:firstLine="340"/>
        <w:jc w:val="both"/>
        <w:rPr>
          <w:sz w:val="20"/>
        </w:rPr>
      </w:pPr>
      <w:r>
        <w:rPr>
          <w:sz w:val="20"/>
        </w:rPr>
        <w:t>Con carácter previo a la licitación, en el marco de un sistema dinámico de adquisición, de contratos específicos, las entidades contratantes</w:t>
      </w:r>
      <w:r>
        <w:rPr>
          <w:spacing w:val="-8"/>
          <w:sz w:val="20"/>
        </w:rPr>
        <w:t> </w:t>
      </w:r>
      <w:r>
        <w:rPr>
          <w:sz w:val="20"/>
        </w:rPr>
        <w:t>deberán:</w:t>
      </w:r>
    </w:p>
    <w:p>
      <w:pPr>
        <w:pStyle w:val="ListParagraph"/>
        <w:numPr>
          <w:ilvl w:val="0"/>
          <w:numId w:val="165"/>
        </w:numPr>
        <w:tabs>
          <w:tab w:pos="1649" w:val="left" w:leader="none"/>
        </w:tabs>
        <w:spacing w:line="249" w:lineRule="auto" w:before="122" w:after="0"/>
        <w:ind w:left="1074" w:right="1274" w:firstLine="340"/>
        <w:jc w:val="both"/>
        <w:rPr>
          <w:sz w:val="20"/>
        </w:rPr>
      </w:pPr>
      <w:r>
        <w:rPr>
          <w:sz w:val="20"/>
        </w:rPr>
        <w:t>Publicar una convocatoria de licitación en la cual se precise que se trata de un sistema dinámico de adquisición y el período de vigencia del</w:t>
      </w:r>
      <w:r>
        <w:rPr>
          <w:spacing w:val="-11"/>
          <w:sz w:val="20"/>
        </w:rPr>
        <w:t> </w:t>
      </w:r>
      <w:r>
        <w:rPr>
          <w:sz w:val="20"/>
        </w:rPr>
        <w:t>mismo.</w:t>
      </w:r>
    </w:p>
    <w:p>
      <w:pPr>
        <w:pStyle w:val="ListParagraph"/>
        <w:numPr>
          <w:ilvl w:val="0"/>
          <w:numId w:val="165"/>
        </w:numPr>
        <w:tabs>
          <w:tab w:pos="1663" w:val="left" w:leader="none"/>
        </w:tabs>
        <w:spacing w:line="249" w:lineRule="auto" w:before="1" w:after="0"/>
        <w:ind w:left="1074" w:right="1273" w:firstLine="340"/>
        <w:jc w:val="both"/>
        <w:rPr>
          <w:sz w:val="20"/>
        </w:rPr>
      </w:pPr>
      <w:r>
        <w:rPr>
          <w:sz w:val="20"/>
        </w:rPr>
        <w:t>Indicar en los pliegos de condiciones, al menos, la naturaleza y la cantidad estimada de compras previstas, así como la información necesaria relativa al sistema dinámico de adquisición, en particular el modo de funcionamiento del mismo, el equipo electrónico utilizado y las modalidades y especificaciones técnicas de</w:t>
      </w:r>
      <w:r>
        <w:rPr>
          <w:spacing w:val="-9"/>
          <w:sz w:val="20"/>
        </w:rPr>
        <w:t> </w:t>
      </w:r>
      <w:r>
        <w:rPr>
          <w:sz w:val="20"/>
        </w:rPr>
        <w:t>conexión.</w:t>
      </w:r>
    </w:p>
    <w:p>
      <w:pPr>
        <w:pStyle w:val="ListParagraph"/>
        <w:numPr>
          <w:ilvl w:val="0"/>
          <w:numId w:val="165"/>
        </w:numPr>
        <w:tabs>
          <w:tab w:pos="1640" w:val="left" w:leader="none"/>
        </w:tabs>
        <w:spacing w:line="249" w:lineRule="auto" w:before="4" w:after="0"/>
        <w:ind w:left="1074" w:right="1273" w:firstLine="340"/>
        <w:jc w:val="both"/>
        <w:rPr>
          <w:sz w:val="20"/>
        </w:rPr>
      </w:pPr>
      <w:r>
        <w:rPr>
          <w:sz w:val="20"/>
        </w:rPr>
        <w:t>Indicar toda división en categorías de productos, obras o servicios y las características que definen dichas</w:t>
      </w:r>
      <w:r>
        <w:rPr>
          <w:spacing w:val="-4"/>
          <w:sz w:val="20"/>
        </w:rPr>
        <w:t> </w:t>
      </w:r>
      <w:r>
        <w:rPr>
          <w:sz w:val="20"/>
        </w:rPr>
        <w:t>categorías.</w:t>
      </w:r>
    </w:p>
    <w:p>
      <w:pPr>
        <w:pStyle w:val="ListParagraph"/>
        <w:numPr>
          <w:ilvl w:val="0"/>
          <w:numId w:val="165"/>
        </w:numPr>
        <w:tabs>
          <w:tab w:pos="1672" w:val="left" w:leader="none"/>
        </w:tabs>
        <w:spacing w:line="249" w:lineRule="auto" w:before="1" w:after="0"/>
        <w:ind w:left="1074" w:right="1273" w:firstLine="340"/>
        <w:jc w:val="both"/>
        <w:rPr>
          <w:sz w:val="20"/>
        </w:rPr>
      </w:pPr>
      <w:r>
        <w:rPr>
          <w:sz w:val="20"/>
        </w:rPr>
        <w:t>Ofrecer un acceso libre, directo y completo, durante todo el período de vigencia del sistema, a los pliegos de condiciones, de conformidad con lo dispuesto en este real decreto- ley.</w:t>
      </w:r>
    </w:p>
    <w:p>
      <w:pPr>
        <w:pStyle w:val="ListParagraph"/>
        <w:numPr>
          <w:ilvl w:val="0"/>
          <w:numId w:val="164"/>
        </w:numPr>
        <w:tabs>
          <w:tab w:pos="1648" w:val="left" w:leader="none"/>
        </w:tabs>
        <w:spacing w:line="249" w:lineRule="auto" w:before="123" w:after="0"/>
        <w:ind w:left="1074" w:right="1276" w:firstLine="340"/>
        <w:jc w:val="both"/>
        <w:rPr>
          <w:sz w:val="20"/>
        </w:rPr>
      </w:pPr>
      <w:r>
        <w:rPr>
          <w:sz w:val="20"/>
        </w:rPr>
        <w:t>La participación en el sistema será gratuita para las empresas, a las que no se podrá cargar ningún</w:t>
      </w:r>
      <w:r>
        <w:rPr>
          <w:spacing w:val="-2"/>
          <w:sz w:val="20"/>
        </w:rPr>
        <w:t> </w:t>
      </w:r>
      <w:r>
        <w:rPr>
          <w:sz w:val="20"/>
        </w:rPr>
        <w:t>gasto.</w:t>
      </w:r>
    </w:p>
    <w:p>
      <w:pPr>
        <w:pStyle w:val="ListParagraph"/>
        <w:numPr>
          <w:ilvl w:val="0"/>
          <w:numId w:val="164"/>
        </w:numPr>
        <w:tabs>
          <w:tab w:pos="1642" w:val="left" w:leader="none"/>
        </w:tabs>
        <w:spacing w:line="249" w:lineRule="auto" w:before="1" w:after="0"/>
        <w:ind w:left="1074" w:right="1273" w:firstLine="340"/>
        <w:jc w:val="both"/>
        <w:rPr>
          <w:sz w:val="20"/>
        </w:rPr>
      </w:pPr>
      <w:r>
        <w:rPr>
          <w:sz w:val="20"/>
        </w:rPr>
        <w:t>Las entidades contratantes informarán a la Comisión Europea de cualquier cambio del periodo de vigencia establecido en la convocatoria de licitación utilizando los siguientes formularios</w:t>
      </w:r>
      <w:r>
        <w:rPr>
          <w:spacing w:val="-1"/>
          <w:sz w:val="20"/>
        </w:rPr>
        <w:t> </w:t>
      </w:r>
      <w:r>
        <w:rPr>
          <w:sz w:val="20"/>
        </w:rPr>
        <w:t>normalizados:</w:t>
      </w:r>
    </w:p>
    <w:p>
      <w:pPr>
        <w:pStyle w:val="ListParagraph"/>
        <w:numPr>
          <w:ilvl w:val="0"/>
          <w:numId w:val="166"/>
        </w:numPr>
        <w:tabs>
          <w:tab w:pos="1649" w:val="left" w:leader="none"/>
        </w:tabs>
        <w:spacing w:line="249" w:lineRule="auto" w:before="123" w:after="0"/>
        <w:ind w:left="1074" w:right="1275" w:firstLine="340"/>
        <w:jc w:val="both"/>
        <w:rPr>
          <w:sz w:val="20"/>
        </w:rPr>
      </w:pPr>
      <w:r>
        <w:rPr>
          <w:sz w:val="20"/>
        </w:rPr>
        <w:t>El formulario utilizado inicialmente para la convocatoria de licitación, cuando el período de validez se modifique durante la vigencia del</w:t>
      </w:r>
      <w:r>
        <w:rPr>
          <w:spacing w:val="-6"/>
          <w:sz w:val="20"/>
        </w:rPr>
        <w:t> </w:t>
      </w:r>
      <w:r>
        <w:rPr>
          <w:sz w:val="20"/>
        </w:rPr>
        <w:t>sistema.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66"/>
        </w:numPr>
        <w:tabs>
          <w:tab w:pos="1672" w:val="left" w:leader="none"/>
        </w:tabs>
        <w:spacing w:line="249" w:lineRule="auto" w:before="127" w:after="0"/>
        <w:ind w:left="1074" w:right="1271" w:firstLine="340"/>
        <w:jc w:val="both"/>
        <w:rPr>
          <w:sz w:val="20"/>
        </w:rPr>
      </w:pPr>
      <w:r>
        <w:rPr>
          <w:sz w:val="20"/>
        </w:rPr>
        <w:t>El formulario del anuncio de formalización del contrato, cuando hubiere finalizado el periodo de vigencia del</w:t>
      </w:r>
      <w:r>
        <w:rPr>
          <w:spacing w:val="-4"/>
          <w:sz w:val="20"/>
        </w:rPr>
        <w:t> </w:t>
      </w:r>
      <w:r>
        <w:rPr>
          <w:sz w:val="20"/>
        </w:rPr>
        <w:t>sistema.</w:t>
      </w:r>
    </w:p>
    <w:p>
      <w:pPr>
        <w:pStyle w:val="BodyText"/>
        <w:spacing w:before="4"/>
        <w:ind w:left="0" w:firstLine="0"/>
        <w:jc w:val="left"/>
      </w:pPr>
    </w:p>
    <w:p>
      <w:pPr>
        <w:spacing w:before="0"/>
        <w:ind w:left="1074" w:right="0" w:firstLine="0"/>
        <w:jc w:val="both"/>
        <w:rPr>
          <w:i/>
          <w:sz w:val="20"/>
        </w:rPr>
      </w:pPr>
      <w:bookmarkStart w:name="Artículo 95. Incorporación de empresas a" w:id="152"/>
      <w:bookmarkEnd w:id="152"/>
      <w:r>
        <w:rPr/>
      </w:r>
      <w:r>
        <w:rPr>
          <w:b/>
          <w:sz w:val="20"/>
        </w:rPr>
        <w:t>Artículo 95. </w:t>
      </w:r>
      <w:r>
        <w:rPr>
          <w:i/>
          <w:sz w:val="20"/>
        </w:rPr>
        <w:t>Incorporación de empresas al sistema.</w:t>
      </w:r>
    </w:p>
    <w:p>
      <w:pPr>
        <w:pStyle w:val="ListParagraph"/>
        <w:numPr>
          <w:ilvl w:val="0"/>
          <w:numId w:val="167"/>
        </w:numPr>
        <w:tabs>
          <w:tab w:pos="1668" w:val="left" w:leader="none"/>
        </w:tabs>
        <w:spacing w:line="249" w:lineRule="auto" w:before="117" w:after="0"/>
        <w:ind w:left="1074" w:right="1274" w:firstLine="340"/>
        <w:jc w:val="both"/>
        <w:rPr>
          <w:sz w:val="20"/>
        </w:rPr>
      </w:pPr>
      <w:r>
        <w:rPr>
          <w:sz w:val="20"/>
        </w:rPr>
        <w:t>Durante todo el período de vigencia del sistema dinámico de adquisición, cualquier empresario interesado podrá solicitar participar en el sistema en las condiciones expuestas en el artículo</w:t>
      </w:r>
      <w:r>
        <w:rPr>
          <w:spacing w:val="-4"/>
          <w:sz w:val="20"/>
        </w:rPr>
        <w:t> </w:t>
      </w:r>
      <w:r>
        <w:rPr>
          <w:sz w:val="20"/>
        </w:rPr>
        <w:t>anterior.</w:t>
      </w:r>
    </w:p>
    <w:p>
      <w:pPr>
        <w:pStyle w:val="ListParagraph"/>
        <w:numPr>
          <w:ilvl w:val="0"/>
          <w:numId w:val="167"/>
        </w:numPr>
        <w:tabs>
          <w:tab w:pos="1654" w:val="left" w:leader="none"/>
        </w:tabs>
        <w:spacing w:line="249" w:lineRule="auto" w:before="3" w:after="0"/>
        <w:ind w:left="1074" w:right="1274" w:firstLine="340"/>
        <w:jc w:val="both"/>
        <w:rPr>
          <w:sz w:val="20"/>
        </w:rPr>
      </w:pPr>
      <w:r>
        <w:rPr>
          <w:sz w:val="20"/>
        </w:rPr>
        <w:t>El plazo mínimo general para la presentación de las solicitudes de participación será de treinta días, contados a partir de la fecha del envío del anuncio que sirva de convocatoria de licitación a la Oficina de Publicaciones de la Unión Europea; en ningún caso este plazo podrá ser inferior a quince días. No podrá ampliarse este plazo una vez enviada la invitación escrita a los candidatos para la primera contratación específica en el marco del sistema dinámico de</w:t>
      </w:r>
      <w:r>
        <w:rPr>
          <w:spacing w:val="-3"/>
          <w:sz w:val="20"/>
        </w:rPr>
        <w:t> </w:t>
      </w:r>
      <w:r>
        <w:rPr>
          <w:sz w:val="20"/>
        </w:rPr>
        <w:t>adquisición.</w:t>
      </w:r>
    </w:p>
    <w:p>
      <w:pPr>
        <w:pStyle w:val="ListParagraph"/>
        <w:numPr>
          <w:ilvl w:val="0"/>
          <w:numId w:val="167"/>
        </w:numPr>
        <w:tabs>
          <w:tab w:pos="1755" w:val="left" w:leader="none"/>
        </w:tabs>
        <w:spacing w:line="249" w:lineRule="auto" w:before="5" w:after="0"/>
        <w:ind w:left="1074" w:right="1273" w:firstLine="340"/>
        <w:jc w:val="both"/>
        <w:rPr>
          <w:sz w:val="20"/>
        </w:rPr>
      </w:pPr>
      <w:r>
        <w:rPr>
          <w:sz w:val="20"/>
        </w:rPr>
        <w:t>Las entidades contratantes evaluarán estas solicitudes de participación, de conformidad con los criterios de selección, en el plazo de los diez días hábiles siguientes a su recepción.</w:t>
      </w:r>
    </w:p>
    <w:p>
      <w:pPr>
        <w:pStyle w:val="BodyText"/>
        <w:spacing w:line="249" w:lineRule="auto"/>
        <w:ind w:right="1274"/>
      </w:pPr>
      <w:r>
        <w:rPr/>
        <w:t>Dicho plazo podrá prorrogarse a quince días hábiles en casos concretos justificados, en particular si es necesario examinar documentación complementaria o verificar de otro modo si se cumplen los criterios de</w:t>
      </w:r>
      <w:r>
        <w:rPr>
          <w:spacing w:val="-3"/>
        </w:rPr>
        <w:t> </w:t>
      </w:r>
      <w:r>
        <w:rPr/>
        <w:t>selección.</w:t>
      </w:r>
    </w:p>
    <w:p>
      <w:pPr>
        <w:pStyle w:val="BodyText"/>
        <w:spacing w:line="249" w:lineRule="auto" w:before="3"/>
        <w:ind w:right="1273"/>
      </w:pPr>
      <w:r>
        <w:rPr/>
        <w:t>No obstante lo dispuesto en el párrafo anterior, mientras la invitación a licitar para la primera contratación específica en el marco del sistema dinámico de adquisición no haya sido enviada, la entidad contratante podrá ampliar nuevamente el plazo de evaluación. Durante este tiempo destinado a la evaluación de las solicitudes, la entidad contratante no podrá enviar ninguna invitación para la presentación de</w:t>
      </w:r>
      <w:r>
        <w:rPr>
          <w:spacing w:val="-15"/>
        </w:rPr>
        <w:t> </w:t>
      </w:r>
      <w:r>
        <w:rPr/>
        <w:t>ofertas.</w:t>
      </w:r>
    </w:p>
    <w:p>
      <w:pPr>
        <w:pStyle w:val="BodyText"/>
        <w:spacing w:line="249" w:lineRule="auto" w:before="4"/>
        <w:ind w:right="1275"/>
      </w:pPr>
      <w:r>
        <w:rPr/>
        <w:t>Las entidades contratantes deberán indicar en los pliegos de condiciones si hay posibilidad de prórroga del plazo a que se refiere este apartado y, en caso afirmativo, su duración.</w:t>
      </w:r>
    </w:p>
    <w:p>
      <w:pPr>
        <w:pStyle w:val="ListParagraph"/>
        <w:numPr>
          <w:ilvl w:val="0"/>
          <w:numId w:val="167"/>
        </w:numPr>
        <w:tabs>
          <w:tab w:pos="1686" w:val="left" w:leader="none"/>
        </w:tabs>
        <w:spacing w:line="249" w:lineRule="auto" w:before="2" w:after="0"/>
        <w:ind w:left="1074" w:right="1275" w:firstLine="340"/>
        <w:jc w:val="both"/>
        <w:rPr>
          <w:sz w:val="20"/>
        </w:rPr>
      </w:pPr>
      <w:r>
        <w:rPr>
          <w:sz w:val="20"/>
        </w:rPr>
        <w:t>Las entidades contratantes informarán lo antes posible a la empresa que solicitó adherirse al sistema dinámico de adquisición de si ha sido admitida o</w:t>
      </w:r>
      <w:r>
        <w:rPr>
          <w:spacing w:val="-20"/>
          <w:sz w:val="20"/>
        </w:rPr>
        <w:t> </w:t>
      </w:r>
      <w:r>
        <w:rPr>
          <w:sz w:val="20"/>
        </w:rPr>
        <w:t>no.</w:t>
      </w:r>
    </w:p>
    <w:p>
      <w:pPr>
        <w:pStyle w:val="ListParagraph"/>
        <w:numPr>
          <w:ilvl w:val="0"/>
          <w:numId w:val="167"/>
        </w:numPr>
        <w:tabs>
          <w:tab w:pos="1709" w:val="left" w:leader="none"/>
        </w:tabs>
        <w:spacing w:line="249" w:lineRule="auto" w:before="2" w:after="0"/>
        <w:ind w:left="1074" w:right="1273" w:firstLine="340"/>
        <w:jc w:val="both"/>
        <w:rPr>
          <w:sz w:val="20"/>
        </w:rPr>
      </w:pPr>
      <w:r>
        <w:rPr>
          <w:sz w:val="20"/>
        </w:rPr>
        <w:t>Cuando los candidatos hubieran acreditado el cumplimiento de los criterios de selección mediante la presentación de la declaración responsable a que se refiere el artículo 57 del presente real decreto-ley, las entidades contratantes podrán exigirles en cualquier momento del período de vigencia del sistema dinámico de adquisición que presenten una nueva declaración responsable renovada y actualizada. La misma deberá ser aportada por el candidato dentro del plazo de cinco días hábiles contados a partir de la fecha del envío del requerimiento.</w:t>
      </w:r>
    </w:p>
    <w:p>
      <w:pPr>
        <w:pStyle w:val="BodyText"/>
        <w:spacing w:line="249" w:lineRule="auto" w:before="6"/>
        <w:ind w:right="1275"/>
      </w:pPr>
      <w:r>
        <w:rPr/>
        <w:t>Durante todo el período de vigencia del sistema dinámico de adquisición será de aplicación el apartado 9 del artículo 57.</w:t>
      </w:r>
    </w:p>
    <w:p>
      <w:pPr>
        <w:pStyle w:val="BodyText"/>
        <w:spacing w:before="4"/>
        <w:ind w:left="0" w:firstLine="0"/>
        <w:jc w:val="left"/>
      </w:pPr>
    </w:p>
    <w:p>
      <w:pPr>
        <w:spacing w:line="249" w:lineRule="auto" w:before="0"/>
        <w:ind w:left="1074" w:right="1273" w:firstLine="0"/>
        <w:jc w:val="both"/>
        <w:rPr>
          <w:i/>
          <w:sz w:val="20"/>
        </w:rPr>
      </w:pPr>
      <w:bookmarkStart w:name="Artículo 96. Adjudicación de los contrat" w:id="153"/>
      <w:bookmarkEnd w:id="153"/>
      <w:r>
        <w:rPr/>
      </w:r>
      <w:r>
        <w:rPr>
          <w:b/>
          <w:sz w:val="20"/>
        </w:rPr>
        <w:t>Artículo 96. </w:t>
      </w:r>
      <w:r>
        <w:rPr>
          <w:i/>
          <w:sz w:val="20"/>
        </w:rPr>
        <w:t>Adjudicación de los contratos específicos en el marco de un sistema dinámico </w:t>
      </w:r>
      <w:r>
        <w:rPr>
          <w:i/>
          <w:sz w:val="20"/>
        </w:rPr>
        <w:t>de</w:t>
      </w:r>
      <w:r>
        <w:rPr>
          <w:i/>
          <w:spacing w:val="-2"/>
          <w:sz w:val="20"/>
        </w:rPr>
        <w:t> </w:t>
      </w:r>
      <w:r>
        <w:rPr>
          <w:i/>
          <w:sz w:val="20"/>
        </w:rPr>
        <w:t>adquisición.</w:t>
      </w:r>
    </w:p>
    <w:p>
      <w:pPr>
        <w:pStyle w:val="ListParagraph"/>
        <w:numPr>
          <w:ilvl w:val="0"/>
          <w:numId w:val="168"/>
        </w:numPr>
        <w:tabs>
          <w:tab w:pos="1677" w:val="left" w:leader="none"/>
        </w:tabs>
        <w:spacing w:line="249" w:lineRule="auto" w:before="109" w:after="0"/>
        <w:ind w:left="1074" w:right="1274" w:firstLine="340"/>
        <w:jc w:val="both"/>
        <w:rPr>
          <w:sz w:val="20"/>
        </w:rPr>
      </w:pPr>
      <w:r>
        <w:rPr>
          <w:sz w:val="20"/>
        </w:rPr>
        <w:t>Cada contrato que se pretenda adjudicar en el marco de un sistema dinámico de adquisición deberá ser objeto de una</w:t>
      </w:r>
      <w:r>
        <w:rPr>
          <w:spacing w:val="-8"/>
          <w:sz w:val="20"/>
        </w:rPr>
        <w:t> </w:t>
      </w:r>
      <w:r>
        <w:rPr>
          <w:sz w:val="20"/>
        </w:rPr>
        <w:t>licitación.</w:t>
      </w:r>
    </w:p>
    <w:p>
      <w:pPr>
        <w:pStyle w:val="ListParagraph"/>
        <w:numPr>
          <w:ilvl w:val="0"/>
          <w:numId w:val="168"/>
        </w:numPr>
        <w:tabs>
          <w:tab w:pos="1719" w:val="left" w:leader="none"/>
        </w:tabs>
        <w:spacing w:line="249" w:lineRule="auto" w:before="2" w:after="0"/>
        <w:ind w:left="1074" w:right="1273" w:firstLine="340"/>
        <w:jc w:val="both"/>
        <w:rPr>
          <w:sz w:val="20"/>
        </w:rPr>
      </w:pPr>
      <w:r>
        <w:rPr>
          <w:sz w:val="20"/>
        </w:rPr>
        <w:t>Las entidades contratantes invitarán a todas las empresas que hubieran sido previamente admitidas al sistema dinámico de adquisición a presentar una oferta en cada licitación que se celebre en el marco de dicho sistema, con sujeción a lo dispuesto en el artículo</w:t>
      </w:r>
      <w:r>
        <w:rPr>
          <w:spacing w:val="-2"/>
          <w:sz w:val="20"/>
        </w:rPr>
        <w:t> </w:t>
      </w:r>
      <w:r>
        <w:rPr>
          <w:sz w:val="20"/>
        </w:rPr>
        <w:t>63.</w:t>
      </w:r>
    </w:p>
    <w:p>
      <w:pPr>
        <w:pStyle w:val="BodyText"/>
        <w:spacing w:line="249" w:lineRule="auto" w:before="3"/>
        <w:ind w:right="1273"/>
      </w:pPr>
      <w:r>
        <w:rPr/>
        <w:t>Cuando el sistema dinámico de adquisición se hubiera articulado en varias categorías de productos, obras o servicios, las entidades contratantes invitarán a todas las empresas que previamente hubieran sido admitidas en la categoría correspondiente.</w:t>
      </w:r>
    </w:p>
    <w:p>
      <w:pPr>
        <w:pStyle w:val="ListParagraph"/>
        <w:numPr>
          <w:ilvl w:val="0"/>
          <w:numId w:val="168"/>
        </w:numPr>
        <w:tabs>
          <w:tab w:pos="1638" w:val="left" w:leader="none"/>
        </w:tabs>
        <w:spacing w:line="249" w:lineRule="auto" w:before="3" w:after="0"/>
        <w:ind w:left="1074" w:right="1274" w:firstLine="340"/>
        <w:jc w:val="both"/>
        <w:rPr>
          <w:sz w:val="20"/>
        </w:rPr>
      </w:pPr>
      <w:r>
        <w:rPr>
          <w:sz w:val="20"/>
        </w:rPr>
        <w:t>El plazo mínimo para la presentación de ofertas será de diez días, contados a partir de la fecha de envío de la invitación escrita a presentar</w:t>
      </w:r>
      <w:r>
        <w:rPr>
          <w:spacing w:val="-16"/>
          <w:sz w:val="20"/>
        </w:rPr>
        <w:t> </w:t>
      </w:r>
      <w:r>
        <w:rPr>
          <w:sz w:val="20"/>
        </w:rPr>
        <w:t>ofertas.</w:t>
      </w:r>
    </w:p>
    <w:p>
      <w:pPr>
        <w:pStyle w:val="ListParagraph"/>
        <w:numPr>
          <w:ilvl w:val="0"/>
          <w:numId w:val="168"/>
        </w:numPr>
        <w:tabs>
          <w:tab w:pos="1656" w:val="left" w:leader="none"/>
        </w:tabs>
        <w:spacing w:line="249" w:lineRule="auto" w:before="1" w:after="0"/>
        <w:ind w:left="1074" w:right="1273" w:firstLine="340"/>
        <w:jc w:val="both"/>
        <w:rPr>
          <w:sz w:val="20"/>
        </w:rPr>
      </w:pPr>
      <w:r>
        <w:rPr>
          <w:sz w:val="20"/>
        </w:rPr>
        <w:t>Las entidades contratantes adjudicarán el contrato específico al licitador que hubiera presentado la mejor oferta, de acuerdo con los criterios de adjudicación detallados en el anuncio de licitación para el sistema dinámico de adquisición o, en el caso de que el medio de convocatoria de la licitación sea un anuncio sobre la existencia de un sistema de clasificación, en la invitación a licitar. Cuando proceda, estos criterios podrán formularse</w:t>
      </w:r>
      <w:r>
        <w:rPr>
          <w:spacing w:val="38"/>
          <w:sz w:val="20"/>
        </w:rPr>
        <w:t> </w:t>
      </w:r>
      <w:r>
        <w:rPr>
          <w:sz w:val="20"/>
        </w:rPr>
        <w:t>con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más precisión en la invitación a licitar. Se considerarán irregulares o inaceptables las ofertas que no se ajusten a lo previsto en los pliegos; aquellas que se hayan presentado fuera de plazo; las que muestren indicios de colusión o corrupción; las que hayan sido consideradas anormalmente bajas por la entidad contratante; o aquellas cuyo precio supere el presupuesto base de licitación o documento equivalente.</w:t>
      </w:r>
    </w:p>
    <w:p>
      <w:pPr>
        <w:pStyle w:val="BodyText"/>
        <w:spacing w:before="6"/>
        <w:ind w:left="0" w:firstLine="0"/>
        <w:jc w:val="left"/>
      </w:pPr>
    </w:p>
    <w:p>
      <w:pPr>
        <w:pStyle w:val="Heading2"/>
        <w:ind w:right="1613"/>
        <w:rPr>
          <w:i/>
        </w:rPr>
      </w:pPr>
      <w:bookmarkStart w:name="Sección 4.ª Subastas electrónicas y catá" w:id="154"/>
      <w:bookmarkEnd w:id="154"/>
      <w:r>
        <w:rPr>
          <w:b w:val="0"/>
          <w:i w:val="0"/>
        </w:rPr>
      </w:r>
      <w:bookmarkStart w:name="_bookmark28" w:id="155"/>
      <w:bookmarkEnd w:id="155"/>
      <w:r>
        <w:rPr>
          <w:b w:val="0"/>
          <w:i w:val="0"/>
        </w:rPr>
      </w:r>
      <w:r>
        <w:rPr>
          <w:i/>
        </w:rPr>
        <w:t>Sección 4.ª Subastas electrónicas y catálogos electrónicos</w:t>
      </w:r>
    </w:p>
    <w:p>
      <w:pPr>
        <w:pStyle w:val="BodyText"/>
        <w:spacing w:before="5"/>
        <w:ind w:left="0" w:firstLine="0"/>
        <w:jc w:val="left"/>
        <w:rPr>
          <w:b/>
          <w:i/>
          <w:sz w:val="30"/>
        </w:rPr>
      </w:pPr>
    </w:p>
    <w:p>
      <w:pPr>
        <w:spacing w:before="1"/>
        <w:ind w:left="1074" w:right="0" w:firstLine="0"/>
        <w:jc w:val="both"/>
        <w:rPr>
          <w:i/>
          <w:sz w:val="20"/>
        </w:rPr>
      </w:pPr>
      <w:bookmarkStart w:name="Artículo 97. Subastas electrónicas." w:id="156"/>
      <w:bookmarkEnd w:id="156"/>
      <w:r>
        <w:rPr/>
      </w:r>
      <w:r>
        <w:rPr>
          <w:b/>
          <w:sz w:val="20"/>
        </w:rPr>
        <w:t>Artículo 97. </w:t>
      </w:r>
      <w:r>
        <w:rPr>
          <w:i/>
          <w:sz w:val="20"/>
        </w:rPr>
        <w:t>Subastas electrónicas.</w:t>
      </w:r>
    </w:p>
    <w:p>
      <w:pPr>
        <w:pStyle w:val="ListParagraph"/>
        <w:numPr>
          <w:ilvl w:val="0"/>
          <w:numId w:val="169"/>
        </w:numPr>
        <w:tabs>
          <w:tab w:pos="1666" w:val="left" w:leader="none"/>
        </w:tabs>
        <w:spacing w:line="249" w:lineRule="auto" w:before="117" w:after="0"/>
        <w:ind w:left="1074" w:right="1273" w:firstLine="340"/>
        <w:jc w:val="both"/>
        <w:rPr>
          <w:sz w:val="20"/>
        </w:rPr>
      </w:pPr>
      <w:r>
        <w:rPr>
          <w:sz w:val="20"/>
        </w:rPr>
        <w:t>A efectos de la adjudicación del contrato podrá celebrarse una subasta electrónica, articulada como un proceso electrónico repetitivo, que tiene lugar tras una primera evaluación completa de las ofertas, para la presentación de mejoras en los precios o de nuevos valores relativos a determinados elementos de las ofertas que las mejoren en su conjunto, basado en un dispositivo electrónico que permita su clasificación a través de métodos de evaluación automatizados, debiendo velarse por que el mismo permita un acceso no discriminatorio y disponible de forma general, así como el registro inalterable de todas las participaciones en el proceso de</w:t>
      </w:r>
      <w:r>
        <w:rPr>
          <w:spacing w:val="-9"/>
          <w:sz w:val="20"/>
        </w:rPr>
        <w:t> </w:t>
      </w:r>
      <w:r>
        <w:rPr>
          <w:sz w:val="20"/>
        </w:rPr>
        <w:t>subasta.</w:t>
      </w:r>
    </w:p>
    <w:p>
      <w:pPr>
        <w:pStyle w:val="ListParagraph"/>
        <w:numPr>
          <w:ilvl w:val="0"/>
          <w:numId w:val="169"/>
        </w:numPr>
        <w:tabs>
          <w:tab w:pos="1705" w:val="left" w:leader="none"/>
        </w:tabs>
        <w:spacing w:line="249" w:lineRule="auto" w:before="7" w:after="0"/>
        <w:ind w:left="1074" w:right="1272" w:firstLine="340"/>
        <w:jc w:val="both"/>
        <w:rPr>
          <w:sz w:val="20"/>
        </w:rPr>
      </w:pPr>
      <w:r>
        <w:rPr>
          <w:sz w:val="20"/>
        </w:rPr>
        <w:t>La subasta electrónica podrá emplearse en los procedimientos abiertos, en los restringidos y en los de licitación con negociación, siempre que las especificaciones del contrato que deba adjudicarse puedan establecerse de manera precisa en los pliegos de condiciones y que las prestaciones que constituyen su objeto no tengan carácter intelectual, como los servicios de ingeniería, consultoría y arquitectura. No podrá recurrirse a las subastas electrónicas de forma abusiva o de modo que se obstaculice, restrinja o falsee la competencia o que se vea modificado el objeto del</w:t>
      </w:r>
      <w:r>
        <w:rPr>
          <w:spacing w:val="-7"/>
          <w:sz w:val="20"/>
        </w:rPr>
        <w:t> </w:t>
      </w:r>
      <w:r>
        <w:rPr>
          <w:sz w:val="20"/>
        </w:rPr>
        <w:t>contrato.</w:t>
      </w:r>
    </w:p>
    <w:p>
      <w:pPr>
        <w:pStyle w:val="BodyText"/>
        <w:spacing w:line="249" w:lineRule="auto" w:before="5"/>
        <w:ind w:right="1273"/>
      </w:pPr>
      <w:r>
        <w:rPr/>
        <w:t>En las mismas circunstancias podrá utilizarse la subasta electrónica cuando se convoque a una nueva licitación a las partes en un acuerdo marco con arreglo a lo dispuesto en el artículo 92 o se convoque una licitación en el marco del sistema dinámico de adquisición contemplado en el artículo 93.</w:t>
      </w:r>
    </w:p>
    <w:p>
      <w:pPr>
        <w:pStyle w:val="ListParagraph"/>
        <w:numPr>
          <w:ilvl w:val="0"/>
          <w:numId w:val="169"/>
        </w:numPr>
        <w:tabs>
          <w:tab w:pos="1637" w:val="left" w:leader="none"/>
        </w:tabs>
        <w:spacing w:line="240" w:lineRule="auto" w:before="4" w:after="0"/>
        <w:ind w:left="1636" w:right="0" w:hanging="223"/>
        <w:jc w:val="both"/>
        <w:rPr>
          <w:sz w:val="20"/>
        </w:rPr>
      </w:pPr>
      <w:r>
        <w:rPr>
          <w:sz w:val="20"/>
        </w:rPr>
        <w:t>La subasta electrónica se basará en uno de los siguientes</w:t>
      </w:r>
      <w:r>
        <w:rPr>
          <w:spacing w:val="-11"/>
          <w:sz w:val="20"/>
        </w:rPr>
        <w:t> </w:t>
      </w:r>
      <w:r>
        <w:rPr>
          <w:sz w:val="20"/>
        </w:rPr>
        <w:t>criterios:</w:t>
      </w:r>
    </w:p>
    <w:p>
      <w:pPr>
        <w:pStyle w:val="ListParagraph"/>
        <w:numPr>
          <w:ilvl w:val="0"/>
          <w:numId w:val="170"/>
        </w:numPr>
        <w:tabs>
          <w:tab w:pos="1784" w:val="left" w:leader="none"/>
        </w:tabs>
        <w:spacing w:line="249" w:lineRule="auto" w:before="130" w:after="0"/>
        <w:ind w:left="1074" w:right="1275" w:firstLine="340"/>
        <w:jc w:val="both"/>
        <w:rPr>
          <w:sz w:val="20"/>
        </w:rPr>
      </w:pPr>
      <w:r>
        <w:rPr>
          <w:sz w:val="20"/>
        </w:rPr>
        <w:t>Únicamente en los precios, cuando el contrato se adjudique atendiendo exclusivamente al</w:t>
      </w:r>
      <w:r>
        <w:rPr>
          <w:spacing w:val="-3"/>
          <w:sz w:val="20"/>
        </w:rPr>
        <w:t> </w:t>
      </w:r>
      <w:r>
        <w:rPr>
          <w:sz w:val="20"/>
        </w:rPr>
        <w:t>precio,</w:t>
      </w:r>
    </w:p>
    <w:p>
      <w:pPr>
        <w:pStyle w:val="ListParagraph"/>
        <w:numPr>
          <w:ilvl w:val="0"/>
          <w:numId w:val="170"/>
        </w:numPr>
        <w:tabs>
          <w:tab w:pos="1663" w:val="left" w:leader="none"/>
        </w:tabs>
        <w:spacing w:line="249" w:lineRule="auto" w:before="1" w:after="0"/>
        <w:ind w:left="1074" w:right="1275" w:firstLine="340"/>
        <w:jc w:val="both"/>
        <w:rPr>
          <w:sz w:val="20"/>
        </w:rPr>
      </w:pPr>
      <w:r>
        <w:rPr>
          <w:sz w:val="20"/>
        </w:rPr>
        <w:t>o bien en los precios y en los nuevos valores de los elementos objetivos de la oferta que sean cuantificables y susceptibles de ser expresados en cifras o en porcentajes, cuando el contrato se adjudique basándose en varios criterios de</w:t>
      </w:r>
      <w:r>
        <w:rPr>
          <w:spacing w:val="-12"/>
          <w:sz w:val="20"/>
        </w:rPr>
        <w:t> </w:t>
      </w:r>
      <w:r>
        <w:rPr>
          <w:sz w:val="20"/>
        </w:rPr>
        <w:t>adjudicación.</w:t>
      </w:r>
    </w:p>
    <w:p>
      <w:pPr>
        <w:pStyle w:val="ListParagraph"/>
        <w:numPr>
          <w:ilvl w:val="0"/>
          <w:numId w:val="169"/>
        </w:numPr>
        <w:tabs>
          <w:tab w:pos="1669" w:val="left" w:leader="none"/>
        </w:tabs>
        <w:spacing w:line="249" w:lineRule="auto" w:before="123" w:after="0"/>
        <w:ind w:left="1074" w:right="1273" w:firstLine="340"/>
        <w:jc w:val="both"/>
        <w:rPr>
          <w:sz w:val="20"/>
        </w:rPr>
      </w:pPr>
      <w:r>
        <w:rPr>
          <w:sz w:val="20"/>
        </w:rPr>
        <w:t>Las entidades contratantes que decidan recurrir a una subasta electrónica deberán indicarlo en el anuncio que sirva de convocatoria de licitación o, cuando un anuncio sobre la existencia de un sistema de clasificación sirva de convocatoria de la licitación, en la invitación a licitar, e incluir en el pliego de condiciones, como mínimo, la siguiente información:</w:t>
      </w:r>
    </w:p>
    <w:p>
      <w:pPr>
        <w:pStyle w:val="ListParagraph"/>
        <w:numPr>
          <w:ilvl w:val="0"/>
          <w:numId w:val="171"/>
        </w:numPr>
        <w:tabs>
          <w:tab w:pos="1648" w:val="left" w:leader="none"/>
        </w:tabs>
        <w:spacing w:line="240" w:lineRule="auto" w:before="124" w:after="0"/>
        <w:ind w:left="1647" w:right="0" w:hanging="234"/>
        <w:jc w:val="left"/>
        <w:rPr>
          <w:sz w:val="20"/>
        </w:rPr>
      </w:pPr>
      <w:r>
        <w:rPr>
          <w:sz w:val="20"/>
        </w:rPr>
        <w:t>Los elementos objetivos a cuyos valores se refiera la subasta</w:t>
      </w:r>
      <w:r>
        <w:rPr>
          <w:spacing w:val="-11"/>
          <w:sz w:val="20"/>
        </w:rPr>
        <w:t> </w:t>
      </w:r>
      <w:r>
        <w:rPr>
          <w:sz w:val="20"/>
        </w:rPr>
        <w:t>electrónica;</w:t>
      </w:r>
    </w:p>
    <w:p>
      <w:pPr>
        <w:pStyle w:val="ListParagraph"/>
        <w:numPr>
          <w:ilvl w:val="0"/>
          <w:numId w:val="171"/>
        </w:numPr>
        <w:tabs>
          <w:tab w:pos="1651" w:val="left" w:leader="none"/>
        </w:tabs>
        <w:spacing w:line="249" w:lineRule="auto" w:before="10" w:after="0"/>
        <w:ind w:left="1074" w:right="1273" w:firstLine="340"/>
        <w:jc w:val="left"/>
        <w:rPr>
          <w:sz w:val="20"/>
        </w:rPr>
      </w:pPr>
      <w:r>
        <w:rPr>
          <w:sz w:val="20"/>
        </w:rPr>
        <w:t>en su caso, los límites de los valores que podrán presentarse, tal como resulten de las especificaciones relativas al objeto del</w:t>
      </w:r>
      <w:r>
        <w:rPr>
          <w:spacing w:val="-6"/>
          <w:sz w:val="20"/>
        </w:rPr>
        <w:t> </w:t>
      </w:r>
      <w:r>
        <w:rPr>
          <w:sz w:val="20"/>
        </w:rPr>
        <w:t>contrato;</w:t>
      </w:r>
    </w:p>
    <w:p>
      <w:pPr>
        <w:pStyle w:val="ListParagraph"/>
        <w:numPr>
          <w:ilvl w:val="0"/>
          <w:numId w:val="171"/>
        </w:numPr>
        <w:tabs>
          <w:tab w:pos="1689" w:val="left" w:leader="none"/>
        </w:tabs>
        <w:spacing w:line="249" w:lineRule="auto" w:before="2" w:after="0"/>
        <w:ind w:left="1074" w:right="1276" w:firstLine="340"/>
        <w:jc w:val="left"/>
        <w:rPr>
          <w:sz w:val="20"/>
        </w:rPr>
      </w:pPr>
      <w:r>
        <w:rPr>
          <w:sz w:val="20"/>
        </w:rPr>
        <w:t>la información que se pondrá a disposición de los licitadores durante la subasta electrónica y, cuando proceda, el momento en que se</w:t>
      </w:r>
      <w:r>
        <w:rPr>
          <w:spacing w:val="-9"/>
          <w:sz w:val="20"/>
        </w:rPr>
        <w:t> </w:t>
      </w:r>
      <w:r>
        <w:rPr>
          <w:sz w:val="20"/>
        </w:rPr>
        <w:t>facilitará;</w:t>
      </w:r>
    </w:p>
    <w:p>
      <w:pPr>
        <w:pStyle w:val="ListParagraph"/>
        <w:numPr>
          <w:ilvl w:val="0"/>
          <w:numId w:val="171"/>
        </w:numPr>
        <w:tabs>
          <w:tab w:pos="1648" w:val="left" w:leader="none"/>
        </w:tabs>
        <w:spacing w:line="240" w:lineRule="auto" w:before="1" w:after="0"/>
        <w:ind w:left="1647" w:right="0" w:hanging="234"/>
        <w:jc w:val="left"/>
        <w:rPr>
          <w:sz w:val="20"/>
        </w:rPr>
      </w:pPr>
      <w:r>
        <w:rPr>
          <w:sz w:val="20"/>
        </w:rPr>
        <w:t>la forma en que se desarrollará la</w:t>
      </w:r>
      <w:r>
        <w:rPr>
          <w:spacing w:val="-7"/>
          <w:sz w:val="20"/>
        </w:rPr>
        <w:t> </w:t>
      </w:r>
      <w:r>
        <w:rPr>
          <w:sz w:val="20"/>
        </w:rPr>
        <w:t>subasta;</w:t>
      </w:r>
    </w:p>
    <w:p>
      <w:pPr>
        <w:pStyle w:val="ListParagraph"/>
        <w:numPr>
          <w:ilvl w:val="0"/>
          <w:numId w:val="171"/>
        </w:numPr>
        <w:tabs>
          <w:tab w:pos="1704" w:val="left" w:leader="none"/>
        </w:tabs>
        <w:spacing w:line="249" w:lineRule="auto" w:before="10" w:after="0"/>
        <w:ind w:left="1074" w:right="1274" w:firstLine="340"/>
        <w:jc w:val="left"/>
        <w:rPr>
          <w:sz w:val="20"/>
        </w:rPr>
      </w:pPr>
      <w:r>
        <w:rPr>
          <w:sz w:val="20"/>
        </w:rPr>
        <w:t>las condiciones en que los licitadores podrán pujar y, en particular, las mejoras mínimas que se exigirán, en su caso, para cada</w:t>
      </w:r>
      <w:r>
        <w:rPr>
          <w:spacing w:val="-7"/>
          <w:sz w:val="20"/>
        </w:rPr>
        <w:t> </w:t>
      </w:r>
      <w:r>
        <w:rPr>
          <w:sz w:val="20"/>
        </w:rPr>
        <w:t>puja;</w:t>
      </w:r>
    </w:p>
    <w:p>
      <w:pPr>
        <w:pStyle w:val="ListParagraph"/>
        <w:numPr>
          <w:ilvl w:val="0"/>
          <w:numId w:val="171"/>
        </w:numPr>
        <w:tabs>
          <w:tab w:pos="1629" w:val="left" w:leader="none"/>
        </w:tabs>
        <w:spacing w:line="249" w:lineRule="auto" w:before="2" w:after="0"/>
        <w:ind w:left="1074" w:right="1273" w:firstLine="340"/>
        <w:jc w:val="left"/>
        <w:rPr>
          <w:sz w:val="20"/>
        </w:rPr>
      </w:pPr>
      <w:r>
        <w:rPr>
          <w:sz w:val="20"/>
        </w:rPr>
        <w:t>el dispositivo electrónico utilizado y las modalidades y especificaciones técnicas de conexión.</w:t>
      </w:r>
    </w:p>
    <w:p>
      <w:pPr>
        <w:pStyle w:val="ListParagraph"/>
        <w:numPr>
          <w:ilvl w:val="0"/>
          <w:numId w:val="169"/>
        </w:numPr>
        <w:tabs>
          <w:tab w:pos="1688" w:val="left" w:leader="none"/>
        </w:tabs>
        <w:spacing w:line="249" w:lineRule="auto" w:before="122" w:after="0"/>
        <w:ind w:left="1074" w:right="1273" w:firstLine="340"/>
        <w:jc w:val="both"/>
        <w:rPr>
          <w:sz w:val="20"/>
        </w:rPr>
      </w:pPr>
      <w:r>
        <w:rPr>
          <w:sz w:val="20"/>
        </w:rPr>
        <w:t>Antes de proceder a la subasta electrónica, la entidad contratante efectuará una primera evaluación completa de las ofertas de conformidad con los criterios de adjudicación y, a continuación, invitará simultáneamente, por medios electrónicos, a todos los licitadores que hayan presentado ofertas admisibles a que participen en la subasta</w:t>
      </w:r>
      <w:r>
        <w:rPr>
          <w:spacing w:val="-33"/>
          <w:sz w:val="20"/>
        </w:rPr>
        <w:t> </w:t>
      </w:r>
      <w:r>
        <w:rPr>
          <w:sz w:val="20"/>
        </w:rPr>
        <w:t>electrónica.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pPr>
      <w:r>
        <w:rPr/>
        <w:t>Una oferta se considerará admisible cuando haya sido presentada por un licitador que no haya sido excluido y que cumpla los criterios de selección, y cuya oferta sea conforme con las prescripciones técnicas sin que sea irregular o inaceptable, ni</w:t>
      </w:r>
      <w:r>
        <w:rPr>
          <w:spacing w:val="-21"/>
        </w:rPr>
        <w:t> </w:t>
      </w:r>
      <w:r>
        <w:rPr/>
        <w:t>inadecuada.</w:t>
      </w:r>
    </w:p>
    <w:p>
      <w:pPr>
        <w:pStyle w:val="BodyText"/>
        <w:spacing w:line="249" w:lineRule="auto"/>
        <w:ind w:right="1272"/>
      </w:pPr>
      <w:r>
        <w:rPr/>
        <w:t>Se considerarán irregulares, en particular, las ofertas que no cumplan con lo dispuesto en los pliegos de condiciones, las que se hayan recibido fuera de plazo o que hayan sido consideradas anormalmente bajas por la entidad</w:t>
      </w:r>
      <w:r>
        <w:rPr>
          <w:spacing w:val="-8"/>
        </w:rPr>
        <w:t> </w:t>
      </w:r>
      <w:r>
        <w:rPr/>
        <w:t>contratante.</w:t>
      </w:r>
    </w:p>
    <w:p>
      <w:pPr>
        <w:pStyle w:val="BodyText"/>
        <w:spacing w:line="249" w:lineRule="auto" w:before="3"/>
        <w:ind w:right="1273"/>
      </w:pPr>
      <w:r>
        <w:rPr/>
        <w:t>Se considerarán inaceptables, en particular, las ofertas que no posean la cualificación requerida, y las ofertas cuyo precio rebase el presupuesto de la entidad contratante siempre y cuando el mismo se hubiere determinado y documentado antes del inicio del procedimiento de</w:t>
      </w:r>
      <w:r>
        <w:rPr>
          <w:spacing w:val="-2"/>
        </w:rPr>
        <w:t> </w:t>
      </w:r>
      <w:r>
        <w:rPr/>
        <w:t>licitación.</w:t>
      </w:r>
    </w:p>
    <w:p>
      <w:pPr>
        <w:pStyle w:val="BodyText"/>
        <w:spacing w:line="249" w:lineRule="auto" w:before="3"/>
        <w:ind w:right="1273"/>
      </w:pPr>
      <w:r>
        <w:rPr/>
        <w:t>Se considerará que una oferta o una solicitud de participación no son adecuadas cuando se den las circunstancias que establece el artículo 85.1.a), en sus párrafos 2.º y 3.º.</w:t>
      </w:r>
    </w:p>
    <w:p>
      <w:pPr>
        <w:pStyle w:val="ListParagraph"/>
        <w:numPr>
          <w:ilvl w:val="0"/>
          <w:numId w:val="169"/>
        </w:numPr>
        <w:tabs>
          <w:tab w:pos="1687" w:val="left" w:leader="none"/>
        </w:tabs>
        <w:spacing w:line="249" w:lineRule="auto" w:before="1" w:after="0"/>
        <w:ind w:left="1074" w:right="1274" w:firstLine="340"/>
        <w:jc w:val="both"/>
        <w:rPr>
          <w:sz w:val="20"/>
        </w:rPr>
      </w:pPr>
      <w:r>
        <w:rPr>
          <w:sz w:val="20"/>
        </w:rPr>
        <w:t>La invitación incluirá toda la información pertinente para la conexión individual al dispositivo electrónico utilizado y precisará la fecha y la hora de comienzo de la subasta electrónica.</w:t>
      </w:r>
    </w:p>
    <w:p>
      <w:pPr>
        <w:pStyle w:val="BodyText"/>
        <w:spacing w:line="249" w:lineRule="auto" w:before="3"/>
        <w:ind w:right="1273"/>
      </w:pPr>
      <w:r>
        <w:rPr/>
        <w:t>Igualmente se indicará en la invitación el resultado de la evaluación completa de la oferta del licitador de que se trate y la fórmula matemática que se utilizará para la reclasificación automática de las ofertas en función de los nuevos precios, revisados a la baja, o de los nuevos valores, que mejoren la oferta, que se presenten.</w:t>
      </w:r>
    </w:p>
    <w:p>
      <w:pPr>
        <w:pStyle w:val="BodyText"/>
        <w:spacing w:line="249" w:lineRule="auto" w:before="3"/>
        <w:ind w:right="1274"/>
      </w:pPr>
      <w:r>
        <w:rPr/>
        <w:t>Excepto en el supuesto de que la mejor oferta se determine sobre la base del precio exclusivamente, esta fórmula incorporará la ponderación de todos los criterios fijados para determinar la oferta económicamente más ventajosa, tal como se haya indicado en el anuncio utilizado como medio de convocatoria de licitación o en la invitación inicialmente enviada a los candidatos seleccionados y en el pliego de condiciones, para lo cual, las eventuales</w:t>
      </w:r>
      <w:r>
        <w:rPr>
          <w:spacing w:val="-5"/>
        </w:rPr>
        <w:t> </w:t>
      </w:r>
      <w:r>
        <w:rPr/>
        <w:t>bandas</w:t>
      </w:r>
      <w:r>
        <w:rPr>
          <w:spacing w:val="-4"/>
        </w:rPr>
        <w:t> </w:t>
      </w:r>
      <w:r>
        <w:rPr/>
        <w:t>de</w:t>
      </w:r>
      <w:r>
        <w:rPr>
          <w:spacing w:val="-4"/>
        </w:rPr>
        <w:t> </w:t>
      </w:r>
      <w:r>
        <w:rPr/>
        <w:t>valores</w:t>
      </w:r>
      <w:r>
        <w:rPr>
          <w:spacing w:val="-4"/>
        </w:rPr>
        <w:t> </w:t>
      </w:r>
      <w:r>
        <w:rPr/>
        <w:t>deberán</w:t>
      </w:r>
      <w:r>
        <w:rPr>
          <w:spacing w:val="-4"/>
        </w:rPr>
        <w:t> </w:t>
      </w:r>
      <w:r>
        <w:rPr/>
        <w:t>expresarse</w:t>
      </w:r>
      <w:r>
        <w:rPr>
          <w:spacing w:val="-4"/>
        </w:rPr>
        <w:t> </w:t>
      </w:r>
      <w:r>
        <w:rPr/>
        <w:t>previamente</w:t>
      </w:r>
      <w:r>
        <w:rPr>
          <w:spacing w:val="-5"/>
        </w:rPr>
        <w:t> </w:t>
      </w:r>
      <w:r>
        <w:rPr/>
        <w:t>con</w:t>
      </w:r>
      <w:r>
        <w:rPr>
          <w:spacing w:val="-3"/>
        </w:rPr>
        <w:t> </w:t>
      </w:r>
      <w:r>
        <w:rPr/>
        <w:t>un</w:t>
      </w:r>
      <w:r>
        <w:rPr>
          <w:spacing w:val="-4"/>
        </w:rPr>
        <w:t> </w:t>
      </w:r>
      <w:r>
        <w:rPr/>
        <w:t>valor</w:t>
      </w:r>
      <w:r>
        <w:rPr>
          <w:spacing w:val="-4"/>
        </w:rPr>
        <w:t> </w:t>
      </w:r>
      <w:r>
        <w:rPr/>
        <w:t>determinado.</w:t>
      </w:r>
    </w:p>
    <w:p>
      <w:pPr>
        <w:pStyle w:val="BodyText"/>
        <w:spacing w:line="249" w:lineRule="auto" w:before="5"/>
        <w:ind w:right="1275"/>
      </w:pPr>
      <w:r>
        <w:rPr/>
        <w:t>En caso de que se autorice la presentación de variantes, se proporcionará una fórmula para cada una de ellas.</w:t>
      </w:r>
    </w:p>
    <w:p>
      <w:pPr>
        <w:pStyle w:val="ListParagraph"/>
        <w:numPr>
          <w:ilvl w:val="0"/>
          <w:numId w:val="169"/>
        </w:numPr>
        <w:tabs>
          <w:tab w:pos="1665" w:val="left" w:leader="none"/>
        </w:tabs>
        <w:spacing w:line="249" w:lineRule="auto" w:before="2" w:after="0"/>
        <w:ind w:left="1074" w:right="1275" w:firstLine="340"/>
        <w:jc w:val="both"/>
        <w:rPr>
          <w:sz w:val="20"/>
        </w:rPr>
      </w:pPr>
      <w:r>
        <w:rPr>
          <w:sz w:val="20"/>
        </w:rPr>
        <w:t>Entre la fecha de envío de las invitaciones y el comienzo de la subasta electrónica habrán de transcurrir, al menos, dos días</w:t>
      </w:r>
      <w:r>
        <w:rPr>
          <w:spacing w:val="-7"/>
          <w:sz w:val="20"/>
        </w:rPr>
        <w:t> </w:t>
      </w:r>
      <w:r>
        <w:rPr>
          <w:sz w:val="20"/>
        </w:rPr>
        <w:t>hábiles.</w:t>
      </w:r>
    </w:p>
    <w:p>
      <w:pPr>
        <w:pStyle w:val="ListParagraph"/>
        <w:numPr>
          <w:ilvl w:val="0"/>
          <w:numId w:val="169"/>
        </w:numPr>
        <w:tabs>
          <w:tab w:pos="1637" w:val="left" w:leader="none"/>
        </w:tabs>
        <w:spacing w:line="240" w:lineRule="auto" w:before="1" w:after="0"/>
        <w:ind w:left="1636" w:right="0" w:hanging="223"/>
        <w:jc w:val="both"/>
        <w:rPr>
          <w:sz w:val="20"/>
        </w:rPr>
      </w:pPr>
      <w:r>
        <w:rPr>
          <w:sz w:val="20"/>
        </w:rPr>
        <w:t>La subasta electrónica podrá desarrollarse en varias fases</w:t>
      </w:r>
      <w:r>
        <w:rPr>
          <w:spacing w:val="-9"/>
          <w:sz w:val="20"/>
        </w:rPr>
        <w:t> </w:t>
      </w:r>
      <w:r>
        <w:rPr>
          <w:sz w:val="20"/>
        </w:rPr>
        <w:t>sucesivas.</w:t>
      </w:r>
    </w:p>
    <w:p>
      <w:pPr>
        <w:pStyle w:val="BodyText"/>
        <w:spacing w:line="249" w:lineRule="auto" w:before="10"/>
        <w:ind w:right="1273"/>
      </w:pPr>
      <w:r>
        <w:rPr/>
        <w:t>A lo largo de cada fase de la subasta, y de forma continua e instantánea, se comunicará a los licitadores, como mínimo, la información que les permita conocer su respectiva clasificación en cada</w:t>
      </w:r>
      <w:r>
        <w:rPr>
          <w:spacing w:val="-2"/>
        </w:rPr>
        <w:t> </w:t>
      </w:r>
      <w:r>
        <w:rPr/>
        <w:t>momento.</w:t>
      </w:r>
    </w:p>
    <w:p>
      <w:pPr>
        <w:pStyle w:val="BodyText"/>
        <w:spacing w:line="249" w:lineRule="auto" w:before="3"/>
        <w:ind w:right="1271"/>
      </w:pPr>
      <w:r>
        <w:rPr/>
        <w:t>Adicionalmente, se podrán facilitar otros datos relativos a los precios o valores presentados por los restantes licitadores, siempre que ello esté contemplado en el pliego de condiciones, y anunciarse el número de los que están participando en la correspondiente fase de la subasta, sin que en ningún caso pueda divulgarse su</w:t>
      </w:r>
      <w:r>
        <w:rPr>
          <w:spacing w:val="-16"/>
        </w:rPr>
        <w:t> </w:t>
      </w:r>
      <w:r>
        <w:rPr/>
        <w:t>identidad.</w:t>
      </w:r>
    </w:p>
    <w:p>
      <w:pPr>
        <w:pStyle w:val="ListParagraph"/>
        <w:numPr>
          <w:ilvl w:val="0"/>
          <w:numId w:val="169"/>
        </w:numPr>
        <w:tabs>
          <w:tab w:pos="1637" w:val="left" w:leader="none"/>
        </w:tabs>
        <w:spacing w:line="240" w:lineRule="auto" w:before="3" w:after="0"/>
        <w:ind w:left="1636" w:right="0" w:hanging="223"/>
        <w:jc w:val="both"/>
        <w:rPr>
          <w:sz w:val="20"/>
        </w:rPr>
      </w:pPr>
      <w:r>
        <w:rPr>
          <w:sz w:val="20"/>
        </w:rPr>
        <w:t>El cierre de la subasta se fijará por referencia a uno o varios de los siguientes</w:t>
      </w:r>
      <w:r>
        <w:rPr>
          <w:spacing w:val="-12"/>
          <w:sz w:val="20"/>
        </w:rPr>
        <w:t> </w:t>
      </w:r>
      <w:r>
        <w:rPr>
          <w:sz w:val="20"/>
        </w:rPr>
        <w:t>criterios:</w:t>
      </w:r>
    </w:p>
    <w:p>
      <w:pPr>
        <w:pStyle w:val="ListParagraph"/>
        <w:numPr>
          <w:ilvl w:val="0"/>
          <w:numId w:val="172"/>
        </w:numPr>
        <w:tabs>
          <w:tab w:pos="1664" w:val="left" w:leader="none"/>
        </w:tabs>
        <w:spacing w:line="249" w:lineRule="auto" w:before="130" w:after="0"/>
        <w:ind w:left="1074" w:right="1272" w:firstLine="340"/>
        <w:jc w:val="both"/>
        <w:rPr>
          <w:sz w:val="20"/>
        </w:rPr>
      </w:pPr>
      <w:r>
        <w:rPr>
          <w:sz w:val="20"/>
        </w:rPr>
        <w:t>Mediante el señalamiento de una fecha y hora concretas, que deberán ser indicadas en la invitación a participar en la</w:t>
      </w:r>
      <w:r>
        <w:rPr>
          <w:spacing w:val="-9"/>
          <w:sz w:val="20"/>
        </w:rPr>
        <w:t> </w:t>
      </w:r>
      <w:r>
        <w:rPr>
          <w:sz w:val="20"/>
        </w:rPr>
        <w:t>subasta.</w:t>
      </w:r>
    </w:p>
    <w:p>
      <w:pPr>
        <w:pStyle w:val="ListParagraph"/>
        <w:numPr>
          <w:ilvl w:val="0"/>
          <w:numId w:val="172"/>
        </w:numPr>
        <w:tabs>
          <w:tab w:pos="1683" w:val="left" w:leader="none"/>
        </w:tabs>
        <w:spacing w:line="249" w:lineRule="auto" w:before="2" w:after="0"/>
        <w:ind w:left="1074" w:right="1274" w:firstLine="340"/>
        <w:jc w:val="both"/>
        <w:rPr>
          <w:sz w:val="20"/>
        </w:rPr>
      </w:pPr>
      <w:r>
        <w:rPr>
          <w:sz w:val="20"/>
        </w:rPr>
        <w:t>Atendiendo a la falta de presentación de nuevos precios o de nuevos valores que cumplan los requisitos establecidos en relación con la formulación de mejoras</w:t>
      </w:r>
      <w:r>
        <w:rPr>
          <w:spacing w:val="-14"/>
          <w:sz w:val="20"/>
        </w:rPr>
        <w:t> </w:t>
      </w:r>
      <w:r>
        <w:rPr>
          <w:sz w:val="20"/>
        </w:rPr>
        <w:t>mínimas.</w:t>
      </w:r>
    </w:p>
    <w:p>
      <w:pPr>
        <w:pStyle w:val="BodyText"/>
        <w:spacing w:line="249" w:lineRule="auto" w:before="1"/>
        <w:ind w:right="1273"/>
      </w:pPr>
      <w:r>
        <w:rPr/>
        <w:t>De utilizarse esta referencia, en la invitación a participar en la subasta se especificará el plazo que deberá transcurrir a partir de la recepción de la última puja antes de declarar su cierre.</w:t>
      </w:r>
    </w:p>
    <w:p>
      <w:pPr>
        <w:pStyle w:val="ListParagraph"/>
        <w:numPr>
          <w:ilvl w:val="0"/>
          <w:numId w:val="172"/>
        </w:numPr>
        <w:tabs>
          <w:tab w:pos="1674" w:val="left" w:leader="none"/>
        </w:tabs>
        <w:spacing w:line="249" w:lineRule="auto" w:before="3" w:after="0"/>
        <w:ind w:left="1074" w:right="1274" w:firstLine="340"/>
        <w:jc w:val="both"/>
        <w:rPr>
          <w:sz w:val="20"/>
        </w:rPr>
      </w:pPr>
      <w:r>
        <w:rPr>
          <w:sz w:val="20"/>
        </w:rPr>
        <w:t>Por finalización del número de fases establecido en la invitación a participar en la subasta. Cuando el cierre de la subasta deba producirse aplicando este criterio, la invitación a participar en la misma indicará el calendario a observar en cada una de sus</w:t>
      </w:r>
      <w:r>
        <w:rPr>
          <w:spacing w:val="-26"/>
          <w:sz w:val="20"/>
        </w:rPr>
        <w:t> </w:t>
      </w:r>
      <w:r>
        <w:rPr>
          <w:sz w:val="20"/>
        </w:rPr>
        <w:t>fases.</w:t>
      </w:r>
    </w:p>
    <w:p>
      <w:pPr>
        <w:pStyle w:val="ListParagraph"/>
        <w:numPr>
          <w:ilvl w:val="0"/>
          <w:numId w:val="169"/>
        </w:numPr>
        <w:tabs>
          <w:tab w:pos="1769" w:val="left" w:leader="none"/>
        </w:tabs>
        <w:spacing w:line="249" w:lineRule="auto" w:before="122" w:after="0"/>
        <w:ind w:left="1074" w:right="1274" w:firstLine="340"/>
        <w:jc w:val="both"/>
        <w:rPr>
          <w:sz w:val="20"/>
        </w:rPr>
      </w:pPr>
      <w:r>
        <w:rPr>
          <w:sz w:val="20"/>
        </w:rPr>
        <w:t>Una vez concluida la subasta electrónica, el contrato se adjudicará de conformidad con lo establecido en el artículo 72, en función de sus</w:t>
      </w:r>
      <w:r>
        <w:rPr>
          <w:spacing w:val="-13"/>
          <w:sz w:val="20"/>
        </w:rPr>
        <w:t> </w:t>
      </w:r>
      <w:r>
        <w:rPr>
          <w:sz w:val="20"/>
        </w:rPr>
        <w:t>resultados.</w:t>
      </w:r>
    </w:p>
    <w:p>
      <w:pPr>
        <w:pStyle w:val="ListParagraph"/>
        <w:numPr>
          <w:ilvl w:val="0"/>
          <w:numId w:val="169"/>
        </w:numPr>
        <w:tabs>
          <w:tab w:pos="1795" w:val="left" w:leader="none"/>
        </w:tabs>
        <w:spacing w:line="249" w:lineRule="auto" w:before="2" w:after="0"/>
        <w:ind w:left="1074" w:right="1273" w:firstLine="340"/>
        <w:jc w:val="both"/>
        <w:rPr>
          <w:sz w:val="20"/>
        </w:rPr>
      </w:pPr>
      <w:r>
        <w:rPr>
          <w:sz w:val="20"/>
        </w:rPr>
        <w:t>No se adjudicarán mediante subasta electrónica los contratos cuyo objeto tenga relación con la calidad</w:t>
      </w:r>
      <w:r>
        <w:rPr>
          <w:spacing w:val="-2"/>
          <w:sz w:val="20"/>
        </w:rPr>
        <w:t> </w:t>
      </w:r>
      <w:r>
        <w:rPr>
          <w:sz w:val="20"/>
        </w:rPr>
        <w:t>alimentaria.</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98. Catálogos electrónicos." w:id="157"/>
      <w:bookmarkEnd w:id="157"/>
      <w:r>
        <w:rPr/>
      </w:r>
      <w:r>
        <w:rPr>
          <w:b/>
          <w:sz w:val="20"/>
        </w:rPr>
        <w:t>Artículo 98.  </w:t>
      </w:r>
      <w:r>
        <w:rPr>
          <w:i/>
          <w:sz w:val="20"/>
        </w:rPr>
        <w:t>Catálogos</w:t>
      </w:r>
      <w:r>
        <w:rPr>
          <w:i/>
          <w:spacing w:val="-32"/>
          <w:sz w:val="20"/>
        </w:rPr>
        <w:t> </w:t>
      </w:r>
      <w:r>
        <w:rPr>
          <w:i/>
          <w:sz w:val="20"/>
        </w:rPr>
        <w:t>electrónicos.</w:t>
      </w:r>
    </w:p>
    <w:p>
      <w:pPr>
        <w:pStyle w:val="ListParagraph"/>
        <w:numPr>
          <w:ilvl w:val="0"/>
          <w:numId w:val="173"/>
        </w:numPr>
        <w:tabs>
          <w:tab w:pos="1652" w:val="left" w:leader="none"/>
        </w:tabs>
        <w:spacing w:line="249" w:lineRule="auto" w:before="118" w:after="0"/>
        <w:ind w:left="1074" w:right="1274" w:firstLine="340"/>
        <w:jc w:val="both"/>
        <w:rPr>
          <w:sz w:val="20"/>
        </w:rPr>
      </w:pPr>
      <w:r>
        <w:rPr>
          <w:sz w:val="20"/>
        </w:rPr>
        <w:t>Cuando sea necesario el uso de medios de comunicación electrónicos, las entidades contratantes podrán exigir que las ofertas se presenten en forma de catálogo electrónico o que incluyan un catálogo</w:t>
      </w:r>
      <w:r>
        <w:rPr>
          <w:spacing w:val="-4"/>
          <w:sz w:val="20"/>
        </w:rPr>
        <w:t> </w:t>
      </w:r>
      <w:r>
        <w:rPr>
          <w:sz w:val="20"/>
        </w:rPr>
        <w:t>electrónico.</w:t>
      </w:r>
    </w:p>
    <w:p>
      <w:pPr>
        <w:pStyle w:val="BodyText"/>
        <w:spacing w:line="249" w:lineRule="auto"/>
        <w:ind w:right="1275"/>
      </w:pPr>
      <w:r>
        <w:rPr/>
        <w:t>Las ofertas presentadas en forma de catálogo electrónico podrán ir acompañadas de otros documentos que las</w:t>
      </w:r>
      <w:r>
        <w:rPr>
          <w:spacing w:val="-5"/>
        </w:rPr>
        <w:t> </w:t>
      </w:r>
      <w:r>
        <w:rPr/>
        <w:t>completen.</w:t>
      </w:r>
    </w:p>
    <w:p>
      <w:pPr>
        <w:pStyle w:val="ListParagraph"/>
        <w:numPr>
          <w:ilvl w:val="0"/>
          <w:numId w:val="173"/>
        </w:numPr>
        <w:tabs>
          <w:tab w:pos="1682" w:val="left" w:leader="none"/>
        </w:tabs>
        <w:spacing w:line="249" w:lineRule="auto" w:before="2" w:after="0"/>
        <w:ind w:left="1074" w:right="1274" w:firstLine="340"/>
        <w:jc w:val="both"/>
        <w:rPr>
          <w:sz w:val="20"/>
        </w:rPr>
      </w:pPr>
      <w:r>
        <w:rPr>
          <w:sz w:val="20"/>
        </w:rPr>
        <w:t>Los catálogos electrónicos serán elaborados por los candidatos o licitadores para participar en un procedimiento de licitación de conformidad con las especificaciones técnicas y el formato establecidos por la entidad</w:t>
      </w:r>
      <w:r>
        <w:rPr>
          <w:spacing w:val="-7"/>
          <w:sz w:val="20"/>
        </w:rPr>
        <w:t> </w:t>
      </w:r>
      <w:r>
        <w:rPr>
          <w:sz w:val="20"/>
        </w:rPr>
        <w:t>contratante.</w:t>
      </w:r>
    </w:p>
    <w:p>
      <w:pPr>
        <w:pStyle w:val="BodyText"/>
        <w:spacing w:line="249" w:lineRule="auto"/>
        <w:ind w:right="1274"/>
      </w:pPr>
      <w:r>
        <w:rPr/>
        <w:t>Además, los catálogos electrónicos deberán cumplir los requisitos aplicables a las herramientas de comunicación electrónicas, así como cualquier otro establecido por la entidad contratante de conformidad con el artículo 61.</w:t>
      </w:r>
    </w:p>
    <w:p>
      <w:pPr>
        <w:pStyle w:val="ListParagraph"/>
        <w:numPr>
          <w:ilvl w:val="0"/>
          <w:numId w:val="173"/>
        </w:numPr>
        <w:tabs>
          <w:tab w:pos="1676" w:val="left" w:leader="none"/>
        </w:tabs>
        <w:spacing w:line="249" w:lineRule="auto" w:before="3" w:after="0"/>
        <w:ind w:left="1074" w:right="1274" w:firstLine="340"/>
        <w:jc w:val="both"/>
        <w:rPr>
          <w:sz w:val="20"/>
        </w:rPr>
      </w:pPr>
      <w:r>
        <w:rPr>
          <w:sz w:val="20"/>
        </w:rPr>
        <w:t>Cuando se acepte o se exija la presentación de las ofertas en forma de catálogo electrónico, las entidades</w:t>
      </w:r>
      <w:r>
        <w:rPr>
          <w:spacing w:val="-4"/>
          <w:sz w:val="20"/>
        </w:rPr>
        <w:t> </w:t>
      </w:r>
      <w:r>
        <w:rPr>
          <w:sz w:val="20"/>
        </w:rPr>
        <w:t>contratantes:</w:t>
      </w:r>
    </w:p>
    <w:p>
      <w:pPr>
        <w:pStyle w:val="ListParagraph"/>
        <w:numPr>
          <w:ilvl w:val="0"/>
          <w:numId w:val="174"/>
        </w:numPr>
        <w:tabs>
          <w:tab w:pos="1665" w:val="left" w:leader="none"/>
        </w:tabs>
        <w:spacing w:line="249" w:lineRule="auto" w:before="121" w:after="0"/>
        <w:ind w:left="1074" w:right="1274" w:firstLine="340"/>
        <w:jc w:val="both"/>
        <w:rPr>
          <w:sz w:val="20"/>
        </w:rPr>
      </w:pPr>
      <w:r>
        <w:rPr>
          <w:sz w:val="20"/>
        </w:rPr>
        <w:t>Lo harán constar en el anuncio que sirva de convocatoria de licitación o, en caso de que el medio de convocatoria de licitación sea un anuncio sobre la existencia de un sistema de clasificación, en la invitación a licitar o a</w:t>
      </w:r>
      <w:r>
        <w:rPr>
          <w:spacing w:val="-12"/>
          <w:sz w:val="20"/>
        </w:rPr>
        <w:t> </w:t>
      </w:r>
      <w:r>
        <w:rPr>
          <w:sz w:val="20"/>
        </w:rPr>
        <w:t>negociar;</w:t>
      </w:r>
    </w:p>
    <w:p>
      <w:pPr>
        <w:pStyle w:val="ListParagraph"/>
        <w:numPr>
          <w:ilvl w:val="0"/>
          <w:numId w:val="174"/>
        </w:numPr>
        <w:tabs>
          <w:tab w:pos="1654" w:val="left" w:leader="none"/>
        </w:tabs>
        <w:spacing w:line="249" w:lineRule="auto" w:before="3" w:after="0"/>
        <w:ind w:left="1074" w:right="1274" w:firstLine="340"/>
        <w:jc w:val="both"/>
        <w:rPr>
          <w:sz w:val="20"/>
        </w:rPr>
      </w:pPr>
      <w:r>
        <w:rPr>
          <w:sz w:val="20"/>
        </w:rPr>
        <w:t>indicarán en los pliegos de condiciones toda la información necesaria, de conformidad con el artículo 61, en relación con el formato, el equipo electrónico utilizado y las modalidades y especificaciones técnicas de</w:t>
      </w:r>
      <w:r>
        <w:rPr>
          <w:spacing w:val="-4"/>
          <w:sz w:val="20"/>
        </w:rPr>
        <w:t> </w:t>
      </w:r>
      <w:r>
        <w:rPr>
          <w:sz w:val="20"/>
        </w:rPr>
        <w:t>conexión.</w:t>
      </w:r>
    </w:p>
    <w:p>
      <w:pPr>
        <w:pStyle w:val="ListParagraph"/>
        <w:numPr>
          <w:ilvl w:val="0"/>
          <w:numId w:val="173"/>
        </w:numPr>
        <w:tabs>
          <w:tab w:pos="1646" w:val="left" w:leader="none"/>
        </w:tabs>
        <w:spacing w:line="249" w:lineRule="auto" w:before="122" w:after="0"/>
        <w:ind w:left="1074" w:right="1273" w:firstLine="340"/>
        <w:jc w:val="both"/>
        <w:rPr>
          <w:sz w:val="20"/>
        </w:rPr>
      </w:pPr>
      <w:r>
        <w:rPr>
          <w:sz w:val="20"/>
        </w:rPr>
        <w:t>Cuando se haya celebrado un acuerdo marco con varios operadores económicos tras la presentación de ofertas en forma de catálogos electrónicos, las entidades contratantes podrán disponer que las nuevas licitaciones que se convoquen para la adjudicación de contratos específicos se basen en catálogos actualizados. En este caso, las entidades contratantes deberán utilizar uno de los siguientes</w:t>
      </w:r>
      <w:r>
        <w:rPr>
          <w:spacing w:val="-8"/>
          <w:sz w:val="20"/>
        </w:rPr>
        <w:t> </w:t>
      </w:r>
      <w:r>
        <w:rPr>
          <w:sz w:val="20"/>
        </w:rPr>
        <w:t>métodos:</w:t>
      </w:r>
    </w:p>
    <w:p>
      <w:pPr>
        <w:pStyle w:val="ListParagraph"/>
        <w:numPr>
          <w:ilvl w:val="0"/>
          <w:numId w:val="175"/>
        </w:numPr>
        <w:tabs>
          <w:tab w:pos="1683" w:val="left" w:leader="none"/>
        </w:tabs>
        <w:spacing w:line="249" w:lineRule="auto" w:before="124" w:after="0"/>
        <w:ind w:left="1074" w:right="1275" w:firstLine="340"/>
        <w:jc w:val="both"/>
        <w:rPr>
          <w:sz w:val="20"/>
        </w:rPr>
      </w:pPr>
      <w:r>
        <w:rPr>
          <w:sz w:val="20"/>
        </w:rPr>
        <w:t>Bien invitar a los licitadores a que vuelvan a presentar sus catálogos electrónicos, adaptados a los requisitos del contrato</w:t>
      </w:r>
      <w:r>
        <w:rPr>
          <w:spacing w:val="-6"/>
          <w:sz w:val="20"/>
        </w:rPr>
        <w:t> </w:t>
      </w:r>
      <w:r>
        <w:rPr>
          <w:sz w:val="20"/>
        </w:rPr>
        <w:t>específico;</w:t>
      </w:r>
    </w:p>
    <w:p>
      <w:pPr>
        <w:pStyle w:val="ListParagraph"/>
        <w:numPr>
          <w:ilvl w:val="0"/>
          <w:numId w:val="175"/>
        </w:numPr>
        <w:tabs>
          <w:tab w:pos="1688" w:val="left" w:leader="none"/>
        </w:tabs>
        <w:spacing w:line="249" w:lineRule="auto" w:before="2" w:after="0"/>
        <w:ind w:left="1074" w:right="1272" w:firstLine="340"/>
        <w:jc w:val="both"/>
        <w:rPr>
          <w:sz w:val="20"/>
        </w:rPr>
      </w:pPr>
      <w:r>
        <w:rPr>
          <w:sz w:val="20"/>
        </w:rPr>
        <w:t>o bien notificar a los licitadores su intención de obtener, a partir de los catálogos electrónicos ya presentados, la información necesaria para constituir ofertas adaptadas a los requisitos del contrato en cuestión, siempre que el uso de este método haya sido anunciado en los pliegos de condiciones del acuerdo</w:t>
      </w:r>
      <w:r>
        <w:rPr>
          <w:spacing w:val="-8"/>
          <w:sz w:val="20"/>
        </w:rPr>
        <w:t> </w:t>
      </w:r>
      <w:r>
        <w:rPr>
          <w:sz w:val="20"/>
        </w:rPr>
        <w:t>marco.</w:t>
      </w:r>
    </w:p>
    <w:p>
      <w:pPr>
        <w:pStyle w:val="ListParagraph"/>
        <w:numPr>
          <w:ilvl w:val="0"/>
          <w:numId w:val="173"/>
        </w:numPr>
        <w:tabs>
          <w:tab w:pos="1695" w:val="left" w:leader="none"/>
        </w:tabs>
        <w:spacing w:line="249" w:lineRule="auto" w:before="123" w:after="0"/>
        <w:ind w:left="1074" w:right="1274" w:firstLine="340"/>
        <w:jc w:val="both"/>
        <w:rPr>
          <w:sz w:val="20"/>
        </w:rPr>
      </w:pPr>
      <w:r>
        <w:rPr>
          <w:sz w:val="20"/>
        </w:rPr>
        <w:t>Cuando las entidades contratantes convoquen nuevas licitaciones para contratos específicos de conformidad con el apartado 4, letra b), notificarán a los licitadores la fecha y la hora en las que prevén recopilar la información necesaria para constituir ofertas adaptadas a los requisitos del contrato específico en cuestión, y ofrecerán a los licitadores la posibilidad de negarse a que se realice dicha recopilación de</w:t>
      </w:r>
      <w:r>
        <w:rPr>
          <w:spacing w:val="-10"/>
          <w:sz w:val="20"/>
        </w:rPr>
        <w:t> </w:t>
      </w:r>
      <w:r>
        <w:rPr>
          <w:sz w:val="20"/>
        </w:rPr>
        <w:t>información.</w:t>
      </w:r>
    </w:p>
    <w:p>
      <w:pPr>
        <w:pStyle w:val="BodyText"/>
        <w:spacing w:line="249" w:lineRule="auto" w:before="5"/>
        <w:ind w:right="1274"/>
      </w:pPr>
      <w:r>
        <w:rPr/>
        <w:t>Las entidades contratantes establecerán un lapso de tiempo adecuado entre la notificación y la recopilación efectiva de la información.</w:t>
      </w:r>
    </w:p>
    <w:p>
      <w:pPr>
        <w:pStyle w:val="BodyText"/>
        <w:spacing w:line="249" w:lineRule="auto" w:before="1"/>
        <w:ind w:right="1274"/>
      </w:pPr>
      <w:r>
        <w:rPr/>
        <w:t>Antes de adjudicar el contrato, las entidades contratantes presentarán la información recopilada al licitador interesado, a fin de darle la oportunidad de impugnar o confirmar que la oferta así constituida no contiene ningún error</w:t>
      </w:r>
      <w:r>
        <w:rPr>
          <w:spacing w:val="-9"/>
        </w:rPr>
        <w:t> </w:t>
      </w:r>
      <w:r>
        <w:rPr/>
        <w:t>material.</w:t>
      </w:r>
    </w:p>
    <w:p>
      <w:pPr>
        <w:pStyle w:val="ListParagraph"/>
        <w:numPr>
          <w:ilvl w:val="0"/>
          <w:numId w:val="173"/>
        </w:numPr>
        <w:tabs>
          <w:tab w:pos="1715" w:val="left" w:leader="none"/>
        </w:tabs>
        <w:spacing w:line="249" w:lineRule="auto" w:before="3" w:after="0"/>
        <w:ind w:left="1074" w:right="1275" w:firstLine="340"/>
        <w:jc w:val="both"/>
        <w:rPr>
          <w:sz w:val="20"/>
        </w:rPr>
      </w:pPr>
      <w:r>
        <w:rPr>
          <w:sz w:val="20"/>
        </w:rPr>
        <w:t>Las entidades contratantes podrán adjudicar contratos basados en un sistema dinámico de adquisición exigiendo que las ofertas de un contrato específico se presenten en forma de catálogo</w:t>
      </w:r>
      <w:r>
        <w:rPr>
          <w:spacing w:val="-2"/>
          <w:sz w:val="20"/>
        </w:rPr>
        <w:t> </w:t>
      </w:r>
      <w:r>
        <w:rPr>
          <w:sz w:val="20"/>
        </w:rPr>
        <w:t>electrónico.</w:t>
      </w:r>
    </w:p>
    <w:p>
      <w:pPr>
        <w:pStyle w:val="BodyText"/>
        <w:spacing w:line="249" w:lineRule="auto"/>
        <w:ind w:right="1272"/>
      </w:pPr>
      <w:r>
        <w:rPr/>
        <w:t>Asimismo, las entidades contratantes podrán adjudicar contratos basados en un sistema dinámico de adquisición conforme a lo dispuesto en el apartado 4, letra b), y en el apartado 5, siempre que la solicitud de participación en el sistema dinámico de adquisición vaya acompañada de un catálogo electrónico de conformidad con las especificaciones técnicas y el formato establecidos por la entidad contratante. Este catálogo será completado posteriormente por los candidatos, cuando se les informe de la intención de la entidad contratante de constituir las ofertas mediante el procedimiento establecido en el apartado 4, letra</w:t>
      </w:r>
      <w:r>
        <w:rPr>
          <w:spacing w:val="-2"/>
        </w:rPr>
        <w:t> </w:t>
      </w:r>
      <w:r>
        <w:rPr/>
        <w:t>b).</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8"/>
        <w:ind w:left="0" w:firstLine="0"/>
        <w:jc w:val="left"/>
        <w:rPr>
          <w:sz w:val="22"/>
        </w:rPr>
      </w:pPr>
    </w:p>
    <w:p>
      <w:pPr>
        <w:pStyle w:val="BodyText"/>
        <w:spacing w:before="94"/>
        <w:ind w:left="2929" w:right="3127" w:firstLine="0"/>
        <w:jc w:val="center"/>
      </w:pPr>
      <w:bookmarkStart w:name="CAPÍTULO II. Concursos de proyectos" w:id="158"/>
      <w:bookmarkEnd w:id="158"/>
      <w:r>
        <w:rPr/>
      </w:r>
      <w:bookmarkStart w:name="_bookmark29" w:id="159"/>
      <w:bookmarkEnd w:id="159"/>
      <w:r>
        <w:rPr/>
      </w:r>
      <w:r>
        <w:rPr/>
        <w:t>CAPÍTULO II</w:t>
      </w:r>
    </w:p>
    <w:p>
      <w:pPr>
        <w:pStyle w:val="Heading1"/>
        <w:spacing w:before="124"/>
        <w:ind w:left="2930"/>
      </w:pPr>
      <w:r>
        <w:rPr/>
        <w:t>Concursos de proyectos</w:t>
      </w:r>
    </w:p>
    <w:p>
      <w:pPr>
        <w:pStyle w:val="BodyText"/>
        <w:spacing w:before="6"/>
        <w:ind w:left="0" w:firstLine="0"/>
        <w:jc w:val="left"/>
        <w:rPr>
          <w:b/>
        </w:rPr>
      </w:pPr>
    </w:p>
    <w:p>
      <w:pPr>
        <w:spacing w:before="0"/>
        <w:ind w:left="1074" w:right="0" w:firstLine="0"/>
        <w:jc w:val="both"/>
        <w:rPr>
          <w:i/>
          <w:sz w:val="20"/>
        </w:rPr>
      </w:pPr>
      <w:bookmarkStart w:name="Artículo 99. Organización del concurso d" w:id="160"/>
      <w:bookmarkEnd w:id="160"/>
      <w:r>
        <w:rPr/>
      </w:r>
      <w:r>
        <w:rPr>
          <w:b/>
          <w:sz w:val="20"/>
        </w:rPr>
        <w:t>Artículo 99. </w:t>
      </w:r>
      <w:r>
        <w:rPr>
          <w:i/>
          <w:sz w:val="20"/>
        </w:rPr>
        <w:t>Organización del concurso de proyectos.</w:t>
      </w:r>
    </w:p>
    <w:p>
      <w:pPr>
        <w:pStyle w:val="ListParagraph"/>
        <w:numPr>
          <w:ilvl w:val="0"/>
          <w:numId w:val="176"/>
        </w:numPr>
        <w:tabs>
          <w:tab w:pos="1653" w:val="left" w:leader="none"/>
        </w:tabs>
        <w:spacing w:line="249" w:lineRule="auto" w:before="118" w:after="0"/>
        <w:ind w:left="1074" w:right="1274" w:firstLine="340"/>
        <w:jc w:val="both"/>
        <w:rPr>
          <w:sz w:val="20"/>
        </w:rPr>
      </w:pPr>
      <w:r>
        <w:rPr>
          <w:sz w:val="20"/>
        </w:rPr>
        <w:t>Las normas relativas a la organización de un concurso de proyectos se establecerán de conformidad con los requisitos del presente Capítulo y se pondrán a disposición de quienes estén interesados en participar en el</w:t>
      </w:r>
      <w:r>
        <w:rPr>
          <w:spacing w:val="-11"/>
          <w:sz w:val="20"/>
        </w:rPr>
        <w:t> </w:t>
      </w:r>
      <w:r>
        <w:rPr>
          <w:sz w:val="20"/>
        </w:rPr>
        <w:t>concurso.</w:t>
      </w:r>
    </w:p>
    <w:p>
      <w:pPr>
        <w:pStyle w:val="ListParagraph"/>
        <w:numPr>
          <w:ilvl w:val="0"/>
          <w:numId w:val="176"/>
        </w:numPr>
        <w:tabs>
          <w:tab w:pos="1663" w:val="left" w:leader="none"/>
        </w:tabs>
        <w:spacing w:line="249" w:lineRule="auto" w:before="2" w:after="0"/>
        <w:ind w:left="1074" w:right="1273" w:firstLine="340"/>
        <w:jc w:val="both"/>
        <w:rPr>
          <w:sz w:val="20"/>
        </w:rPr>
      </w:pPr>
      <w:r>
        <w:rPr>
          <w:sz w:val="20"/>
        </w:rPr>
        <w:t>En el caso de que se admitieran premios o pagos, las bases del concurso deberán indicar, según el caso, la cantidad fija que se abonará en concepto de premios o bien en concepto de compensación por los gastos en que hubieren incurrido los</w:t>
      </w:r>
      <w:r>
        <w:rPr>
          <w:spacing w:val="-30"/>
          <w:sz w:val="20"/>
        </w:rPr>
        <w:t> </w:t>
      </w:r>
      <w:r>
        <w:rPr>
          <w:sz w:val="20"/>
        </w:rPr>
        <w:t>participantes.</w:t>
      </w:r>
    </w:p>
    <w:p>
      <w:pPr>
        <w:pStyle w:val="ListParagraph"/>
        <w:numPr>
          <w:ilvl w:val="0"/>
          <w:numId w:val="176"/>
        </w:numPr>
        <w:tabs>
          <w:tab w:pos="1644" w:val="left" w:leader="none"/>
        </w:tabs>
        <w:spacing w:line="249" w:lineRule="auto" w:before="3" w:after="0"/>
        <w:ind w:left="1074" w:right="1271" w:firstLine="340"/>
        <w:jc w:val="both"/>
        <w:rPr>
          <w:sz w:val="20"/>
        </w:rPr>
      </w:pPr>
      <w:r>
        <w:rPr>
          <w:sz w:val="20"/>
        </w:rPr>
        <w:t>En los concursos de proyectos, la valoración de las propuestas se referirá a la calidad de las mismas, y sus valores técnicos, funcionales, arquitectónicos, culturales y medioambientales.</w:t>
      </w:r>
    </w:p>
    <w:p>
      <w:pPr>
        <w:pStyle w:val="BodyText"/>
        <w:spacing w:before="5"/>
        <w:ind w:left="0" w:firstLine="0"/>
        <w:jc w:val="left"/>
      </w:pPr>
    </w:p>
    <w:p>
      <w:pPr>
        <w:spacing w:before="0"/>
        <w:ind w:left="1074" w:right="0" w:firstLine="0"/>
        <w:jc w:val="both"/>
        <w:rPr>
          <w:i/>
          <w:sz w:val="20"/>
        </w:rPr>
      </w:pPr>
      <w:bookmarkStart w:name="Artículo 100. Número de participantes." w:id="161"/>
      <w:bookmarkEnd w:id="161"/>
      <w:r>
        <w:rPr/>
      </w:r>
      <w:r>
        <w:rPr>
          <w:b/>
          <w:sz w:val="20"/>
        </w:rPr>
        <w:t>Artículo 100. </w:t>
      </w:r>
      <w:r>
        <w:rPr>
          <w:i/>
          <w:sz w:val="20"/>
        </w:rPr>
        <w:t>Número de participantes.</w:t>
      </w:r>
    </w:p>
    <w:p>
      <w:pPr>
        <w:pStyle w:val="BodyText"/>
        <w:spacing w:line="249" w:lineRule="auto" w:before="117"/>
        <w:ind w:right="1273"/>
      </w:pPr>
      <w:r>
        <w:rPr/>
        <w:t>Al fijar el número de candidatos invitados a participar en los concursos de proyectos, se deberá tener en cuenta la necesidad de garantizar una verdadera competencia, sin que el acceso a la participación pueda ser limitado a un determinado ámbito territorial o a personas físicas con exclusión de las jurídicas o a la inversa. En todo caso, si el número de participantes es reducido, su selección se llevará a cabo mediante criterios objetivos, claros  y no</w:t>
      </w:r>
      <w:r>
        <w:rPr>
          <w:spacing w:val="-2"/>
        </w:rPr>
        <w:t> </w:t>
      </w:r>
      <w:r>
        <w:rPr/>
        <w:t>discriminatorios.</w:t>
      </w:r>
    </w:p>
    <w:p>
      <w:pPr>
        <w:pStyle w:val="BodyText"/>
        <w:spacing w:before="8"/>
        <w:ind w:left="0" w:firstLine="0"/>
        <w:jc w:val="left"/>
      </w:pPr>
    </w:p>
    <w:p>
      <w:pPr>
        <w:spacing w:before="0"/>
        <w:ind w:left="1074" w:right="0" w:firstLine="0"/>
        <w:jc w:val="left"/>
        <w:rPr>
          <w:i/>
          <w:sz w:val="20"/>
        </w:rPr>
      </w:pPr>
      <w:bookmarkStart w:name="Artículo 101. Ámbito de aplicación del c" w:id="162"/>
      <w:bookmarkEnd w:id="162"/>
      <w:r>
        <w:rPr/>
      </w:r>
      <w:r>
        <w:rPr>
          <w:b/>
          <w:sz w:val="20"/>
        </w:rPr>
        <w:t>Artículo 101. </w:t>
      </w:r>
      <w:r>
        <w:rPr>
          <w:i/>
          <w:sz w:val="20"/>
        </w:rPr>
        <w:t>Ámbito de aplicación del concurso de proyectos.</w:t>
      </w:r>
    </w:p>
    <w:p>
      <w:pPr>
        <w:pStyle w:val="ListParagraph"/>
        <w:numPr>
          <w:ilvl w:val="0"/>
          <w:numId w:val="177"/>
        </w:numPr>
        <w:tabs>
          <w:tab w:pos="1679" w:val="left" w:leader="none"/>
        </w:tabs>
        <w:spacing w:line="249" w:lineRule="auto" w:before="118" w:after="0"/>
        <w:ind w:left="1074" w:right="1275" w:firstLine="340"/>
        <w:jc w:val="both"/>
        <w:rPr>
          <w:sz w:val="20"/>
        </w:rPr>
      </w:pPr>
      <w:r>
        <w:rPr>
          <w:sz w:val="20"/>
        </w:rPr>
        <w:t>Las normas del presente Capítulo se aplicarán a los concursos de proyectos que respondan a uno de los tipos</w:t>
      </w:r>
      <w:r>
        <w:rPr>
          <w:spacing w:val="-5"/>
          <w:sz w:val="20"/>
        </w:rPr>
        <w:t> </w:t>
      </w:r>
      <w:r>
        <w:rPr>
          <w:sz w:val="20"/>
        </w:rPr>
        <w:t>siguientes:</w:t>
      </w:r>
    </w:p>
    <w:p>
      <w:pPr>
        <w:pStyle w:val="ListParagraph"/>
        <w:numPr>
          <w:ilvl w:val="0"/>
          <w:numId w:val="178"/>
        </w:numPr>
        <w:tabs>
          <w:tab w:pos="1753" w:val="left" w:leader="none"/>
        </w:tabs>
        <w:spacing w:line="249" w:lineRule="auto" w:before="121" w:after="0"/>
        <w:ind w:left="1074" w:right="1274" w:firstLine="340"/>
        <w:jc w:val="both"/>
        <w:rPr>
          <w:sz w:val="20"/>
        </w:rPr>
      </w:pPr>
      <w:r>
        <w:rPr>
          <w:sz w:val="20"/>
        </w:rPr>
        <w:t>Concursos de proyectos organizados en el marco de un procedimiento de adjudicación de un contrato de servicios, en los que eventualmente se podrán conceder premios o</w:t>
      </w:r>
      <w:r>
        <w:rPr>
          <w:spacing w:val="-3"/>
          <w:sz w:val="20"/>
        </w:rPr>
        <w:t> </w:t>
      </w:r>
      <w:r>
        <w:rPr>
          <w:sz w:val="20"/>
        </w:rPr>
        <w:t>pagos.</w:t>
      </w:r>
    </w:p>
    <w:p>
      <w:pPr>
        <w:pStyle w:val="ListParagraph"/>
        <w:numPr>
          <w:ilvl w:val="0"/>
          <w:numId w:val="178"/>
        </w:numPr>
        <w:tabs>
          <w:tab w:pos="1656" w:val="left" w:leader="none"/>
        </w:tabs>
        <w:spacing w:line="249" w:lineRule="auto" w:before="3" w:after="0"/>
        <w:ind w:left="1074" w:right="1272" w:firstLine="340"/>
        <w:jc w:val="both"/>
        <w:rPr>
          <w:sz w:val="20"/>
        </w:rPr>
      </w:pPr>
      <w:r>
        <w:rPr>
          <w:sz w:val="20"/>
        </w:rPr>
        <w:t>El contrato de servicios que resulte del concurso de proyectos además también podrá tener por objeto la dirección facultativa de las obras correspondientes, siempre y cuando así se indique en el anuncio de licitación del</w:t>
      </w:r>
      <w:r>
        <w:rPr>
          <w:spacing w:val="-10"/>
          <w:sz w:val="20"/>
        </w:rPr>
        <w:t> </w:t>
      </w:r>
      <w:r>
        <w:rPr>
          <w:sz w:val="20"/>
        </w:rPr>
        <w:t>concurso.</w:t>
      </w:r>
    </w:p>
    <w:p>
      <w:pPr>
        <w:pStyle w:val="ListParagraph"/>
        <w:numPr>
          <w:ilvl w:val="0"/>
          <w:numId w:val="178"/>
        </w:numPr>
        <w:tabs>
          <w:tab w:pos="1637" w:val="left" w:leader="none"/>
        </w:tabs>
        <w:spacing w:line="240" w:lineRule="auto" w:before="2" w:after="0"/>
        <w:ind w:left="1636" w:right="0" w:hanging="223"/>
        <w:jc w:val="both"/>
        <w:rPr>
          <w:sz w:val="20"/>
        </w:rPr>
      </w:pPr>
      <w:r>
        <w:rPr>
          <w:sz w:val="20"/>
        </w:rPr>
        <w:t>Concursos de proyectos con premios o pagos a los</w:t>
      </w:r>
      <w:r>
        <w:rPr>
          <w:spacing w:val="-14"/>
          <w:sz w:val="20"/>
        </w:rPr>
        <w:t> </w:t>
      </w:r>
      <w:r>
        <w:rPr>
          <w:sz w:val="20"/>
        </w:rPr>
        <w:t>participantes.</w:t>
      </w:r>
    </w:p>
    <w:p>
      <w:pPr>
        <w:pStyle w:val="ListParagraph"/>
        <w:numPr>
          <w:ilvl w:val="0"/>
          <w:numId w:val="177"/>
        </w:numPr>
        <w:tabs>
          <w:tab w:pos="1698" w:val="left" w:leader="none"/>
        </w:tabs>
        <w:spacing w:line="249" w:lineRule="auto" w:before="130" w:after="0"/>
        <w:ind w:left="1074" w:right="1274" w:firstLine="340"/>
        <w:jc w:val="both"/>
        <w:rPr>
          <w:sz w:val="20"/>
        </w:rPr>
      </w:pPr>
      <w:r>
        <w:rPr>
          <w:sz w:val="20"/>
        </w:rPr>
        <w:t>Lo dispuesto en el presente Capítulo se aplicará a los concursos de proyectos organizados en el marco de un procedimiento de adjudicación de contratos de servicios cuyo valor estimado, excluido el IVA, sea igual o superior al umbral establecido en el artículo 1.1.b) de este real</w:t>
      </w:r>
      <w:r>
        <w:rPr>
          <w:spacing w:val="-4"/>
          <w:sz w:val="20"/>
        </w:rPr>
        <w:t> </w:t>
      </w:r>
      <w:r>
        <w:rPr>
          <w:sz w:val="20"/>
        </w:rPr>
        <w:t>decreto-ley.</w:t>
      </w:r>
    </w:p>
    <w:p>
      <w:pPr>
        <w:pStyle w:val="ListParagraph"/>
        <w:numPr>
          <w:ilvl w:val="0"/>
          <w:numId w:val="177"/>
        </w:numPr>
        <w:tabs>
          <w:tab w:pos="1658" w:val="left" w:leader="none"/>
        </w:tabs>
        <w:spacing w:line="249" w:lineRule="auto" w:before="3" w:after="0"/>
        <w:ind w:left="1074" w:right="1273" w:firstLine="340"/>
        <w:jc w:val="both"/>
        <w:rPr>
          <w:sz w:val="20"/>
        </w:rPr>
      </w:pPr>
      <w:r>
        <w:rPr>
          <w:sz w:val="20"/>
        </w:rPr>
        <w:t>Lo dispuesto en el presente Capítulo se aplicará a todos los casos de concursos de proyectos cuando el importe total de los premios y pagos a los participantes, incluido el valor estimado, IVA excluido, del contrato de servicios que pudiera adjudicarse ulteriormente con arreglo a lo dispuesto en el artículo 85.1.j) relativo al procedimiento negociado sin publicidad, si la entidad contratante no excluyese dicha adjudicación en el anuncio de concurso, sea igual o superior al umbral establecido en el artículo 1.1.b) de este real</w:t>
      </w:r>
      <w:r>
        <w:rPr>
          <w:spacing w:val="-32"/>
          <w:sz w:val="20"/>
        </w:rPr>
        <w:t> </w:t>
      </w:r>
      <w:r>
        <w:rPr>
          <w:sz w:val="20"/>
        </w:rPr>
        <w:t>decreto-ley.</w:t>
      </w:r>
    </w:p>
    <w:p>
      <w:pPr>
        <w:pStyle w:val="ListParagraph"/>
        <w:numPr>
          <w:ilvl w:val="0"/>
          <w:numId w:val="177"/>
        </w:numPr>
        <w:tabs>
          <w:tab w:pos="1645" w:val="left" w:leader="none"/>
        </w:tabs>
        <w:spacing w:line="249" w:lineRule="auto" w:before="5" w:after="0"/>
        <w:ind w:left="1074" w:right="1271" w:firstLine="340"/>
        <w:jc w:val="both"/>
        <w:rPr>
          <w:sz w:val="20"/>
        </w:rPr>
      </w:pPr>
      <w:r>
        <w:rPr>
          <w:sz w:val="20"/>
        </w:rPr>
        <w:t>El contrato de servicios que resulte del concurso de proyectos además también podrá tener por objeto la dirección facultativa de las obras correspondientes, siempre y cuando así se indique en el anuncio de licitación del</w:t>
      </w:r>
      <w:r>
        <w:rPr>
          <w:spacing w:val="-10"/>
          <w:sz w:val="20"/>
        </w:rPr>
        <w:t> </w:t>
      </w:r>
      <w:r>
        <w:rPr>
          <w:sz w:val="20"/>
        </w:rPr>
        <w:t>concurso.</w:t>
      </w:r>
    </w:p>
    <w:p>
      <w:pPr>
        <w:pStyle w:val="ListParagraph"/>
        <w:numPr>
          <w:ilvl w:val="0"/>
          <w:numId w:val="177"/>
        </w:numPr>
        <w:tabs>
          <w:tab w:pos="1672" w:val="left" w:leader="none"/>
        </w:tabs>
        <w:spacing w:line="249" w:lineRule="auto" w:before="3" w:after="0"/>
        <w:ind w:left="1074" w:right="1272" w:firstLine="340"/>
        <w:jc w:val="both"/>
        <w:rPr>
          <w:sz w:val="20"/>
        </w:rPr>
      </w:pPr>
      <w:r>
        <w:rPr>
          <w:sz w:val="20"/>
        </w:rPr>
        <w:t>Cuando el objeto del contrato de servicios que se vaya a adjudicar se refiera a la redacción de proyectos arquitectónicos, de ingeniería y urbanismo que revistan especial complejidad y, cuando se contraten conjuntamente con la redacción de los proyectos anteriores, a los trabajos complementarios y a la dirección de las obras, las entidades contratantes deberán aplicar las normas de este</w:t>
      </w:r>
      <w:r>
        <w:rPr>
          <w:spacing w:val="-9"/>
          <w:sz w:val="20"/>
        </w:rPr>
        <w:t> </w:t>
      </w:r>
      <w:r>
        <w:rPr>
          <w:sz w:val="20"/>
        </w:rPr>
        <w:t>capítulo.</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02. Publicidad del concurso de" w:id="163"/>
      <w:bookmarkEnd w:id="163"/>
      <w:r>
        <w:rPr/>
      </w:r>
      <w:r>
        <w:rPr>
          <w:b/>
          <w:sz w:val="20"/>
        </w:rPr>
        <w:t>Artículo 102. </w:t>
      </w:r>
      <w:r>
        <w:rPr>
          <w:i/>
          <w:sz w:val="20"/>
        </w:rPr>
        <w:t>Publicidad del concurso de proyectos.</w:t>
      </w:r>
    </w:p>
    <w:p>
      <w:pPr>
        <w:pStyle w:val="ListParagraph"/>
        <w:numPr>
          <w:ilvl w:val="0"/>
          <w:numId w:val="179"/>
        </w:numPr>
        <w:tabs>
          <w:tab w:pos="1735" w:val="left" w:leader="none"/>
        </w:tabs>
        <w:spacing w:line="249" w:lineRule="auto" w:before="118" w:after="0"/>
        <w:ind w:left="1074" w:right="1272" w:firstLine="340"/>
        <w:jc w:val="both"/>
        <w:rPr>
          <w:sz w:val="20"/>
        </w:rPr>
      </w:pPr>
      <w:r>
        <w:rPr>
          <w:sz w:val="20"/>
        </w:rPr>
        <w:t>Las entidades contratantes que deseen organizar un concurso de proyectos convocarán la licitación mediante un anuncio de concurso de proyectos que se publicará en el «Diario Oficial de la Unión Europea» de conformidad con lo establecido en el artículo 80. Las entidades contratantes podrán además publicar esta información en su perfil de contratante.</w:t>
      </w:r>
    </w:p>
    <w:p>
      <w:pPr>
        <w:pStyle w:val="BodyText"/>
        <w:spacing w:line="249" w:lineRule="auto" w:before="4"/>
        <w:ind w:right="1275"/>
      </w:pPr>
      <w:r>
        <w:rPr/>
        <w:t>Cuando las entidades contratantes deseen adjudicar un contrato de servicios ulterior mediante un procedimiento negociado sin publicidad, deberán indicarlo así en el anuncio de concurso de proyectos.</w:t>
      </w:r>
    </w:p>
    <w:p>
      <w:pPr>
        <w:pStyle w:val="BodyText"/>
        <w:spacing w:line="249" w:lineRule="auto"/>
        <w:ind w:right="1274"/>
      </w:pPr>
      <w:r>
        <w:rPr/>
        <w:t>Dicha convocatoria de licitación incluirá la información mencionada en el anexo IX con arreglo al formulario normalizado.</w:t>
      </w:r>
    </w:p>
    <w:p>
      <w:pPr>
        <w:pStyle w:val="ListParagraph"/>
        <w:numPr>
          <w:ilvl w:val="0"/>
          <w:numId w:val="179"/>
        </w:numPr>
        <w:tabs>
          <w:tab w:pos="1654" w:val="left" w:leader="none"/>
        </w:tabs>
        <w:spacing w:line="249" w:lineRule="auto" w:before="2" w:after="0"/>
        <w:ind w:left="1074" w:right="1273" w:firstLine="340"/>
        <w:jc w:val="both"/>
        <w:rPr>
          <w:sz w:val="20"/>
        </w:rPr>
      </w:pPr>
      <w:r>
        <w:rPr>
          <w:sz w:val="20"/>
        </w:rPr>
        <w:t>Las entidades contratantes que hayan organizado un concurso de proyectos darán a conocer los resultados en un anuncio que publicarán en el «Diario Oficial de la Unión Europea» con arreglo al formulario normalizado según consta en el anexo</w:t>
      </w:r>
      <w:r>
        <w:rPr>
          <w:spacing w:val="-13"/>
          <w:sz w:val="20"/>
        </w:rPr>
        <w:t> </w:t>
      </w:r>
      <w:r>
        <w:rPr>
          <w:sz w:val="20"/>
        </w:rPr>
        <w:t>IX.</w:t>
      </w:r>
    </w:p>
    <w:p>
      <w:pPr>
        <w:pStyle w:val="BodyText"/>
        <w:spacing w:line="249" w:lineRule="auto"/>
        <w:ind w:right="1276"/>
      </w:pPr>
      <w:r>
        <w:rPr/>
        <w:t>Las entidades contratantes podrán, además, publicar esta información en su perfil de contratante.</w:t>
      </w:r>
    </w:p>
    <w:p>
      <w:pPr>
        <w:pStyle w:val="ListParagraph"/>
        <w:numPr>
          <w:ilvl w:val="0"/>
          <w:numId w:val="179"/>
        </w:numPr>
        <w:tabs>
          <w:tab w:pos="1639" w:val="left" w:leader="none"/>
        </w:tabs>
        <w:spacing w:line="249" w:lineRule="auto" w:before="2" w:after="0"/>
        <w:ind w:left="1074" w:right="1274" w:firstLine="340"/>
        <w:jc w:val="both"/>
        <w:rPr>
          <w:sz w:val="20"/>
        </w:rPr>
      </w:pPr>
      <w:r>
        <w:rPr>
          <w:sz w:val="20"/>
        </w:rPr>
        <w:t>Las entidades contratantes podrán no publicar aquella información relativa al resultado del concurso de proyectos cuya divulgación dificulte la aplicación del real decreto-ley, sea contraria al interés público, perjudique los intereses comerciales legítimos de determinados operadores públicos o privados, o pueda perjudicar la competencia leal entre operadores económicos.</w:t>
      </w:r>
    </w:p>
    <w:p>
      <w:pPr>
        <w:pStyle w:val="ListParagraph"/>
        <w:numPr>
          <w:ilvl w:val="0"/>
          <w:numId w:val="179"/>
        </w:numPr>
        <w:tabs>
          <w:tab w:pos="1654" w:val="left" w:leader="none"/>
        </w:tabs>
        <w:spacing w:line="249" w:lineRule="auto" w:before="4" w:after="0"/>
        <w:ind w:left="1074" w:right="1273" w:firstLine="340"/>
        <w:jc w:val="both"/>
        <w:rPr>
          <w:sz w:val="20"/>
        </w:rPr>
      </w:pPr>
      <w:r>
        <w:rPr>
          <w:sz w:val="20"/>
        </w:rPr>
        <w:t>El anuncio sobre el resultado de un concurso de proyectos se transmitirá y publicará por la Oficina de Publicaciones de la Unión Europea, de conformidad con lo establecido en el artículo 80, en un plazo de treinta días después de la conclusión del</w:t>
      </w:r>
      <w:r>
        <w:rPr>
          <w:spacing w:val="-21"/>
          <w:sz w:val="20"/>
        </w:rPr>
        <w:t> </w:t>
      </w:r>
      <w:r>
        <w:rPr>
          <w:sz w:val="20"/>
        </w:rPr>
        <w:t>concurso.</w:t>
      </w:r>
    </w:p>
    <w:p>
      <w:pPr>
        <w:pStyle w:val="BodyText"/>
        <w:spacing w:before="5"/>
        <w:ind w:left="0" w:firstLine="0"/>
        <w:jc w:val="left"/>
      </w:pPr>
    </w:p>
    <w:p>
      <w:pPr>
        <w:spacing w:before="0"/>
        <w:ind w:left="1074" w:right="0" w:firstLine="0"/>
        <w:jc w:val="both"/>
        <w:rPr>
          <w:i/>
          <w:sz w:val="20"/>
        </w:rPr>
      </w:pPr>
      <w:bookmarkStart w:name="Artículo 103. Comunicaciones en los conc" w:id="164"/>
      <w:bookmarkEnd w:id="164"/>
      <w:r>
        <w:rPr/>
      </w:r>
      <w:r>
        <w:rPr>
          <w:b/>
          <w:sz w:val="20"/>
        </w:rPr>
        <w:t>Artículo 103. </w:t>
      </w:r>
      <w:r>
        <w:rPr>
          <w:i/>
          <w:sz w:val="20"/>
        </w:rPr>
        <w:t>Comunicaciones en los concursos de proyectos.</w:t>
      </w:r>
    </w:p>
    <w:p>
      <w:pPr>
        <w:pStyle w:val="ListParagraph"/>
        <w:numPr>
          <w:ilvl w:val="0"/>
          <w:numId w:val="180"/>
        </w:numPr>
        <w:tabs>
          <w:tab w:pos="1704" w:val="left" w:leader="none"/>
        </w:tabs>
        <w:spacing w:line="249" w:lineRule="auto" w:before="118" w:after="0"/>
        <w:ind w:left="1074" w:right="1274" w:firstLine="340"/>
        <w:jc w:val="both"/>
        <w:rPr>
          <w:sz w:val="20"/>
        </w:rPr>
      </w:pPr>
      <w:r>
        <w:rPr>
          <w:sz w:val="20"/>
        </w:rPr>
        <w:t>Serán aplicables las reglas generales contenidas en el artículo 61 a todas las comunicaciones relativas a los concursos de</w:t>
      </w:r>
      <w:r>
        <w:rPr>
          <w:spacing w:val="-5"/>
          <w:sz w:val="20"/>
        </w:rPr>
        <w:t> </w:t>
      </w:r>
      <w:r>
        <w:rPr>
          <w:sz w:val="20"/>
        </w:rPr>
        <w:t>proyectos.</w:t>
      </w:r>
    </w:p>
    <w:p>
      <w:pPr>
        <w:pStyle w:val="ListParagraph"/>
        <w:numPr>
          <w:ilvl w:val="0"/>
          <w:numId w:val="180"/>
        </w:numPr>
        <w:tabs>
          <w:tab w:pos="1719" w:val="left" w:leader="none"/>
        </w:tabs>
        <w:spacing w:line="249" w:lineRule="auto" w:before="2" w:after="0"/>
        <w:ind w:left="1074" w:right="1272" w:firstLine="340"/>
        <w:jc w:val="both"/>
        <w:rPr>
          <w:sz w:val="20"/>
        </w:rPr>
      </w:pPr>
      <w:r>
        <w:rPr>
          <w:sz w:val="20"/>
        </w:rPr>
        <w:t>Las comunicaciones, los intercambios y el almacenamiento de información se realizarán de modo que se garantice la protección de la integridad y la confidencialidad de cualquier información transmitida por los participantes en el concurso de proyectos y de forma que el jurado no conozca el contenido de los planos y proyectos hasta que expire el plazo previsto para su</w:t>
      </w:r>
      <w:r>
        <w:rPr>
          <w:spacing w:val="-5"/>
          <w:sz w:val="20"/>
        </w:rPr>
        <w:t> </w:t>
      </w:r>
      <w:r>
        <w:rPr>
          <w:sz w:val="20"/>
        </w:rPr>
        <w:t>presentación.</w:t>
      </w:r>
    </w:p>
    <w:p>
      <w:pPr>
        <w:pStyle w:val="BodyText"/>
        <w:spacing w:before="6"/>
        <w:ind w:left="0" w:firstLine="0"/>
        <w:jc w:val="left"/>
      </w:pPr>
    </w:p>
    <w:p>
      <w:pPr>
        <w:spacing w:before="0"/>
        <w:ind w:left="1074" w:right="0" w:firstLine="0"/>
        <w:jc w:val="both"/>
        <w:rPr>
          <w:i/>
          <w:sz w:val="20"/>
        </w:rPr>
      </w:pPr>
      <w:bookmarkStart w:name="Artículo 104. Jurado del concurso de pro" w:id="165"/>
      <w:bookmarkEnd w:id="165"/>
      <w:r>
        <w:rPr/>
      </w:r>
      <w:r>
        <w:rPr>
          <w:b/>
          <w:sz w:val="20"/>
        </w:rPr>
        <w:t>Artículo 104. </w:t>
      </w:r>
      <w:r>
        <w:rPr>
          <w:i/>
          <w:sz w:val="20"/>
        </w:rPr>
        <w:t>Jurado del concurso de proyectos.</w:t>
      </w:r>
    </w:p>
    <w:p>
      <w:pPr>
        <w:pStyle w:val="ListParagraph"/>
        <w:numPr>
          <w:ilvl w:val="0"/>
          <w:numId w:val="181"/>
        </w:numPr>
        <w:tabs>
          <w:tab w:pos="1729" w:val="left" w:leader="none"/>
        </w:tabs>
        <w:spacing w:line="249" w:lineRule="auto" w:before="118" w:after="0"/>
        <w:ind w:left="1074" w:right="1274" w:firstLine="340"/>
        <w:jc w:val="both"/>
        <w:rPr>
          <w:sz w:val="20"/>
        </w:rPr>
      </w:pPr>
      <w:r>
        <w:rPr>
          <w:sz w:val="20"/>
        </w:rPr>
        <w:t>El jurado estará compuesto exclusivamente por personas físicas sin ninguna vinculación con los participantes en los concursos de</w:t>
      </w:r>
      <w:r>
        <w:rPr>
          <w:spacing w:val="-9"/>
          <w:sz w:val="20"/>
        </w:rPr>
        <w:t> </w:t>
      </w:r>
      <w:r>
        <w:rPr>
          <w:sz w:val="20"/>
        </w:rPr>
        <w:t>proyectos.</w:t>
      </w:r>
    </w:p>
    <w:p>
      <w:pPr>
        <w:pStyle w:val="ListParagraph"/>
        <w:numPr>
          <w:ilvl w:val="0"/>
          <w:numId w:val="181"/>
        </w:numPr>
        <w:tabs>
          <w:tab w:pos="1696" w:val="left" w:leader="none"/>
        </w:tabs>
        <w:spacing w:line="249" w:lineRule="auto" w:before="1" w:after="0"/>
        <w:ind w:left="1074" w:right="1274" w:firstLine="340"/>
        <w:jc w:val="both"/>
        <w:rPr>
          <w:sz w:val="20"/>
        </w:rPr>
      </w:pPr>
      <w:r>
        <w:rPr>
          <w:sz w:val="20"/>
        </w:rPr>
        <w:t>En aquellos casos en que se exija una cualificación profesional específica para participar en el concurso, al menos dos tercios de los miembros del jurado deberán poseer la misma cualificación u otra</w:t>
      </w:r>
      <w:r>
        <w:rPr>
          <w:spacing w:val="-3"/>
          <w:sz w:val="20"/>
        </w:rPr>
        <w:t> </w:t>
      </w:r>
      <w:r>
        <w:rPr>
          <w:sz w:val="20"/>
        </w:rPr>
        <w:t>equivalente.</w:t>
      </w:r>
    </w:p>
    <w:p>
      <w:pPr>
        <w:pStyle w:val="ListParagraph"/>
        <w:numPr>
          <w:ilvl w:val="0"/>
          <w:numId w:val="181"/>
        </w:numPr>
        <w:tabs>
          <w:tab w:pos="1677" w:val="left" w:leader="none"/>
        </w:tabs>
        <w:spacing w:line="249" w:lineRule="auto" w:before="3" w:after="0"/>
        <w:ind w:left="1074" w:right="1273" w:firstLine="340"/>
        <w:jc w:val="both"/>
        <w:rPr>
          <w:sz w:val="20"/>
        </w:rPr>
      </w:pPr>
      <w:r>
        <w:rPr>
          <w:sz w:val="20"/>
        </w:rPr>
        <w:t>El jurado adoptará sus decisiones o dictámenes con total independencia, sobre la base de proyectos que le serán presentados de forma anónima y atendiendo únicamente a los criterios indicados en el anuncio de concurso de</w:t>
      </w:r>
      <w:r>
        <w:rPr>
          <w:spacing w:val="-12"/>
          <w:sz w:val="20"/>
        </w:rPr>
        <w:t> </w:t>
      </w:r>
      <w:r>
        <w:rPr>
          <w:sz w:val="20"/>
        </w:rPr>
        <w:t>proyectos.</w:t>
      </w:r>
    </w:p>
    <w:p>
      <w:pPr>
        <w:pStyle w:val="ListParagraph"/>
        <w:numPr>
          <w:ilvl w:val="0"/>
          <w:numId w:val="181"/>
        </w:numPr>
        <w:tabs>
          <w:tab w:pos="1637" w:val="left" w:leader="none"/>
        </w:tabs>
        <w:spacing w:line="240" w:lineRule="auto" w:before="2" w:after="0"/>
        <w:ind w:left="1636" w:right="0" w:hanging="223"/>
        <w:jc w:val="both"/>
        <w:rPr>
          <w:sz w:val="20"/>
        </w:rPr>
      </w:pPr>
      <w:r>
        <w:rPr>
          <w:sz w:val="20"/>
        </w:rPr>
        <w:t>El jurado tendrá autonomía de decisión o de</w:t>
      </w:r>
      <w:r>
        <w:rPr>
          <w:spacing w:val="-9"/>
          <w:sz w:val="20"/>
        </w:rPr>
        <w:t> </w:t>
      </w:r>
      <w:r>
        <w:rPr>
          <w:sz w:val="20"/>
        </w:rPr>
        <w:t>dictamen.</w:t>
      </w:r>
    </w:p>
    <w:p>
      <w:pPr>
        <w:pStyle w:val="ListParagraph"/>
        <w:numPr>
          <w:ilvl w:val="0"/>
          <w:numId w:val="181"/>
        </w:numPr>
        <w:tabs>
          <w:tab w:pos="1641" w:val="left" w:leader="none"/>
        </w:tabs>
        <w:spacing w:line="249" w:lineRule="auto" w:before="10" w:after="0"/>
        <w:ind w:left="1074" w:right="1273" w:firstLine="340"/>
        <w:jc w:val="both"/>
        <w:rPr>
          <w:sz w:val="20"/>
        </w:rPr>
      </w:pPr>
      <w:r>
        <w:rPr>
          <w:sz w:val="20"/>
        </w:rPr>
        <w:t>El jurado hará constar en un informe, firmado por sus miembros, la clasificación de los proyectos, teniendo en cuenta los méritos de cada proyecto, junto con sus observaciones y cualesquiera aspectos que requieran</w:t>
      </w:r>
      <w:r>
        <w:rPr>
          <w:spacing w:val="-4"/>
          <w:sz w:val="20"/>
        </w:rPr>
        <w:t> </w:t>
      </w:r>
      <w:r>
        <w:rPr>
          <w:sz w:val="20"/>
        </w:rPr>
        <w:t>aclaración.</w:t>
      </w:r>
    </w:p>
    <w:p>
      <w:pPr>
        <w:pStyle w:val="ListParagraph"/>
        <w:numPr>
          <w:ilvl w:val="0"/>
          <w:numId w:val="181"/>
        </w:numPr>
        <w:tabs>
          <w:tab w:pos="1682" w:val="left" w:leader="none"/>
        </w:tabs>
        <w:spacing w:line="249" w:lineRule="auto" w:before="3" w:after="0"/>
        <w:ind w:left="1074" w:right="1274" w:firstLine="340"/>
        <w:jc w:val="both"/>
        <w:rPr>
          <w:sz w:val="20"/>
        </w:rPr>
      </w:pPr>
      <w:r>
        <w:rPr>
          <w:sz w:val="20"/>
        </w:rPr>
        <w:t>Deberá respetarse el anonimato de los participantes en el concurso hasta que el jurado emita su dictamen o</w:t>
      </w:r>
      <w:r>
        <w:rPr>
          <w:spacing w:val="-6"/>
          <w:sz w:val="20"/>
        </w:rPr>
        <w:t> </w:t>
      </w:r>
      <w:r>
        <w:rPr>
          <w:sz w:val="20"/>
        </w:rPr>
        <w:t>decisión.</w:t>
      </w:r>
    </w:p>
    <w:p>
      <w:pPr>
        <w:pStyle w:val="ListParagraph"/>
        <w:numPr>
          <w:ilvl w:val="0"/>
          <w:numId w:val="181"/>
        </w:numPr>
        <w:tabs>
          <w:tab w:pos="1641" w:val="left" w:leader="none"/>
        </w:tabs>
        <w:spacing w:line="249" w:lineRule="auto" w:before="1" w:after="0"/>
        <w:ind w:left="1074" w:right="1276" w:firstLine="340"/>
        <w:jc w:val="both"/>
        <w:rPr>
          <w:sz w:val="20"/>
        </w:rPr>
      </w:pPr>
      <w:r>
        <w:rPr>
          <w:sz w:val="20"/>
        </w:rPr>
        <w:t>De ser necesario, podrá invitarse a los participantes a que respondan a preguntas que el jurado haya incluido en el acta para aclarar cualquier aspecto de los</w:t>
      </w:r>
      <w:r>
        <w:rPr>
          <w:spacing w:val="-32"/>
          <w:sz w:val="20"/>
        </w:rPr>
        <w:t> </w:t>
      </w:r>
      <w:r>
        <w:rPr>
          <w:sz w:val="20"/>
        </w:rPr>
        <w:t>proyectos.</w:t>
      </w:r>
    </w:p>
    <w:p>
      <w:pPr>
        <w:pStyle w:val="ListParagraph"/>
        <w:numPr>
          <w:ilvl w:val="0"/>
          <w:numId w:val="181"/>
        </w:numPr>
        <w:tabs>
          <w:tab w:pos="1695" w:val="left" w:leader="none"/>
        </w:tabs>
        <w:spacing w:line="249" w:lineRule="auto" w:before="2" w:after="0"/>
        <w:ind w:left="1074" w:right="1274" w:firstLine="340"/>
        <w:jc w:val="both"/>
        <w:rPr>
          <w:sz w:val="20"/>
        </w:rPr>
      </w:pPr>
      <w:r>
        <w:rPr>
          <w:sz w:val="20"/>
        </w:rPr>
        <w:t>Se redactará un acta completa del diálogo entre los miembros del jurado y los participantes.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pPr>
    </w:p>
    <w:p>
      <w:pPr>
        <w:pStyle w:val="BodyText"/>
        <w:spacing w:before="8"/>
        <w:ind w:left="0" w:firstLine="0"/>
        <w:jc w:val="left"/>
      </w:pPr>
    </w:p>
    <w:p>
      <w:pPr>
        <w:pStyle w:val="BodyText"/>
        <w:spacing w:before="1"/>
        <w:ind w:left="2930" w:right="3127" w:firstLine="0"/>
        <w:jc w:val="center"/>
      </w:pPr>
      <w:bookmarkStart w:name="TÍTULO VI. Ejecución y extinción de los " w:id="166"/>
      <w:bookmarkEnd w:id="166"/>
      <w:r>
        <w:rPr/>
      </w:r>
      <w:bookmarkStart w:name="_bookmark30" w:id="167"/>
      <w:bookmarkEnd w:id="167"/>
      <w:r>
        <w:rPr/>
      </w:r>
      <w:r>
        <w:rPr/>
        <w:t>TÍTULO VI</w:t>
      </w:r>
    </w:p>
    <w:p>
      <w:pPr>
        <w:pStyle w:val="Heading1"/>
        <w:ind w:left="2929"/>
      </w:pPr>
      <w:r>
        <w:rPr/>
        <w:t>Ejecución y extinción de los contratos</w:t>
      </w:r>
    </w:p>
    <w:p>
      <w:pPr>
        <w:pStyle w:val="BodyText"/>
        <w:spacing w:before="0"/>
        <w:ind w:left="0" w:firstLine="0"/>
        <w:jc w:val="left"/>
        <w:rPr>
          <w:b/>
          <w:sz w:val="22"/>
        </w:rPr>
      </w:pPr>
    </w:p>
    <w:p>
      <w:pPr>
        <w:pStyle w:val="BodyText"/>
        <w:spacing w:before="3"/>
        <w:ind w:left="0" w:firstLine="0"/>
        <w:jc w:val="left"/>
        <w:rPr>
          <w:b/>
          <w:sz w:val="18"/>
        </w:rPr>
      </w:pPr>
    </w:p>
    <w:p>
      <w:pPr>
        <w:pStyle w:val="BodyText"/>
        <w:spacing w:before="1"/>
        <w:ind w:left="2929" w:right="3127" w:firstLine="0"/>
        <w:jc w:val="center"/>
      </w:pPr>
      <w:bookmarkStart w:name="CAPÍTULO I. De la ejecución del contrato" w:id="168"/>
      <w:bookmarkEnd w:id="168"/>
      <w:r>
        <w:rPr/>
      </w:r>
      <w:bookmarkStart w:name="_bookmark31" w:id="169"/>
      <w:bookmarkEnd w:id="169"/>
      <w:r>
        <w:rPr/>
      </w:r>
      <w:r>
        <w:rPr/>
        <w:t>CAPÍTULO I</w:t>
      </w:r>
    </w:p>
    <w:p>
      <w:pPr>
        <w:pStyle w:val="Heading1"/>
        <w:ind w:left="2929"/>
      </w:pPr>
      <w:r>
        <w:rPr/>
        <w:t>De la ejecución del contrato</w:t>
      </w:r>
    </w:p>
    <w:p>
      <w:pPr>
        <w:pStyle w:val="BodyText"/>
        <w:spacing w:before="7"/>
        <w:ind w:left="0" w:firstLine="0"/>
        <w:jc w:val="left"/>
        <w:rPr>
          <w:b/>
        </w:rPr>
      </w:pPr>
    </w:p>
    <w:p>
      <w:pPr>
        <w:spacing w:line="249" w:lineRule="auto" w:before="0"/>
        <w:ind w:left="1074" w:right="1274" w:hanging="1"/>
        <w:jc w:val="both"/>
        <w:rPr>
          <w:i/>
          <w:sz w:val="20"/>
        </w:rPr>
      </w:pPr>
      <w:bookmarkStart w:name="Artículo 105. Condiciones de ejecución d" w:id="170"/>
      <w:bookmarkEnd w:id="170"/>
      <w:r>
        <w:rPr/>
      </w:r>
      <w:r>
        <w:rPr>
          <w:b/>
          <w:sz w:val="20"/>
        </w:rPr>
        <w:t>Artículo 105. </w:t>
      </w:r>
      <w:r>
        <w:rPr>
          <w:i/>
          <w:sz w:val="20"/>
        </w:rPr>
        <w:t>Condiciones de ejecución del contrato de carácter social, ético, </w:t>
      </w:r>
      <w:r>
        <w:rPr>
          <w:i/>
          <w:sz w:val="20"/>
        </w:rPr>
        <w:t>medioambiental o de otro</w:t>
      </w:r>
      <w:r>
        <w:rPr>
          <w:i/>
          <w:spacing w:val="-4"/>
          <w:sz w:val="20"/>
        </w:rPr>
        <w:t> </w:t>
      </w:r>
      <w:r>
        <w:rPr>
          <w:i/>
          <w:sz w:val="20"/>
        </w:rPr>
        <w:t>orden.</w:t>
      </w:r>
    </w:p>
    <w:p>
      <w:pPr>
        <w:pStyle w:val="ListParagraph"/>
        <w:numPr>
          <w:ilvl w:val="0"/>
          <w:numId w:val="182"/>
        </w:numPr>
        <w:tabs>
          <w:tab w:pos="1648" w:val="left" w:leader="none"/>
        </w:tabs>
        <w:spacing w:line="249" w:lineRule="auto" w:before="109" w:after="0"/>
        <w:ind w:left="1074" w:right="1273" w:firstLine="340"/>
        <w:jc w:val="both"/>
        <w:rPr>
          <w:sz w:val="20"/>
        </w:rPr>
      </w:pPr>
      <w:r>
        <w:rPr>
          <w:sz w:val="20"/>
        </w:rPr>
        <w:t>Las entidades contratantes deberán establecer alguna condición especial relativa a la ejecución del contrato siempre que estén relacionados con el objeto del contrato, en el sentido establecido en el artículo 66.6, sean compatibles con el Derecho de la Unión Europea, y se indiquen en el anuncio utilizado como medio de convocatoria de licitación o en el pliego de</w:t>
      </w:r>
      <w:r>
        <w:rPr>
          <w:spacing w:val="-4"/>
          <w:sz w:val="20"/>
        </w:rPr>
        <w:t> </w:t>
      </w:r>
      <w:r>
        <w:rPr>
          <w:sz w:val="20"/>
        </w:rPr>
        <w:t>condiciones.</w:t>
      </w:r>
    </w:p>
    <w:p>
      <w:pPr>
        <w:pStyle w:val="BodyText"/>
        <w:spacing w:line="249" w:lineRule="auto" w:before="4"/>
        <w:ind w:right="1272"/>
      </w:pPr>
      <w:r>
        <w:rPr/>
        <w:t>En todo caso, será obligatorio el establecimiento en el pliego de condiciones de tipo medioambiental o de tipo social pudiendo incluirse también condiciones referidas a consideraciones económicas relacionadas con la innovación.</w:t>
      </w:r>
    </w:p>
    <w:p>
      <w:pPr>
        <w:pStyle w:val="ListParagraph"/>
        <w:numPr>
          <w:ilvl w:val="0"/>
          <w:numId w:val="182"/>
        </w:numPr>
        <w:tabs>
          <w:tab w:pos="1643" w:val="left" w:leader="none"/>
        </w:tabs>
        <w:spacing w:line="249" w:lineRule="auto" w:before="3" w:after="0"/>
        <w:ind w:left="1074" w:right="1273" w:firstLine="340"/>
        <w:jc w:val="both"/>
        <w:rPr>
          <w:sz w:val="20"/>
        </w:rPr>
      </w:pPr>
      <w:r>
        <w:rPr>
          <w:sz w:val="20"/>
        </w:rPr>
        <w:t>Las condiciones que regulen la ejecución de un contrato podrán referirse, en especial, a consideraciones económicas relacionadas con la innovación, de tipo medioambiental o de tipo social.</w:t>
      </w:r>
    </w:p>
    <w:p>
      <w:pPr>
        <w:pStyle w:val="BodyText"/>
        <w:spacing w:line="249" w:lineRule="auto"/>
        <w:ind w:right="1272"/>
      </w:pPr>
      <w:r>
        <w:rPr/>
        <w:t>En particular, se podrán establecer, entre otras, consideraciones de tipo medioambiental que persigan: la reducción de las emisiones de gases de efecto invernadero, contribuyéndose así a dar cumplimiento al objetivo que establece el artículo 88 de la Ley 2/2011, de 4 de marzo, de Economía Sostenible; la prevención y reducción de la contaminación atmosférica según establece el artículo 23 de la Ley 34/2007, de 15 de noviembre, de calidad del aire y protección de la atmósfera, el mantenimiento o mejora de los valores medioambientales que puedan verse afectados por la ejecución del contrato; una gestión más sostenible del agua; el fomento del uso de las energías renovables; la promoción del reciclado de productos y el uso de envases reutilizables; o el impulso de la entrega de productos a granel y la producción</w:t>
      </w:r>
      <w:r>
        <w:rPr>
          <w:spacing w:val="-12"/>
        </w:rPr>
        <w:t> </w:t>
      </w:r>
      <w:r>
        <w:rPr/>
        <w:t>ecológica.</w:t>
      </w:r>
    </w:p>
    <w:p>
      <w:pPr>
        <w:pStyle w:val="BodyText"/>
        <w:spacing w:line="249" w:lineRule="auto" w:before="8"/>
        <w:ind w:right="1270"/>
      </w:pPr>
      <w:r>
        <w:rPr/>
        <w:t>Las consideraciones de tipo social o relativas al empleo, podrán introducirse, entre otras, con alguna de las siguientes finalidades: hacer efectivos los derechos reconocidos en la Convención de las Naciones Unidas sobre los derechos de las personas con discapacidad; contratar un número de personas con discapacidad superior al que exige la legislación nacional; promover el empleo de personas con especiales dificultades de inserción en el mercado laboral, en particular de las personas con discapacidad o en situación o riesgo de exclusión social a través de Empresas de Inserción; eliminar las desigualdades entre el hombre y la mujer en dicho mercado, favoreciendo la aplicación de medidas que fomenten la igualdad entre mujeres y hombres en el trabajo; favorecer la mayor participación de la mujer en el mercado laboral y la conciliación del trabajo y la vida familiar; combatir el paro, en particular el juvenil, el que afecta a las mujeres y el de larga duración; favorecer la formación en el lugar de trabajo; garantizar la seguridad y la protección de la salud en el lugar de trabajo y el cumplimiento de los convenios colectivos sectoriales y territoriales aplicables; medidas para prevenir la siniestralidad laboral; otras finalidades que se establezcan con referencia a la estrategia coordinada para el empleo, definida en el artículo 145 del Tratado de Funcionamiento de la Unión Europea; o garantizar el respeto a los derechos laborales básicos a lo largo de la cadena de producción mediante la exigencia del cumplimiento de las Convenciones fundamentales de la Organización Internacional del Trabajo, incluidas aquellas consideraciones que busquen favorecer a los pequeños productores de países en desarrollo, con los que se mantienen relaciones comerciales que les son favorables tales como el pago de un precio mínimo y una prima a los productores o una mayor transparencia y trazabilidad de toda la cadena</w:t>
      </w:r>
      <w:r>
        <w:rPr>
          <w:spacing w:val="-3"/>
        </w:rPr>
        <w:t> </w:t>
      </w:r>
      <w:r>
        <w:rPr/>
        <w:t>comercial.</w:t>
      </w:r>
    </w:p>
    <w:p>
      <w:pPr>
        <w:pStyle w:val="ListParagraph"/>
        <w:numPr>
          <w:ilvl w:val="0"/>
          <w:numId w:val="182"/>
        </w:numPr>
        <w:tabs>
          <w:tab w:pos="1687" w:val="left" w:leader="none"/>
        </w:tabs>
        <w:spacing w:line="249" w:lineRule="auto" w:before="18" w:after="0"/>
        <w:ind w:left="1074" w:right="1274" w:firstLine="340"/>
        <w:jc w:val="both"/>
        <w:rPr>
          <w:sz w:val="20"/>
        </w:rPr>
      </w:pPr>
      <w:r>
        <w:rPr>
          <w:sz w:val="20"/>
        </w:rPr>
        <w:t>En el pliego o en el contrato se podrán establecer penalidades para el caso de incumplimiento de estas condiciones especiales de ejecución, o atribuírseles el carácter de obligaciones contractuales</w:t>
      </w:r>
      <w:r>
        <w:rPr>
          <w:spacing w:val="-2"/>
          <w:sz w:val="20"/>
        </w:rPr>
        <w:t> </w:t>
      </w:r>
      <w:r>
        <w:rPr>
          <w:sz w:val="20"/>
        </w:rPr>
        <w:t>esenciales.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82"/>
        </w:numPr>
        <w:tabs>
          <w:tab w:pos="1664" w:val="left" w:leader="none"/>
        </w:tabs>
        <w:spacing w:line="249" w:lineRule="auto" w:before="127" w:after="0"/>
        <w:ind w:left="1074" w:right="1273" w:firstLine="340"/>
        <w:jc w:val="both"/>
        <w:rPr>
          <w:sz w:val="20"/>
        </w:rPr>
      </w:pPr>
      <w:r>
        <w:rPr>
          <w:sz w:val="20"/>
        </w:rPr>
        <w:t>Todas las condiciones especiales de ejecución que formen parte del contrato serán exigidas igualmente a todos los subcontratistas que participen de la ejecución del</w:t>
      </w:r>
      <w:r>
        <w:rPr>
          <w:spacing w:val="-36"/>
          <w:sz w:val="20"/>
        </w:rPr>
        <w:t> </w:t>
      </w:r>
      <w:r>
        <w:rPr>
          <w:sz w:val="20"/>
        </w:rPr>
        <w:t>mismo.</w:t>
      </w:r>
    </w:p>
    <w:p>
      <w:pPr>
        <w:pStyle w:val="BodyText"/>
        <w:spacing w:before="4"/>
        <w:ind w:left="0" w:firstLine="0"/>
        <w:jc w:val="left"/>
      </w:pPr>
    </w:p>
    <w:p>
      <w:pPr>
        <w:spacing w:line="249" w:lineRule="auto" w:before="0"/>
        <w:ind w:left="1074" w:right="1271" w:firstLine="0"/>
        <w:jc w:val="both"/>
        <w:rPr>
          <w:i/>
          <w:sz w:val="20"/>
        </w:rPr>
      </w:pPr>
      <w:bookmarkStart w:name="Artículo 106. Obligaciones relativas a l" w:id="171"/>
      <w:bookmarkEnd w:id="171"/>
      <w:r>
        <w:rPr/>
      </w:r>
      <w:r>
        <w:rPr>
          <w:b/>
          <w:sz w:val="20"/>
        </w:rPr>
        <w:t>Artículo 106. </w:t>
      </w:r>
      <w:r>
        <w:rPr>
          <w:i/>
          <w:sz w:val="20"/>
        </w:rPr>
        <w:t>Obligaciones relativas a las disposiciones en materia fiscal, de protección del </w:t>
      </w:r>
      <w:r>
        <w:rPr>
          <w:i/>
          <w:sz w:val="20"/>
        </w:rPr>
        <w:t>medio ambiente, del empleo y de condiciones de trabajo y de contratar a un porcentaje específico de personas con discapacidad.</w:t>
      </w:r>
    </w:p>
    <w:p>
      <w:pPr>
        <w:pStyle w:val="ListParagraph"/>
        <w:numPr>
          <w:ilvl w:val="0"/>
          <w:numId w:val="183"/>
        </w:numPr>
        <w:tabs>
          <w:tab w:pos="1680" w:val="left" w:leader="none"/>
        </w:tabs>
        <w:spacing w:line="249" w:lineRule="auto" w:before="110" w:after="0"/>
        <w:ind w:left="1074" w:right="1272" w:firstLine="340"/>
        <w:jc w:val="both"/>
        <w:rPr>
          <w:sz w:val="20"/>
        </w:rPr>
      </w:pPr>
      <w:r>
        <w:rPr>
          <w:sz w:val="20"/>
        </w:rPr>
        <w:t>La entidad contratante podrá señalar en el pliego de condiciones, el organismo u organismos de los que los candidatos o los licitadores pueden obtener la información pertinente sobre obligaciones fiscales, de protección del medio ambiente, y las disposiciones vigentes en materia de protección del empleo, igualdad de género, condiciones de trabajo y prevención de riesgos laborales e inserción sociolaboral de las personas con discapacidad, y a la obligación de contratar a un número o porcentaje específico de personas con discapacidad que estén vigentes en el Estado, en la Comunidad Autónoma y en la localidad en que vayan a realizarse las prestaciones y que serán aplicables a las obras realizadas o a los servicios prestados durante la ejecución del</w:t>
      </w:r>
      <w:r>
        <w:rPr>
          <w:spacing w:val="-9"/>
          <w:sz w:val="20"/>
        </w:rPr>
        <w:t> </w:t>
      </w:r>
      <w:r>
        <w:rPr>
          <w:sz w:val="20"/>
        </w:rPr>
        <w:t>contrato.</w:t>
      </w:r>
    </w:p>
    <w:p>
      <w:pPr>
        <w:pStyle w:val="ListParagraph"/>
        <w:numPr>
          <w:ilvl w:val="0"/>
          <w:numId w:val="183"/>
        </w:numPr>
        <w:tabs>
          <w:tab w:pos="1690" w:val="left" w:leader="none"/>
        </w:tabs>
        <w:spacing w:line="249" w:lineRule="auto" w:before="7" w:after="0"/>
        <w:ind w:left="1074" w:right="1272" w:firstLine="340"/>
        <w:jc w:val="both"/>
        <w:rPr>
          <w:sz w:val="20"/>
        </w:rPr>
      </w:pPr>
      <w:r>
        <w:rPr>
          <w:sz w:val="20"/>
        </w:rPr>
        <w:t>La entidad contratante que facilite la información a que se refiere el apartado 1 solicitará a los licitadores o candidatos a una licitación que indiquen que en la elaboración de su oferta han tenido en cuenta las obligaciones derivadas de las disposiciones vigentes en materia de fiscalidad, protección del medio ambiente, protección del empleo, igualdad de género, condiciones de trabajo, prevención de riesgos laborales e inserción sociolaboral de las personas con discapacidad, y a la obligación de contratar a un número o porcentaje específico de personas con discapacidad, y protección del medio</w:t>
      </w:r>
      <w:r>
        <w:rPr>
          <w:spacing w:val="-18"/>
          <w:sz w:val="20"/>
        </w:rPr>
        <w:t> </w:t>
      </w:r>
      <w:r>
        <w:rPr>
          <w:sz w:val="20"/>
        </w:rPr>
        <w:t>ambiente.</w:t>
      </w:r>
    </w:p>
    <w:p>
      <w:pPr>
        <w:pStyle w:val="ListParagraph"/>
        <w:numPr>
          <w:ilvl w:val="0"/>
          <w:numId w:val="183"/>
        </w:numPr>
        <w:tabs>
          <w:tab w:pos="1640" w:val="left" w:leader="none"/>
        </w:tabs>
        <w:spacing w:line="249" w:lineRule="auto" w:before="6" w:after="0"/>
        <w:ind w:left="1074" w:right="1274" w:firstLine="340"/>
        <w:jc w:val="both"/>
        <w:rPr>
          <w:sz w:val="20"/>
        </w:rPr>
      </w:pPr>
      <w:r>
        <w:rPr>
          <w:sz w:val="20"/>
        </w:rPr>
        <w:t>Lo dispuesto en el apartado 1 no obstará la aplicación de lo dispuesto en el artículo 69 sobre verificación de las ofertas que incluyan valores anormales o</w:t>
      </w:r>
      <w:r>
        <w:rPr>
          <w:spacing w:val="-27"/>
          <w:sz w:val="20"/>
        </w:rPr>
        <w:t> </w:t>
      </w:r>
      <w:r>
        <w:rPr>
          <w:sz w:val="20"/>
        </w:rPr>
        <w:t>desproporcionados.</w:t>
      </w:r>
    </w:p>
    <w:p>
      <w:pPr>
        <w:pStyle w:val="ListParagraph"/>
        <w:numPr>
          <w:ilvl w:val="0"/>
          <w:numId w:val="183"/>
        </w:numPr>
        <w:tabs>
          <w:tab w:pos="1705" w:val="left" w:leader="none"/>
        </w:tabs>
        <w:spacing w:line="249" w:lineRule="auto" w:before="2" w:after="0"/>
        <w:ind w:left="1074" w:right="1273" w:firstLine="340"/>
        <w:jc w:val="both"/>
        <w:rPr>
          <w:sz w:val="20"/>
        </w:rPr>
      </w:pPr>
      <w:r>
        <w:rPr>
          <w:sz w:val="20"/>
        </w:rPr>
        <w:t>Independientemente de lo dispuesto en este artículo las entidades contratantes cumplirán con las obligaciones establecidas en el artículo</w:t>
      </w:r>
      <w:r>
        <w:rPr>
          <w:spacing w:val="-12"/>
          <w:sz w:val="20"/>
        </w:rPr>
        <w:t> </w:t>
      </w:r>
      <w:r>
        <w:rPr>
          <w:sz w:val="20"/>
        </w:rPr>
        <w:t>27.4.</w:t>
      </w:r>
    </w:p>
    <w:p>
      <w:pPr>
        <w:pStyle w:val="BodyText"/>
        <w:spacing w:before="4"/>
        <w:ind w:left="0" w:firstLine="0"/>
        <w:jc w:val="left"/>
      </w:pPr>
    </w:p>
    <w:p>
      <w:pPr>
        <w:spacing w:before="0"/>
        <w:ind w:left="1074" w:right="0" w:firstLine="0"/>
        <w:jc w:val="both"/>
        <w:rPr>
          <w:i/>
          <w:sz w:val="20"/>
        </w:rPr>
      </w:pPr>
      <w:bookmarkStart w:name="Artículo 107. Subcontratación." w:id="172"/>
      <w:bookmarkEnd w:id="172"/>
      <w:r>
        <w:rPr/>
      </w:r>
      <w:r>
        <w:rPr>
          <w:b/>
          <w:sz w:val="20"/>
        </w:rPr>
        <w:t>Artículo 107.</w:t>
      </w:r>
      <w:r>
        <w:rPr>
          <w:b/>
          <w:spacing w:val="54"/>
          <w:sz w:val="20"/>
        </w:rPr>
        <w:t> </w:t>
      </w:r>
      <w:r>
        <w:rPr>
          <w:i/>
          <w:sz w:val="20"/>
        </w:rPr>
        <w:t>Subcontratación.</w:t>
      </w:r>
    </w:p>
    <w:p>
      <w:pPr>
        <w:pStyle w:val="ListParagraph"/>
        <w:numPr>
          <w:ilvl w:val="0"/>
          <w:numId w:val="184"/>
        </w:numPr>
        <w:tabs>
          <w:tab w:pos="1655" w:val="left" w:leader="none"/>
        </w:tabs>
        <w:spacing w:line="249" w:lineRule="auto" w:before="117" w:after="0"/>
        <w:ind w:left="1074" w:right="1271" w:firstLine="340"/>
        <w:jc w:val="both"/>
        <w:rPr>
          <w:sz w:val="20"/>
        </w:rPr>
      </w:pPr>
      <w:r>
        <w:rPr>
          <w:sz w:val="20"/>
        </w:rPr>
        <w:t>El contratista podrá concertar con terceros la realización parcial de la prestación con sujeción a lo que dispongan los pliegos, salvo que conforme a lo establecido en la letra d) del apartado 2 de este artículo, la prestación o parte de la misma haya de ser ejecutada directamente por el</w:t>
      </w:r>
      <w:r>
        <w:rPr>
          <w:spacing w:val="-4"/>
          <w:sz w:val="20"/>
        </w:rPr>
        <w:t> </w:t>
      </w:r>
      <w:r>
        <w:rPr>
          <w:sz w:val="20"/>
        </w:rPr>
        <w:t>primero.</w:t>
      </w:r>
    </w:p>
    <w:p>
      <w:pPr>
        <w:pStyle w:val="BodyText"/>
        <w:spacing w:line="249" w:lineRule="auto" w:before="4"/>
        <w:ind w:right="1274"/>
      </w:pPr>
      <w:r>
        <w:rPr/>
        <w:t>En ningún caso la prohibición de subcontratación podrá suponer que se produzca una restricción efectiva de la competencia.</w:t>
      </w:r>
    </w:p>
    <w:p>
      <w:pPr>
        <w:pStyle w:val="ListParagraph"/>
        <w:numPr>
          <w:ilvl w:val="0"/>
          <w:numId w:val="184"/>
        </w:numPr>
        <w:tabs>
          <w:tab w:pos="1650" w:val="left" w:leader="none"/>
        </w:tabs>
        <w:spacing w:line="249" w:lineRule="auto" w:before="1" w:after="0"/>
        <w:ind w:left="1074" w:right="1271" w:firstLine="340"/>
        <w:jc w:val="both"/>
        <w:rPr>
          <w:sz w:val="20"/>
        </w:rPr>
      </w:pPr>
      <w:r>
        <w:rPr>
          <w:sz w:val="20"/>
        </w:rPr>
        <w:t>La celebración de las subcontratas estará sometida al cumplimiento de los siguientes requisitos:</w:t>
      </w:r>
    </w:p>
    <w:p>
      <w:pPr>
        <w:pStyle w:val="ListParagraph"/>
        <w:numPr>
          <w:ilvl w:val="0"/>
          <w:numId w:val="185"/>
        </w:numPr>
        <w:tabs>
          <w:tab w:pos="1679" w:val="left" w:leader="none"/>
        </w:tabs>
        <w:spacing w:line="249" w:lineRule="auto" w:before="122" w:after="0"/>
        <w:ind w:left="1074" w:right="1273" w:firstLine="340"/>
        <w:jc w:val="both"/>
        <w:rPr>
          <w:sz w:val="20"/>
        </w:rPr>
      </w:pPr>
      <w:r>
        <w:rPr>
          <w:sz w:val="20"/>
        </w:rPr>
        <w:t>Si así se prevé en los pliegos de condiciones, los licitadores deberán indicar en la oferta la parte del contrato que tengan previsto subcontratar, señalando su importe, y el nombre o el perfil empresarial, definido por referencia a los criterios de selección cualitativa de los subcontratistas a los que se vaya a encomendar su</w:t>
      </w:r>
      <w:r>
        <w:rPr>
          <w:spacing w:val="-11"/>
          <w:sz w:val="20"/>
        </w:rPr>
        <w:t> </w:t>
      </w:r>
      <w:r>
        <w:rPr>
          <w:sz w:val="20"/>
        </w:rPr>
        <w:t>realización.</w:t>
      </w:r>
    </w:p>
    <w:p>
      <w:pPr>
        <w:pStyle w:val="ListParagraph"/>
        <w:numPr>
          <w:ilvl w:val="0"/>
          <w:numId w:val="185"/>
        </w:numPr>
        <w:tabs>
          <w:tab w:pos="1687" w:val="left" w:leader="none"/>
        </w:tabs>
        <w:spacing w:line="249" w:lineRule="auto" w:before="3" w:after="0"/>
        <w:ind w:left="1074" w:right="1272" w:firstLine="340"/>
        <w:jc w:val="both"/>
        <w:rPr>
          <w:sz w:val="20"/>
        </w:rPr>
      </w:pPr>
      <w:r>
        <w:rPr>
          <w:sz w:val="20"/>
        </w:rPr>
        <w:t>En todo caso, el contratista deberá comunicar por escrito, tras la adjudicación del contrato y, a más tardar, cuando inicie la ejecución de este, a la entidad contratante la intención de celebrar los subcontratos, señalando la parte de la prestación que se pretende subcontratar y la identidad, datos de contacto y representante o representantes legales del subcontratista, y justificando suficientemente la aptitud de este para ejecutarla por referencia a los elementos técnicos y humanos de que dispone y a su experiencia, y acreditando que el mismo no se encuentra incurso en ninguna de las prohibiciones de contratar que establece  la Ley 9/2017, de 8 de</w:t>
      </w:r>
      <w:r>
        <w:rPr>
          <w:spacing w:val="-8"/>
          <w:sz w:val="20"/>
        </w:rPr>
        <w:t> </w:t>
      </w:r>
      <w:r>
        <w:rPr>
          <w:sz w:val="20"/>
        </w:rPr>
        <w:t>noviembre.</w:t>
      </w:r>
    </w:p>
    <w:p>
      <w:pPr>
        <w:pStyle w:val="BodyText"/>
        <w:spacing w:line="249" w:lineRule="auto" w:before="7"/>
        <w:ind w:right="1273"/>
      </w:pPr>
      <w:r>
        <w:rPr/>
        <w:t>El contratista principal deberá notificar por escrito a la entidad contratante cualquier modificación que sufra esta información durante la ejecución del contrato principal, y toda la información necesaria sobre los nuevos subcontratistas.</w:t>
      </w:r>
    </w:p>
    <w:p>
      <w:pPr>
        <w:pStyle w:val="BodyText"/>
        <w:spacing w:line="249" w:lineRule="auto"/>
        <w:ind w:right="1274"/>
      </w:pPr>
      <w:r>
        <w:rPr/>
        <w:t>La acreditación de la aptitud del subcontratista podrá realizarse inmediatamente después de la celebración del subcontrato si esta es necesaria para atender a una situación de emergencia o que exija la adopción de medidas urgentes y así se justifica suficientemente.</w:t>
      </w:r>
    </w:p>
    <w:p>
      <w:pPr>
        <w:pStyle w:val="ListParagraph"/>
        <w:numPr>
          <w:ilvl w:val="0"/>
          <w:numId w:val="185"/>
        </w:numPr>
        <w:tabs>
          <w:tab w:pos="1678" w:val="left" w:leader="none"/>
        </w:tabs>
        <w:spacing w:line="249" w:lineRule="auto" w:before="3" w:after="0"/>
        <w:ind w:left="1074" w:right="1274" w:firstLine="340"/>
        <w:jc w:val="both"/>
        <w:rPr>
          <w:sz w:val="20"/>
        </w:rPr>
      </w:pPr>
      <w:r>
        <w:rPr>
          <w:sz w:val="20"/>
        </w:rPr>
        <w:t>Si los pliegos de condiciones hubiesen impuesto a los licitadores la obligación de comunicar las circunstancias señaladas en la letra a) del presente apartado, los subcontratos que</w:t>
      </w:r>
      <w:r>
        <w:rPr>
          <w:spacing w:val="6"/>
          <w:sz w:val="20"/>
        </w:rPr>
        <w:t> </w:t>
      </w:r>
      <w:r>
        <w:rPr>
          <w:sz w:val="20"/>
        </w:rPr>
        <w:t>no</w:t>
      </w:r>
      <w:r>
        <w:rPr>
          <w:spacing w:val="6"/>
          <w:sz w:val="20"/>
        </w:rPr>
        <w:t> </w:t>
      </w:r>
      <w:r>
        <w:rPr>
          <w:sz w:val="20"/>
        </w:rPr>
        <w:t>se</w:t>
      </w:r>
      <w:r>
        <w:rPr>
          <w:spacing w:val="7"/>
          <w:sz w:val="20"/>
        </w:rPr>
        <w:t> </w:t>
      </w:r>
      <w:r>
        <w:rPr>
          <w:sz w:val="20"/>
        </w:rPr>
        <w:t>ajusten</w:t>
      </w:r>
      <w:r>
        <w:rPr>
          <w:spacing w:val="6"/>
          <w:sz w:val="20"/>
        </w:rPr>
        <w:t> </w:t>
      </w:r>
      <w:r>
        <w:rPr>
          <w:sz w:val="20"/>
        </w:rPr>
        <w:t>a</w:t>
      </w:r>
      <w:r>
        <w:rPr>
          <w:spacing w:val="6"/>
          <w:sz w:val="20"/>
        </w:rPr>
        <w:t> </w:t>
      </w:r>
      <w:r>
        <w:rPr>
          <w:sz w:val="20"/>
        </w:rPr>
        <w:t>lo</w:t>
      </w:r>
      <w:r>
        <w:rPr>
          <w:spacing w:val="6"/>
          <w:sz w:val="20"/>
        </w:rPr>
        <w:t> </w:t>
      </w:r>
      <w:r>
        <w:rPr>
          <w:sz w:val="20"/>
        </w:rPr>
        <w:t>indicado</w:t>
      </w:r>
      <w:r>
        <w:rPr>
          <w:spacing w:val="6"/>
          <w:sz w:val="20"/>
        </w:rPr>
        <w:t> </w:t>
      </w:r>
      <w:r>
        <w:rPr>
          <w:sz w:val="20"/>
        </w:rPr>
        <w:t>en</w:t>
      </w:r>
      <w:r>
        <w:rPr>
          <w:spacing w:val="7"/>
          <w:sz w:val="20"/>
        </w:rPr>
        <w:t> </w:t>
      </w:r>
      <w:r>
        <w:rPr>
          <w:sz w:val="20"/>
        </w:rPr>
        <w:t>la</w:t>
      </w:r>
      <w:r>
        <w:rPr>
          <w:spacing w:val="6"/>
          <w:sz w:val="20"/>
        </w:rPr>
        <w:t> </w:t>
      </w:r>
      <w:r>
        <w:rPr>
          <w:sz w:val="20"/>
        </w:rPr>
        <w:t>oferta,</w:t>
      </w:r>
      <w:r>
        <w:rPr>
          <w:spacing w:val="6"/>
          <w:sz w:val="20"/>
        </w:rPr>
        <w:t> </w:t>
      </w:r>
      <w:r>
        <w:rPr>
          <w:sz w:val="20"/>
        </w:rPr>
        <w:t>por</w:t>
      </w:r>
      <w:r>
        <w:rPr>
          <w:spacing w:val="6"/>
          <w:sz w:val="20"/>
        </w:rPr>
        <w:t> </w:t>
      </w:r>
      <w:r>
        <w:rPr>
          <w:sz w:val="20"/>
        </w:rPr>
        <w:t>celebrarse</w:t>
      </w:r>
      <w:r>
        <w:rPr>
          <w:spacing w:val="7"/>
          <w:sz w:val="20"/>
        </w:rPr>
        <w:t> </w:t>
      </w:r>
      <w:r>
        <w:rPr>
          <w:sz w:val="20"/>
        </w:rPr>
        <w:t>con</w:t>
      </w:r>
      <w:r>
        <w:rPr>
          <w:spacing w:val="7"/>
          <w:sz w:val="20"/>
        </w:rPr>
        <w:t> </w:t>
      </w:r>
      <w:r>
        <w:rPr>
          <w:sz w:val="20"/>
        </w:rPr>
        <w:t>empresarios</w:t>
      </w:r>
      <w:r>
        <w:rPr>
          <w:spacing w:val="6"/>
          <w:sz w:val="20"/>
        </w:rPr>
        <w:t> </w:t>
      </w:r>
      <w:r>
        <w:rPr>
          <w:sz w:val="20"/>
        </w:rPr>
        <w:t>distintos</w:t>
      </w:r>
      <w:r>
        <w:rPr>
          <w:spacing w:val="6"/>
          <w:sz w:val="20"/>
        </w:rPr>
        <w:t> </w:t>
      </w:r>
      <w:r>
        <w:rPr>
          <w:sz w:val="20"/>
        </w:rPr>
        <w:t>de</w:t>
      </w:r>
      <w:r>
        <w:rPr>
          <w:spacing w:val="7"/>
          <w:sz w:val="20"/>
        </w:rPr>
        <w:t> </w:t>
      </w:r>
      <w:r>
        <w:rPr>
          <w:sz w:val="20"/>
        </w:rPr>
        <w:t>los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indicados nominativamente en la misma o por referirse a partes de la prestación diferentes a las señaladas en ella, no podrán celebrarse hasta que transcurran veinte días desde que se hubiese cursado la notificación y aportado las justificaciones a que se refiere la letra b) de este apartado, siempre que la entidad contratante no hubiese notificado dentro de este plazo su oposición a los mismos. Este régimen será igualmente aplicable si los subcontratistas hubiesen sido identificados en la oferta mediante la descripción de su perfil profesional. Bajo la responsabilidad del contratista, los subcontratos podrán concluirse sin necesidad de dejar transcurrir el plazo de veinte días si su celebración es necesaria para atender a una situación de emergencia o que exija la adopción de medidas urgentes y así se justifica suficientemente.</w:t>
      </w:r>
    </w:p>
    <w:p>
      <w:pPr>
        <w:pStyle w:val="ListParagraph"/>
        <w:numPr>
          <w:ilvl w:val="0"/>
          <w:numId w:val="185"/>
        </w:numPr>
        <w:tabs>
          <w:tab w:pos="1652" w:val="left" w:leader="none"/>
        </w:tabs>
        <w:spacing w:line="249" w:lineRule="auto" w:before="8" w:after="0"/>
        <w:ind w:left="1074" w:right="1272" w:firstLine="340"/>
        <w:jc w:val="both"/>
        <w:rPr>
          <w:sz w:val="20"/>
        </w:rPr>
      </w:pPr>
      <w:r>
        <w:rPr>
          <w:sz w:val="20"/>
        </w:rPr>
        <w:t>De conformidad con lo dispuesto en el artículo 56.3, segundo párrafo, en los contratos de obras, los contratos de servicios o los servicios o trabajos de colocación o instalación en el contexto de un contrato de suministro, las entidades contratantes podrán establecer en los pliegos que determinadas tareas críticas no puedan ser objeto de subcontratación, debiendo ser estas ejecutadas directamente por el contratista principal. La determinación de las tareas críticas deberá ser objeto de justificación en la documentación preparatoria de la contratación.</w:t>
      </w:r>
    </w:p>
    <w:p>
      <w:pPr>
        <w:pStyle w:val="ListParagraph"/>
        <w:numPr>
          <w:ilvl w:val="0"/>
          <w:numId w:val="184"/>
        </w:numPr>
        <w:tabs>
          <w:tab w:pos="1651" w:val="left" w:leader="none"/>
        </w:tabs>
        <w:spacing w:line="249" w:lineRule="auto" w:before="126" w:after="0"/>
        <w:ind w:left="1074" w:right="1273" w:firstLine="340"/>
        <w:jc w:val="both"/>
        <w:rPr>
          <w:sz w:val="20"/>
        </w:rPr>
      </w:pPr>
      <w:r>
        <w:rPr>
          <w:sz w:val="20"/>
        </w:rPr>
        <w:t>La infracción de las condiciones establecidas en el apartado anterior para proceder a la subcontratación, así como la falta de acreditación de la aptitud del subcontratista o de las circunstancias determinantes de la situación de emergencia o de las que hacen urgente la subcontratación, podrá dar lugar, cuando así se hubiera previsto en los pliegos de condiciones, a alguna de las siguientes</w:t>
      </w:r>
      <w:r>
        <w:rPr>
          <w:spacing w:val="-5"/>
          <w:sz w:val="20"/>
        </w:rPr>
        <w:t> </w:t>
      </w:r>
      <w:r>
        <w:rPr>
          <w:sz w:val="20"/>
        </w:rPr>
        <w:t>consecuencias:</w:t>
      </w:r>
    </w:p>
    <w:p>
      <w:pPr>
        <w:pStyle w:val="ListParagraph"/>
        <w:numPr>
          <w:ilvl w:val="0"/>
          <w:numId w:val="186"/>
        </w:numPr>
        <w:tabs>
          <w:tab w:pos="1662" w:val="left" w:leader="none"/>
        </w:tabs>
        <w:spacing w:line="249" w:lineRule="auto" w:before="124" w:after="0"/>
        <w:ind w:left="1074" w:right="1275" w:firstLine="340"/>
        <w:jc w:val="both"/>
        <w:rPr>
          <w:sz w:val="20"/>
        </w:rPr>
      </w:pPr>
      <w:r>
        <w:rPr>
          <w:sz w:val="20"/>
        </w:rPr>
        <w:t>La imposición al contratista de una penalidad de hasta un 50 por 100 del importe del subcontrato.</w:t>
      </w:r>
    </w:p>
    <w:p>
      <w:pPr>
        <w:pStyle w:val="ListParagraph"/>
        <w:numPr>
          <w:ilvl w:val="0"/>
          <w:numId w:val="186"/>
        </w:numPr>
        <w:tabs>
          <w:tab w:pos="1648" w:val="left" w:leader="none"/>
        </w:tabs>
        <w:spacing w:line="240" w:lineRule="auto" w:before="1" w:after="0"/>
        <w:ind w:left="1647" w:right="0" w:hanging="234"/>
        <w:jc w:val="both"/>
        <w:rPr>
          <w:sz w:val="20"/>
        </w:rPr>
      </w:pPr>
      <w:r>
        <w:rPr>
          <w:sz w:val="20"/>
        </w:rPr>
        <w:t>La resolución del</w:t>
      </w:r>
      <w:r>
        <w:rPr>
          <w:spacing w:val="-3"/>
          <w:sz w:val="20"/>
        </w:rPr>
        <w:t> </w:t>
      </w:r>
      <w:r>
        <w:rPr>
          <w:sz w:val="20"/>
        </w:rPr>
        <w:t>contrato.</w:t>
      </w:r>
    </w:p>
    <w:p>
      <w:pPr>
        <w:pStyle w:val="ListParagraph"/>
        <w:numPr>
          <w:ilvl w:val="0"/>
          <w:numId w:val="184"/>
        </w:numPr>
        <w:tabs>
          <w:tab w:pos="1647" w:val="left" w:leader="none"/>
        </w:tabs>
        <w:spacing w:line="249" w:lineRule="auto" w:before="130" w:after="0"/>
        <w:ind w:left="1074" w:right="1271" w:firstLine="340"/>
        <w:jc w:val="both"/>
        <w:rPr>
          <w:sz w:val="20"/>
        </w:rPr>
      </w:pPr>
      <w:r>
        <w:rPr>
          <w:sz w:val="20"/>
        </w:rPr>
        <w:t>Los subcontratistas quedarán obligados solo ante el contratista principal que asumirá, por tanto, la total responsabilidad de la ejecución del contrato frente a la entidad contratante, con arreglo estricto a los pliegos de condiciones y a los términos del contrato, incluido el cumplimiento de las obligaciones en materia medioambiental, social o laboral a que se refiere el artículo</w:t>
      </w:r>
      <w:r>
        <w:rPr>
          <w:spacing w:val="-3"/>
          <w:sz w:val="20"/>
        </w:rPr>
        <w:t> </w:t>
      </w:r>
      <w:r>
        <w:rPr>
          <w:sz w:val="20"/>
        </w:rPr>
        <w:t>27.4.</w:t>
      </w:r>
    </w:p>
    <w:p>
      <w:pPr>
        <w:pStyle w:val="BodyText"/>
        <w:spacing w:line="249" w:lineRule="auto" w:before="4"/>
        <w:ind w:right="1272"/>
      </w:pPr>
      <w:r>
        <w:rPr/>
        <w:t>El conocimiento que tenga la entidad contratante de los subcontratos celebrados en virtud de las comunicaciones a que se refieren las letras b) y c) del apartado 2 de este artículo no alterará la responsabilidad exclusiva del contratista</w:t>
      </w:r>
      <w:r>
        <w:rPr>
          <w:spacing w:val="-13"/>
        </w:rPr>
        <w:t> </w:t>
      </w:r>
      <w:r>
        <w:rPr/>
        <w:t>principal.</w:t>
      </w:r>
    </w:p>
    <w:p>
      <w:pPr>
        <w:pStyle w:val="ListParagraph"/>
        <w:numPr>
          <w:ilvl w:val="0"/>
          <w:numId w:val="184"/>
        </w:numPr>
        <w:tabs>
          <w:tab w:pos="1659" w:val="left" w:leader="none"/>
        </w:tabs>
        <w:spacing w:line="249" w:lineRule="auto" w:before="3" w:after="0"/>
        <w:ind w:left="1074" w:right="1272" w:firstLine="340"/>
        <w:jc w:val="both"/>
        <w:rPr>
          <w:sz w:val="20"/>
        </w:rPr>
      </w:pPr>
      <w:r>
        <w:rPr>
          <w:sz w:val="20"/>
        </w:rPr>
        <w:t>En ningún caso podrá concertarse por el contratista la ejecución parcial del contrato con personas inhabilitadas para contratar de acuerdo con el ordenamiento jurídico o con personas incursas en prohibición de contratar de acuerdo con la Ley 9/2017, de 8 de noviembre.</w:t>
      </w:r>
    </w:p>
    <w:p>
      <w:pPr>
        <w:pStyle w:val="ListParagraph"/>
        <w:numPr>
          <w:ilvl w:val="0"/>
          <w:numId w:val="184"/>
        </w:numPr>
        <w:tabs>
          <w:tab w:pos="1719" w:val="left" w:leader="none"/>
        </w:tabs>
        <w:spacing w:line="249" w:lineRule="auto" w:before="3" w:after="0"/>
        <w:ind w:left="1074" w:right="1273" w:firstLine="340"/>
        <w:jc w:val="both"/>
        <w:rPr>
          <w:sz w:val="20"/>
        </w:rPr>
      </w:pPr>
      <w:r>
        <w:rPr>
          <w:sz w:val="20"/>
        </w:rPr>
        <w:t>El contratista deberá informar a los representantes de los trabajadores de la subcontratación, de acuerdo con la legislación</w:t>
      </w:r>
      <w:r>
        <w:rPr>
          <w:spacing w:val="-7"/>
          <w:sz w:val="20"/>
        </w:rPr>
        <w:t> </w:t>
      </w:r>
      <w:r>
        <w:rPr>
          <w:sz w:val="20"/>
        </w:rPr>
        <w:t>laboral.</w:t>
      </w:r>
    </w:p>
    <w:p>
      <w:pPr>
        <w:pStyle w:val="ListParagraph"/>
        <w:numPr>
          <w:ilvl w:val="0"/>
          <w:numId w:val="184"/>
        </w:numPr>
        <w:tabs>
          <w:tab w:pos="1637" w:val="left" w:leader="none"/>
        </w:tabs>
        <w:spacing w:line="240" w:lineRule="auto" w:before="2" w:after="0"/>
        <w:ind w:left="1636" w:right="0" w:hanging="223"/>
        <w:jc w:val="both"/>
        <w:rPr>
          <w:sz w:val="20"/>
        </w:rPr>
      </w:pPr>
      <w:r>
        <w:rPr>
          <w:sz w:val="20"/>
        </w:rPr>
        <w:t>Los subcontratos tendrán en todo caso naturaleza</w:t>
      </w:r>
      <w:r>
        <w:rPr>
          <w:spacing w:val="-5"/>
          <w:sz w:val="20"/>
        </w:rPr>
        <w:t> </w:t>
      </w:r>
      <w:r>
        <w:rPr>
          <w:sz w:val="20"/>
        </w:rPr>
        <w:t>privada.</w:t>
      </w:r>
    </w:p>
    <w:p>
      <w:pPr>
        <w:pStyle w:val="ListParagraph"/>
        <w:numPr>
          <w:ilvl w:val="0"/>
          <w:numId w:val="184"/>
        </w:numPr>
        <w:tabs>
          <w:tab w:pos="1656" w:val="left" w:leader="none"/>
        </w:tabs>
        <w:spacing w:line="249" w:lineRule="auto" w:before="10" w:after="0"/>
        <w:ind w:left="1074" w:right="1272" w:firstLine="340"/>
        <w:jc w:val="both"/>
        <w:rPr>
          <w:sz w:val="20"/>
        </w:rPr>
      </w:pPr>
      <w:r>
        <w:rPr>
          <w:sz w:val="20"/>
        </w:rPr>
        <w:t>Sin perjuicio de lo establecido en la disposición adicional séptima, cuando la entidad contratante sea una entidad perteneciente al Sector Público los subcontratistas no tendrán acción directa frente a la primera por las obligaciones contraídas con ellos por el contratista como consecuencia de la ejecución del contrato principal y de los</w:t>
      </w:r>
      <w:r>
        <w:rPr>
          <w:spacing w:val="-15"/>
          <w:sz w:val="20"/>
        </w:rPr>
        <w:t> </w:t>
      </w:r>
      <w:r>
        <w:rPr>
          <w:sz w:val="20"/>
        </w:rPr>
        <w:t>subcontratos.</w:t>
      </w:r>
    </w:p>
    <w:p>
      <w:pPr>
        <w:pStyle w:val="BodyText"/>
        <w:spacing w:before="6"/>
        <w:ind w:left="0" w:firstLine="0"/>
        <w:jc w:val="left"/>
      </w:pPr>
    </w:p>
    <w:p>
      <w:pPr>
        <w:spacing w:before="0"/>
        <w:ind w:left="1074" w:right="0" w:firstLine="0"/>
        <w:jc w:val="both"/>
        <w:rPr>
          <w:i/>
          <w:sz w:val="20"/>
        </w:rPr>
      </w:pPr>
      <w:bookmarkStart w:name="Artículo 108. Pagos a subcontratistas y " w:id="173"/>
      <w:bookmarkEnd w:id="173"/>
      <w:r>
        <w:rPr/>
      </w:r>
      <w:r>
        <w:rPr>
          <w:b/>
          <w:sz w:val="20"/>
        </w:rPr>
        <w:t>Artículo 108. </w:t>
      </w:r>
      <w:r>
        <w:rPr>
          <w:i/>
          <w:sz w:val="20"/>
        </w:rPr>
        <w:t>Pagos a subcontratistas y suministradores y comprobación de los mismos.</w:t>
      </w:r>
    </w:p>
    <w:p>
      <w:pPr>
        <w:pStyle w:val="ListParagraph"/>
        <w:numPr>
          <w:ilvl w:val="0"/>
          <w:numId w:val="187"/>
        </w:numPr>
        <w:tabs>
          <w:tab w:pos="1648" w:val="left" w:leader="none"/>
        </w:tabs>
        <w:spacing w:line="249" w:lineRule="auto" w:before="117" w:after="0"/>
        <w:ind w:left="1074" w:right="1274" w:firstLine="340"/>
        <w:jc w:val="both"/>
        <w:rPr>
          <w:sz w:val="20"/>
        </w:rPr>
      </w:pPr>
      <w:r>
        <w:rPr>
          <w:sz w:val="20"/>
        </w:rPr>
        <w:t>El contratista está obligado a abonar a los subcontratistas o suministradores el precio pactado en los plazos y condiciones que se indican a</w:t>
      </w:r>
      <w:r>
        <w:rPr>
          <w:spacing w:val="-12"/>
          <w:sz w:val="20"/>
        </w:rPr>
        <w:t> </w:t>
      </w:r>
      <w:r>
        <w:rPr>
          <w:sz w:val="20"/>
        </w:rPr>
        <w:t>continuación.</w:t>
      </w:r>
    </w:p>
    <w:p>
      <w:pPr>
        <w:pStyle w:val="ListParagraph"/>
        <w:numPr>
          <w:ilvl w:val="0"/>
          <w:numId w:val="187"/>
        </w:numPr>
        <w:tabs>
          <w:tab w:pos="1686" w:val="left" w:leader="none"/>
        </w:tabs>
        <w:spacing w:line="249" w:lineRule="auto" w:before="2" w:after="0"/>
        <w:ind w:left="1074" w:right="1273" w:firstLine="340"/>
        <w:jc w:val="both"/>
        <w:rPr>
          <w:sz w:val="20"/>
        </w:rPr>
      </w:pPr>
      <w:r>
        <w:rPr>
          <w:sz w:val="20"/>
        </w:rPr>
        <w:t>Los plazos fijados no podrán ser más desfavorables que los previstos en la Ley 3/2004, de 29 de diciembre, por la que se establecen medidas de lucha contra la morosidad en las operaciones comerciales. En los contratos adjudicados por las entidades contratantes que sean poderes adjudicadores a que se refiere el artículo 5.2.b), los plazos se computarán desde la fecha en que tiene lugar la aceptación o verificación de los bienes o servicios por el contratista principal, siempre que el subcontratista o el suministrador hayan entregado la factura en los plazos legalmente establecidos. En tales casos, la aceptación deberá efectuarse en un plazo máximo de treinta días desde la entrega de los bienes o la</w:t>
      </w:r>
      <w:r>
        <w:rPr>
          <w:spacing w:val="-14"/>
          <w:sz w:val="20"/>
        </w:rPr>
        <w:t> </w:t>
      </w:r>
      <w:r>
        <w:rPr>
          <w:sz w:val="20"/>
        </w:rPr>
        <w:t>prestación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del servicio. Dentro del mismo plazo deberán formularse, en su caso, los motivos de disconformidad a la misma. En el caso de que no se realizase en dicho plazo, se entenderá que se han aceptado los bienes o verificado de conformidad la prestación de los servicios.</w:t>
      </w:r>
    </w:p>
    <w:p>
      <w:pPr>
        <w:pStyle w:val="ListParagraph"/>
        <w:numPr>
          <w:ilvl w:val="0"/>
          <w:numId w:val="187"/>
        </w:numPr>
        <w:tabs>
          <w:tab w:pos="1676" w:val="left" w:leader="none"/>
        </w:tabs>
        <w:spacing w:line="249" w:lineRule="auto" w:before="2" w:after="0"/>
        <w:ind w:left="1074" w:right="1273" w:firstLine="340"/>
        <w:jc w:val="both"/>
        <w:rPr>
          <w:sz w:val="20"/>
        </w:rPr>
      </w:pPr>
      <w:r>
        <w:rPr>
          <w:sz w:val="20"/>
        </w:rPr>
        <w:t>El contratista deberá abonar las facturas en el plazo fijado de conformidad con lo previsto en el apartado 2. En caso de demora en el pago, el subcontratista o el suministrador tendrá derecho al cobro de los intereses de demora y la indemnización por los costes de cobro en los términos previstos en la Ley 3/2004, de 29 de</w:t>
      </w:r>
      <w:r>
        <w:rPr>
          <w:spacing w:val="-18"/>
          <w:sz w:val="20"/>
        </w:rPr>
        <w:t> </w:t>
      </w:r>
      <w:r>
        <w:rPr>
          <w:sz w:val="20"/>
        </w:rPr>
        <w:t>diciembre.</w:t>
      </w:r>
    </w:p>
    <w:p>
      <w:pPr>
        <w:pStyle w:val="ListParagraph"/>
        <w:numPr>
          <w:ilvl w:val="0"/>
          <w:numId w:val="187"/>
        </w:numPr>
        <w:tabs>
          <w:tab w:pos="1638" w:val="left" w:leader="none"/>
        </w:tabs>
        <w:spacing w:line="249" w:lineRule="auto" w:before="3" w:after="0"/>
        <w:ind w:left="1074" w:right="1272" w:firstLine="340"/>
        <w:jc w:val="both"/>
        <w:rPr>
          <w:sz w:val="20"/>
        </w:rPr>
      </w:pPr>
      <w:r>
        <w:rPr>
          <w:sz w:val="20"/>
        </w:rPr>
        <w:t>Sin perjuicio de lo dispuesto en el artículo 69 bis del Reglamento del Impuesto sobre el Valor Añadido, aprobado por Real Decreto 1624/1992, de 29 de diciembre, sobre la remisión electrónica de los registros de facturación, los subcontratistas que se encuentren en los supuestos establecidos en el apartado 1 del artículo 4 de la Ley 25/2013, de 27 de diciembre, de impulso a la factura electrónica y creación del registro contable de facturas del sector público, deberán utilizar en su relación con el contratista principal la factura electrónica, cuando el importe de la misma supere los 5.000 euros, que deberán presentar al contratista principal a través del Registro a que se refiere el apartado 3 de la disposición adicional trigésima segunda de la Ley 9/2017, de 8 de noviembre, a partir de la fecha prevista en dicha</w:t>
      </w:r>
      <w:r>
        <w:rPr>
          <w:spacing w:val="-4"/>
          <w:sz w:val="20"/>
        </w:rPr>
        <w:t> </w:t>
      </w:r>
      <w:r>
        <w:rPr>
          <w:sz w:val="20"/>
        </w:rPr>
        <w:t>disposición.</w:t>
      </w:r>
    </w:p>
    <w:p>
      <w:pPr>
        <w:pStyle w:val="BodyText"/>
        <w:spacing w:line="249" w:lineRule="auto" w:before="9"/>
        <w:ind w:right="1274"/>
      </w:pPr>
      <w:r>
        <w:rPr/>
        <w:t>En supuestos distintos de los anteriores, será facultativo para los subcontratistas la utilización de la factura electrónica y su presentación en el Registro referido en el apartado 3.º de la disposición adicional trigésima segunda de la Ley 9/2017, de 8 de</w:t>
      </w:r>
      <w:r>
        <w:rPr>
          <w:spacing w:val="-36"/>
        </w:rPr>
        <w:t> </w:t>
      </w:r>
      <w:r>
        <w:rPr/>
        <w:t>noviembre.</w:t>
      </w:r>
    </w:p>
    <w:p>
      <w:pPr>
        <w:pStyle w:val="BodyText"/>
        <w:ind w:left="1414" w:firstLine="0"/>
      </w:pPr>
      <w:r>
        <w:rPr/>
        <w:t>La cuantía de 5.000 euros se podrá modificar mediante Orden del Ministro de Hacienda.</w:t>
      </w:r>
    </w:p>
    <w:p>
      <w:pPr>
        <w:pStyle w:val="ListParagraph"/>
        <w:numPr>
          <w:ilvl w:val="0"/>
          <w:numId w:val="187"/>
        </w:numPr>
        <w:tabs>
          <w:tab w:pos="1718" w:val="left" w:leader="none"/>
        </w:tabs>
        <w:spacing w:line="249" w:lineRule="auto" w:before="10" w:after="0"/>
        <w:ind w:left="1074" w:right="1272" w:firstLine="340"/>
        <w:jc w:val="both"/>
        <w:rPr>
          <w:sz w:val="20"/>
        </w:rPr>
      </w:pPr>
      <w:r>
        <w:rPr>
          <w:sz w:val="20"/>
        </w:rPr>
        <w:t>Los subcontratistas no podrán renunciar válidamente, antes o después de su adquisición, a los derechos que tengan reconocidos por este artículo, sin que sea de aplicación a este respecto el artículo 1.110 del Código</w:t>
      </w:r>
      <w:r>
        <w:rPr>
          <w:spacing w:val="-14"/>
          <w:sz w:val="20"/>
        </w:rPr>
        <w:t> </w:t>
      </w:r>
      <w:r>
        <w:rPr>
          <w:sz w:val="20"/>
        </w:rPr>
        <w:t>Civil.</w:t>
      </w:r>
    </w:p>
    <w:p>
      <w:pPr>
        <w:pStyle w:val="ListParagraph"/>
        <w:numPr>
          <w:ilvl w:val="0"/>
          <w:numId w:val="187"/>
        </w:numPr>
        <w:tabs>
          <w:tab w:pos="1663" w:val="left" w:leader="none"/>
        </w:tabs>
        <w:spacing w:line="249" w:lineRule="auto" w:before="2" w:after="0"/>
        <w:ind w:left="1074" w:right="1273" w:firstLine="340"/>
        <w:jc w:val="both"/>
        <w:rPr>
          <w:sz w:val="20"/>
        </w:rPr>
      </w:pPr>
      <w:r>
        <w:rPr>
          <w:sz w:val="20"/>
        </w:rPr>
        <w:t>Las entidades contratantes podrán comprobar el estricto cumplimiento de los pagos que los contratistas principales han de hacer a los subcontratistas o suministradores que participen en la ejecución del contrato. Con este fin los contratistas adjudicatarios remitirán al ente público contratante, cuando este lo solicite, la información y justificantes que se indican en el párrafo siguiente. Estas obligaciones, que en todo caso se incluirán en el anuncio que sirva como medio de convocatoria de la licitación y en los correspondientes pliegos o en los contratos, se considerarán condiciones especiales de ejecución, cuyo incumplimiento conllevará la imposición de penalidades en los términos indicados en el artículo 105.3, respondiendo de ellas la garantía que en su caso se hubiese</w:t>
      </w:r>
      <w:r>
        <w:rPr>
          <w:spacing w:val="-13"/>
          <w:sz w:val="20"/>
        </w:rPr>
        <w:t> </w:t>
      </w:r>
      <w:r>
        <w:rPr>
          <w:sz w:val="20"/>
        </w:rPr>
        <w:t>constituido.</w:t>
      </w:r>
    </w:p>
    <w:p>
      <w:pPr>
        <w:pStyle w:val="BodyText"/>
        <w:spacing w:line="249" w:lineRule="auto" w:before="8"/>
        <w:ind w:right="1275"/>
      </w:pPr>
      <w:r>
        <w:rPr/>
        <w:t>El requerimiento de información y justificantes a que se refiere el párrafo anterior podrá comprender:</w:t>
      </w:r>
    </w:p>
    <w:p>
      <w:pPr>
        <w:pStyle w:val="ListParagraph"/>
        <w:numPr>
          <w:ilvl w:val="0"/>
          <w:numId w:val="188"/>
        </w:numPr>
        <w:tabs>
          <w:tab w:pos="1666" w:val="left" w:leader="none"/>
        </w:tabs>
        <w:spacing w:line="249" w:lineRule="auto" w:before="122" w:after="0"/>
        <w:ind w:left="1074" w:right="1277" w:firstLine="340"/>
        <w:jc w:val="both"/>
        <w:rPr>
          <w:sz w:val="20"/>
        </w:rPr>
      </w:pPr>
      <w:r>
        <w:rPr>
          <w:sz w:val="20"/>
        </w:rPr>
        <w:t>Una relación detallada de aquellos subcontratistas que participen en la ejecución del contrato.</w:t>
      </w:r>
    </w:p>
    <w:p>
      <w:pPr>
        <w:pStyle w:val="ListParagraph"/>
        <w:numPr>
          <w:ilvl w:val="0"/>
          <w:numId w:val="188"/>
        </w:numPr>
        <w:tabs>
          <w:tab w:pos="1654" w:val="left" w:leader="none"/>
        </w:tabs>
        <w:spacing w:line="249" w:lineRule="auto" w:before="1" w:after="0"/>
        <w:ind w:left="1074" w:right="1273" w:firstLine="340"/>
        <w:jc w:val="both"/>
        <w:rPr>
          <w:sz w:val="20"/>
        </w:rPr>
      </w:pPr>
      <w:r>
        <w:rPr>
          <w:sz w:val="20"/>
        </w:rPr>
        <w:t>Las condiciones de subcontratación o suministro acordadas por el contratista principal con los subcontratistas o suministradores y que guarden una relación directa con el plazo de pago.</w:t>
      </w:r>
    </w:p>
    <w:p>
      <w:pPr>
        <w:pStyle w:val="ListParagraph"/>
        <w:numPr>
          <w:ilvl w:val="0"/>
          <w:numId w:val="188"/>
        </w:numPr>
        <w:tabs>
          <w:tab w:pos="1707" w:val="left" w:leader="none"/>
        </w:tabs>
        <w:spacing w:line="249" w:lineRule="auto" w:before="3" w:after="0"/>
        <w:ind w:left="1074" w:right="1273" w:firstLine="340"/>
        <w:jc w:val="both"/>
        <w:rPr>
          <w:sz w:val="20"/>
        </w:rPr>
      </w:pPr>
      <w:r>
        <w:rPr>
          <w:sz w:val="20"/>
        </w:rPr>
        <w:t>El justificante o justificantes de cumplimiento de los pagos a subcontratistas y suministradores, una vez terminada la prestación dentro de los plazos de pago legalmente establecidos en este artículo y en la Ley 3/2004, de 29 de diciembre, por la que se establecen medidas de lucha contra la morosidad en las operaciones comerciales, en lo que le resulte de</w:t>
      </w:r>
      <w:r>
        <w:rPr>
          <w:spacing w:val="-3"/>
          <w:sz w:val="20"/>
        </w:rPr>
        <w:t> </w:t>
      </w:r>
      <w:r>
        <w:rPr>
          <w:sz w:val="20"/>
        </w:rPr>
        <w:t>aplicación.</w:t>
      </w:r>
    </w:p>
    <w:p>
      <w:pPr>
        <w:pStyle w:val="ListParagraph"/>
        <w:numPr>
          <w:ilvl w:val="0"/>
          <w:numId w:val="187"/>
        </w:numPr>
        <w:tabs>
          <w:tab w:pos="1753" w:val="left" w:leader="none"/>
        </w:tabs>
        <w:spacing w:line="249" w:lineRule="auto" w:before="124" w:after="0"/>
        <w:ind w:left="1074" w:right="1272" w:firstLine="340"/>
        <w:jc w:val="both"/>
        <w:rPr>
          <w:sz w:val="20"/>
        </w:rPr>
      </w:pPr>
      <w:r>
        <w:rPr>
          <w:sz w:val="20"/>
        </w:rPr>
        <w:t>Las actuaciones de comprobación y de imposición de penalidades por el incumplimiento previstas en el apartado 6, serán obligatorias para las entidades contratantes pertenecientes al Sector Público, en los contratos de obras y en los contratos de servicios cuyo valor estimado supere los 5 millones de euros y en los que el importe de la subcontratación sea igual o superior al 30 % del precio del contrato, en relación a los pagos a subcontratistas que hayan asumido contractualmente con el contratista principal el compromiso de realizar determinadas partes o unidades de</w:t>
      </w:r>
      <w:r>
        <w:rPr>
          <w:spacing w:val="-11"/>
          <w:sz w:val="20"/>
        </w:rPr>
        <w:t> </w:t>
      </w:r>
      <w:r>
        <w:rPr>
          <w:sz w:val="20"/>
        </w:rPr>
        <w:t>obra.</w:t>
      </w:r>
    </w:p>
    <w:p>
      <w:pPr>
        <w:pStyle w:val="BodyText"/>
        <w:spacing w:line="249" w:lineRule="auto" w:before="5"/>
        <w:ind w:right="1272"/>
      </w:pPr>
      <w:r>
        <w:rPr/>
        <w:t>Mediante Orden del Ministro de Hacienda, a propuesta de la Oficina Independiente de Regulación y Supervisión de la Contratación a que se refiere el artículo 126.3, previo informe de la Comisión Delegada del Gobierno para Asuntos Económicos, podrá ampliarse el ámbito de los contratos en los que estas actuaciones de comprobación e imposición de penalidades previstas en el apartado 6 sean obligatorias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8"/>
        <w:ind w:left="0" w:firstLine="0"/>
        <w:jc w:val="left"/>
        <w:rPr>
          <w:sz w:val="22"/>
        </w:rPr>
      </w:pPr>
    </w:p>
    <w:p>
      <w:pPr>
        <w:pStyle w:val="BodyText"/>
        <w:spacing w:before="94"/>
        <w:ind w:left="2929" w:right="3127" w:firstLine="0"/>
        <w:jc w:val="center"/>
      </w:pPr>
      <w:bookmarkStart w:name="CAPÍTULO II. De la modificación de los c" w:id="174"/>
      <w:bookmarkEnd w:id="174"/>
      <w:r>
        <w:rPr/>
      </w:r>
      <w:bookmarkStart w:name="_bookmark32" w:id="175"/>
      <w:bookmarkEnd w:id="175"/>
      <w:r>
        <w:rPr/>
      </w:r>
      <w:r>
        <w:rPr/>
        <w:t>CAPÍTULO II</w:t>
      </w:r>
    </w:p>
    <w:p>
      <w:pPr>
        <w:pStyle w:val="Heading1"/>
        <w:spacing w:before="124"/>
        <w:ind w:left="2929"/>
      </w:pPr>
      <w:r>
        <w:rPr/>
        <w:t>De la modificación de los contratos</w:t>
      </w:r>
    </w:p>
    <w:p>
      <w:pPr>
        <w:pStyle w:val="BodyText"/>
        <w:spacing w:before="6"/>
        <w:ind w:left="0" w:firstLine="0"/>
        <w:jc w:val="left"/>
        <w:rPr>
          <w:b/>
        </w:rPr>
      </w:pPr>
    </w:p>
    <w:p>
      <w:pPr>
        <w:spacing w:before="0"/>
        <w:ind w:left="1074" w:right="0" w:firstLine="0"/>
        <w:jc w:val="both"/>
        <w:rPr>
          <w:i/>
          <w:sz w:val="20"/>
        </w:rPr>
      </w:pPr>
      <w:bookmarkStart w:name="Artículo 109. Supuestos de modificación." w:id="176"/>
      <w:bookmarkEnd w:id="176"/>
      <w:r>
        <w:rPr/>
      </w:r>
      <w:r>
        <w:rPr>
          <w:b/>
          <w:sz w:val="20"/>
        </w:rPr>
        <w:t>Artículo 109. </w:t>
      </w:r>
      <w:r>
        <w:rPr>
          <w:i/>
          <w:sz w:val="20"/>
        </w:rPr>
        <w:t>Supuestos de modificación.</w:t>
      </w:r>
    </w:p>
    <w:p>
      <w:pPr>
        <w:pStyle w:val="ListParagraph"/>
        <w:numPr>
          <w:ilvl w:val="0"/>
          <w:numId w:val="189"/>
        </w:numPr>
        <w:tabs>
          <w:tab w:pos="1694" w:val="left" w:leader="none"/>
        </w:tabs>
        <w:spacing w:line="249" w:lineRule="auto" w:before="118" w:after="0"/>
        <w:ind w:left="1074" w:right="1273" w:firstLine="340"/>
        <w:jc w:val="both"/>
        <w:rPr>
          <w:sz w:val="20"/>
        </w:rPr>
      </w:pPr>
      <w:r>
        <w:rPr>
          <w:sz w:val="20"/>
        </w:rPr>
        <w:t>Los contratos celebrados por las entidades contratantes solo podrán modificarse durante su vigencia cuando se dé alguno de los siguientes</w:t>
      </w:r>
      <w:r>
        <w:rPr>
          <w:spacing w:val="-9"/>
          <w:sz w:val="20"/>
        </w:rPr>
        <w:t> </w:t>
      </w:r>
      <w:r>
        <w:rPr>
          <w:sz w:val="20"/>
        </w:rPr>
        <w:t>supuestos:</w:t>
      </w:r>
    </w:p>
    <w:p>
      <w:pPr>
        <w:pStyle w:val="ListParagraph"/>
        <w:numPr>
          <w:ilvl w:val="0"/>
          <w:numId w:val="190"/>
        </w:numPr>
        <w:tabs>
          <w:tab w:pos="1715" w:val="left" w:leader="none"/>
        </w:tabs>
        <w:spacing w:line="249" w:lineRule="auto" w:before="122" w:after="0"/>
        <w:ind w:left="1074" w:right="1274" w:firstLine="340"/>
        <w:jc w:val="both"/>
        <w:rPr>
          <w:sz w:val="20"/>
        </w:rPr>
      </w:pPr>
      <w:r>
        <w:rPr>
          <w:sz w:val="20"/>
        </w:rPr>
        <w:t>Cuando así se haya previsto en los pliegos de condiciones en los términos y condiciones establecidos en el artículo</w:t>
      </w:r>
      <w:r>
        <w:rPr>
          <w:spacing w:val="-6"/>
          <w:sz w:val="20"/>
        </w:rPr>
        <w:t> </w:t>
      </w:r>
      <w:r>
        <w:rPr>
          <w:sz w:val="20"/>
        </w:rPr>
        <w:t>110.</w:t>
      </w:r>
    </w:p>
    <w:p>
      <w:pPr>
        <w:pStyle w:val="ListParagraph"/>
        <w:numPr>
          <w:ilvl w:val="0"/>
          <w:numId w:val="190"/>
        </w:numPr>
        <w:tabs>
          <w:tab w:pos="1711" w:val="left" w:leader="none"/>
        </w:tabs>
        <w:spacing w:line="249" w:lineRule="auto" w:before="1" w:after="0"/>
        <w:ind w:left="1074" w:right="1273" w:firstLine="340"/>
        <w:jc w:val="both"/>
        <w:rPr>
          <w:sz w:val="20"/>
        </w:rPr>
      </w:pPr>
      <w:r>
        <w:rPr>
          <w:sz w:val="20"/>
        </w:rPr>
        <w:t>Excepcionalmente, cuando sea necesario realizar una modificación que no esté prevista en el pliego de condiciones, siempre y cuando se cumplan las condiciones que establece el artículo</w:t>
      </w:r>
      <w:r>
        <w:rPr>
          <w:spacing w:val="-4"/>
          <w:sz w:val="20"/>
        </w:rPr>
        <w:t> </w:t>
      </w:r>
      <w:r>
        <w:rPr>
          <w:sz w:val="20"/>
        </w:rPr>
        <w:t>111.</w:t>
      </w:r>
    </w:p>
    <w:p>
      <w:pPr>
        <w:pStyle w:val="BodyText"/>
        <w:spacing w:line="249" w:lineRule="auto" w:before="123"/>
        <w:ind w:right="1272"/>
      </w:pPr>
      <w:r>
        <w:rPr/>
        <w:t>En cualesquiera otros supuestos, si fuese necesario que un contrato en vigor se ejecutase en forma distinta a la pactada, deberá procederse a su resolución y a la celebración de otro bajo las condiciones pertinentes, en su caso previa convocatoria y sustanciación de una nueva licitación pública de conformidad con lo establecido en este real decreto-ley.</w:t>
      </w:r>
    </w:p>
    <w:p>
      <w:pPr>
        <w:pStyle w:val="ListParagraph"/>
        <w:numPr>
          <w:ilvl w:val="0"/>
          <w:numId w:val="189"/>
        </w:numPr>
        <w:tabs>
          <w:tab w:pos="1687" w:val="left" w:leader="none"/>
        </w:tabs>
        <w:spacing w:line="249" w:lineRule="auto" w:before="4" w:after="0"/>
        <w:ind w:left="1074" w:right="1272" w:firstLine="340"/>
        <w:jc w:val="both"/>
        <w:rPr>
          <w:sz w:val="20"/>
        </w:rPr>
      </w:pPr>
      <w:r>
        <w:rPr>
          <w:sz w:val="20"/>
        </w:rPr>
        <w:t>Todas las menciones a los contratos contenidos en este Capítulo se entenderán también hechas a los acuerdos</w:t>
      </w:r>
      <w:r>
        <w:rPr>
          <w:spacing w:val="-5"/>
          <w:sz w:val="20"/>
        </w:rPr>
        <w:t> </w:t>
      </w:r>
      <w:r>
        <w:rPr>
          <w:sz w:val="20"/>
        </w:rPr>
        <w:t>marco.</w:t>
      </w:r>
    </w:p>
    <w:p>
      <w:pPr>
        <w:pStyle w:val="BodyText"/>
        <w:spacing w:before="4"/>
        <w:ind w:left="0" w:firstLine="0"/>
        <w:jc w:val="left"/>
      </w:pPr>
    </w:p>
    <w:p>
      <w:pPr>
        <w:spacing w:before="0"/>
        <w:ind w:left="1074" w:right="0" w:firstLine="0"/>
        <w:jc w:val="both"/>
        <w:rPr>
          <w:i/>
          <w:sz w:val="20"/>
        </w:rPr>
      </w:pPr>
      <w:bookmarkStart w:name="Artículo 110. Modificaciones previstas e" w:id="177"/>
      <w:bookmarkEnd w:id="177"/>
      <w:r>
        <w:rPr/>
      </w:r>
      <w:r>
        <w:rPr>
          <w:b/>
          <w:sz w:val="20"/>
        </w:rPr>
        <w:t>Artículo 110. </w:t>
      </w:r>
      <w:r>
        <w:rPr>
          <w:i/>
          <w:sz w:val="20"/>
        </w:rPr>
        <w:t>Modificaciones previstas en el pliego de condiciones.</w:t>
      </w:r>
    </w:p>
    <w:p>
      <w:pPr>
        <w:pStyle w:val="ListParagraph"/>
        <w:numPr>
          <w:ilvl w:val="0"/>
          <w:numId w:val="191"/>
        </w:numPr>
        <w:tabs>
          <w:tab w:pos="1664" w:val="left" w:leader="none"/>
        </w:tabs>
        <w:spacing w:line="249" w:lineRule="auto" w:before="118" w:after="0"/>
        <w:ind w:left="1074" w:right="1273" w:firstLine="340"/>
        <w:jc w:val="both"/>
        <w:rPr>
          <w:sz w:val="20"/>
        </w:rPr>
      </w:pPr>
      <w:r>
        <w:rPr>
          <w:sz w:val="20"/>
        </w:rPr>
        <w:t>Los contratos de las entidades contratantes podrán modificarse durante su vigencia hasta un máximo del veinte por ciento del precio inicial cuando, en los pliegos de  condiciones se hubiere advertido expresamente de esta posibilidad, en la forma y con el contenido siguiente:</w:t>
      </w:r>
    </w:p>
    <w:p>
      <w:pPr>
        <w:pStyle w:val="ListParagraph"/>
        <w:numPr>
          <w:ilvl w:val="0"/>
          <w:numId w:val="192"/>
        </w:numPr>
        <w:tabs>
          <w:tab w:pos="1720" w:val="left" w:leader="none"/>
        </w:tabs>
        <w:spacing w:line="249" w:lineRule="auto" w:before="123" w:after="0"/>
        <w:ind w:left="1074" w:right="1272" w:firstLine="340"/>
        <w:jc w:val="both"/>
        <w:rPr>
          <w:sz w:val="20"/>
        </w:rPr>
      </w:pPr>
      <w:r>
        <w:rPr>
          <w:sz w:val="20"/>
        </w:rPr>
        <w:t>La cláusula de modificación deberá estar formulada de forma clara, precisa e inequívoca.</w:t>
      </w:r>
    </w:p>
    <w:p>
      <w:pPr>
        <w:pStyle w:val="ListParagraph"/>
        <w:numPr>
          <w:ilvl w:val="0"/>
          <w:numId w:val="192"/>
        </w:numPr>
        <w:tabs>
          <w:tab w:pos="1690" w:val="left" w:leader="none"/>
        </w:tabs>
        <w:spacing w:line="249" w:lineRule="auto" w:before="2" w:after="0"/>
        <w:ind w:left="1074" w:right="1273" w:firstLine="340"/>
        <w:jc w:val="both"/>
        <w:rPr>
          <w:sz w:val="20"/>
        </w:rPr>
      </w:pPr>
      <w:r>
        <w:rPr>
          <w:sz w:val="20"/>
        </w:rPr>
        <w:t>Asimismo, en lo que respecta a su contenido, la cláusula de modificación deberá precisar con el detalle suficiente: su alcance, límites y naturaleza; las condiciones en que podrá hacerse uso de la misma por referencia a circunstancias cuya concurrencia pueda verificarse de forma objetiva; y el procedimiento que haya de seguirse para realizar la modificación. La cláusula de modificación establecerá, asimismo, que la modificación no podrá</w:t>
      </w:r>
      <w:r>
        <w:rPr>
          <w:spacing w:val="-4"/>
          <w:sz w:val="20"/>
        </w:rPr>
        <w:t> </w:t>
      </w:r>
      <w:r>
        <w:rPr>
          <w:sz w:val="20"/>
        </w:rPr>
        <w:t>suponer</w:t>
      </w:r>
      <w:r>
        <w:rPr>
          <w:spacing w:val="-2"/>
          <w:sz w:val="20"/>
        </w:rPr>
        <w:t> </w:t>
      </w:r>
      <w:r>
        <w:rPr>
          <w:sz w:val="20"/>
        </w:rPr>
        <w:t>el</w:t>
      </w:r>
      <w:r>
        <w:rPr>
          <w:spacing w:val="-4"/>
          <w:sz w:val="20"/>
        </w:rPr>
        <w:t> </w:t>
      </w:r>
      <w:r>
        <w:rPr>
          <w:sz w:val="20"/>
        </w:rPr>
        <w:t>establecimiento</w:t>
      </w:r>
      <w:r>
        <w:rPr>
          <w:spacing w:val="-3"/>
          <w:sz w:val="20"/>
        </w:rPr>
        <w:t> </w:t>
      </w:r>
      <w:r>
        <w:rPr>
          <w:sz w:val="20"/>
        </w:rPr>
        <w:t>de</w:t>
      </w:r>
      <w:r>
        <w:rPr>
          <w:spacing w:val="-4"/>
          <w:sz w:val="20"/>
        </w:rPr>
        <w:t> </w:t>
      </w:r>
      <w:r>
        <w:rPr>
          <w:sz w:val="20"/>
        </w:rPr>
        <w:t>nuevos</w:t>
      </w:r>
      <w:r>
        <w:rPr>
          <w:spacing w:val="-3"/>
          <w:sz w:val="20"/>
        </w:rPr>
        <w:t> </w:t>
      </w:r>
      <w:r>
        <w:rPr>
          <w:sz w:val="20"/>
        </w:rPr>
        <w:t>precios</w:t>
      </w:r>
      <w:r>
        <w:rPr>
          <w:spacing w:val="-4"/>
          <w:sz w:val="20"/>
        </w:rPr>
        <w:t> </w:t>
      </w:r>
      <w:r>
        <w:rPr>
          <w:sz w:val="20"/>
        </w:rPr>
        <w:t>unitarios</w:t>
      </w:r>
      <w:r>
        <w:rPr>
          <w:spacing w:val="-3"/>
          <w:sz w:val="20"/>
        </w:rPr>
        <w:t> </w:t>
      </w:r>
      <w:r>
        <w:rPr>
          <w:sz w:val="20"/>
        </w:rPr>
        <w:t>no</w:t>
      </w:r>
      <w:r>
        <w:rPr>
          <w:spacing w:val="-4"/>
          <w:sz w:val="20"/>
        </w:rPr>
        <w:t> </w:t>
      </w:r>
      <w:r>
        <w:rPr>
          <w:sz w:val="20"/>
        </w:rPr>
        <w:t>previstos</w:t>
      </w:r>
      <w:r>
        <w:rPr>
          <w:spacing w:val="-3"/>
          <w:sz w:val="20"/>
        </w:rPr>
        <w:t> </w:t>
      </w:r>
      <w:r>
        <w:rPr>
          <w:sz w:val="20"/>
        </w:rPr>
        <w:t>en</w:t>
      </w:r>
      <w:r>
        <w:rPr>
          <w:spacing w:val="-4"/>
          <w:sz w:val="20"/>
        </w:rPr>
        <w:t> </w:t>
      </w:r>
      <w:r>
        <w:rPr>
          <w:sz w:val="20"/>
        </w:rPr>
        <w:t>el</w:t>
      </w:r>
      <w:r>
        <w:rPr>
          <w:spacing w:val="-3"/>
          <w:sz w:val="20"/>
        </w:rPr>
        <w:t> </w:t>
      </w:r>
      <w:r>
        <w:rPr>
          <w:sz w:val="20"/>
        </w:rPr>
        <w:t>contrato.</w:t>
      </w:r>
    </w:p>
    <w:p>
      <w:pPr>
        <w:pStyle w:val="BodyText"/>
        <w:spacing w:line="249" w:lineRule="auto" w:before="124"/>
        <w:ind w:right="1272"/>
      </w:pPr>
      <w:r>
        <w:rPr/>
        <w:t>La formulación y contenido de la cláusula de modificación deberá ser tal que en todo caso permita a los candidatos y licitadores comprender su alcance exacto e interpretarla de la misma forma y que, por otra parte, permita a la entidad contratante comprobar efectivamente el cumplimiento por parte de los primeros de las condiciones de aptitud exigidas y valorar correctamente las ofertas presentadas por</w:t>
      </w:r>
      <w:r>
        <w:rPr>
          <w:spacing w:val="-11"/>
        </w:rPr>
        <w:t> </w:t>
      </w:r>
      <w:r>
        <w:rPr/>
        <w:t>estos.</w:t>
      </w:r>
    </w:p>
    <w:p>
      <w:pPr>
        <w:pStyle w:val="ListParagraph"/>
        <w:numPr>
          <w:ilvl w:val="0"/>
          <w:numId w:val="191"/>
        </w:numPr>
        <w:tabs>
          <w:tab w:pos="1651" w:val="left" w:leader="none"/>
        </w:tabs>
        <w:spacing w:line="249" w:lineRule="auto" w:before="5" w:after="0"/>
        <w:ind w:left="1074" w:right="1273" w:firstLine="340"/>
        <w:jc w:val="both"/>
        <w:rPr>
          <w:sz w:val="20"/>
        </w:rPr>
      </w:pPr>
      <w:r>
        <w:rPr>
          <w:sz w:val="20"/>
        </w:rPr>
        <w:t>En ningún caso las entidades contratantes podrán prever en el pliego de condiciones modificaciones que puedan alterar la naturaleza global del contrato inicial. En todo caso se entenderá que se altera esta si se sustituyen las obras, los suministros o los servicios que se van a adquirir por otros diferentes o se modifica de manera fundamental el tipo de contrato. No se entenderá que se altera la naturaleza global del contrato cuando se sustituya alguna unidad de obra, suministro o servicio</w:t>
      </w:r>
      <w:r>
        <w:rPr>
          <w:spacing w:val="-6"/>
          <w:sz w:val="20"/>
        </w:rPr>
        <w:t> </w:t>
      </w:r>
      <w:r>
        <w:rPr>
          <w:sz w:val="20"/>
        </w:rPr>
        <w:t>puntual.</w:t>
      </w:r>
    </w:p>
    <w:p>
      <w:pPr>
        <w:pStyle w:val="BodyText"/>
        <w:spacing w:before="7"/>
        <w:ind w:left="0" w:firstLine="0"/>
        <w:jc w:val="left"/>
      </w:pPr>
    </w:p>
    <w:p>
      <w:pPr>
        <w:spacing w:before="0"/>
        <w:ind w:left="1074" w:right="0" w:firstLine="0"/>
        <w:jc w:val="both"/>
        <w:rPr>
          <w:i/>
          <w:sz w:val="20"/>
        </w:rPr>
      </w:pPr>
      <w:bookmarkStart w:name="Artículo 111. Modificaciones no prevista" w:id="178"/>
      <w:bookmarkEnd w:id="178"/>
      <w:r>
        <w:rPr/>
      </w:r>
      <w:r>
        <w:rPr>
          <w:b/>
          <w:sz w:val="20"/>
        </w:rPr>
        <w:t>Artículo 111. </w:t>
      </w:r>
      <w:r>
        <w:rPr>
          <w:i/>
          <w:sz w:val="20"/>
        </w:rPr>
        <w:t>Modificaciones no previstas en el pliego de condiciones.</w:t>
      </w:r>
    </w:p>
    <w:p>
      <w:pPr>
        <w:pStyle w:val="ListParagraph"/>
        <w:numPr>
          <w:ilvl w:val="0"/>
          <w:numId w:val="193"/>
        </w:numPr>
        <w:tabs>
          <w:tab w:pos="1675" w:val="left" w:leader="none"/>
        </w:tabs>
        <w:spacing w:line="249" w:lineRule="auto" w:before="118" w:after="0"/>
        <w:ind w:left="1074" w:right="1273" w:firstLine="340"/>
        <w:jc w:val="both"/>
        <w:rPr>
          <w:sz w:val="20"/>
        </w:rPr>
      </w:pPr>
      <w:r>
        <w:rPr>
          <w:sz w:val="20"/>
        </w:rPr>
        <w:t>Las modificaciones no previstas en el pliego de condiciones o que, habiendo sido previstas, no se ajusten a lo establecido en el artículo anterior, solo podrán realizarse cuando la modificación en cuestión cumpla los siguientes</w:t>
      </w:r>
      <w:r>
        <w:rPr>
          <w:spacing w:val="-4"/>
          <w:sz w:val="20"/>
        </w:rPr>
        <w:t> </w:t>
      </w:r>
      <w:r>
        <w:rPr>
          <w:sz w:val="20"/>
        </w:rPr>
        <w:t>requisitos:</w:t>
      </w:r>
    </w:p>
    <w:p>
      <w:pPr>
        <w:pStyle w:val="ListParagraph"/>
        <w:numPr>
          <w:ilvl w:val="0"/>
          <w:numId w:val="194"/>
        </w:numPr>
        <w:tabs>
          <w:tab w:pos="1677" w:val="left" w:leader="none"/>
        </w:tabs>
        <w:spacing w:line="249" w:lineRule="auto" w:before="122" w:after="0"/>
        <w:ind w:left="1074" w:right="1275" w:firstLine="340"/>
        <w:jc w:val="both"/>
        <w:rPr>
          <w:sz w:val="20"/>
        </w:rPr>
      </w:pPr>
      <w:r>
        <w:rPr>
          <w:sz w:val="20"/>
        </w:rPr>
        <w:t>Que encuentre su justificación en alguno de los supuestos que se relacionan en el apartado 2 de este</w:t>
      </w:r>
      <w:r>
        <w:rPr>
          <w:spacing w:val="-5"/>
          <w:sz w:val="20"/>
        </w:rPr>
        <w:t> </w:t>
      </w:r>
      <w:r>
        <w:rPr>
          <w:sz w:val="20"/>
        </w:rPr>
        <w:t>artículo.</w:t>
      </w:r>
    </w:p>
    <w:p>
      <w:pPr>
        <w:pStyle w:val="ListParagraph"/>
        <w:numPr>
          <w:ilvl w:val="0"/>
          <w:numId w:val="194"/>
        </w:numPr>
        <w:tabs>
          <w:tab w:pos="1654" w:val="left" w:leader="none"/>
        </w:tabs>
        <w:spacing w:line="249" w:lineRule="auto" w:before="2" w:after="0"/>
        <w:ind w:left="1074" w:right="1275" w:firstLine="340"/>
        <w:jc w:val="both"/>
        <w:rPr>
          <w:sz w:val="20"/>
        </w:rPr>
      </w:pPr>
      <w:r>
        <w:rPr>
          <w:sz w:val="20"/>
        </w:rPr>
        <w:t>Que se limite a introducir las variaciones estrictamente indispensables para responder a la causa objetiva que la haga</w:t>
      </w:r>
      <w:r>
        <w:rPr>
          <w:spacing w:val="-8"/>
          <w:sz w:val="20"/>
        </w:rPr>
        <w:t> </w:t>
      </w:r>
      <w:r>
        <w:rPr>
          <w:sz w:val="20"/>
        </w:rPr>
        <w:t>necesaria.</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193"/>
        </w:numPr>
        <w:tabs>
          <w:tab w:pos="1687" w:val="left" w:leader="none"/>
        </w:tabs>
        <w:spacing w:line="249" w:lineRule="auto" w:before="126" w:after="0"/>
        <w:ind w:left="1074" w:right="1273" w:firstLine="340"/>
        <w:jc w:val="both"/>
        <w:rPr>
          <w:sz w:val="20"/>
        </w:rPr>
      </w:pPr>
      <w:r>
        <w:rPr>
          <w:sz w:val="20"/>
        </w:rPr>
        <w:t>Los supuestos que eventualmente podrían justificar una modificación no prevista, siempre y cuando esta cumpla todos los requisitos recogidos en el apartado 1 de este artículo, son los</w:t>
      </w:r>
      <w:r>
        <w:rPr>
          <w:spacing w:val="-3"/>
          <w:sz w:val="20"/>
        </w:rPr>
        <w:t> </w:t>
      </w:r>
      <w:r>
        <w:rPr>
          <w:sz w:val="20"/>
        </w:rPr>
        <w:t>siguientes:</w:t>
      </w:r>
    </w:p>
    <w:p>
      <w:pPr>
        <w:pStyle w:val="ListParagraph"/>
        <w:numPr>
          <w:ilvl w:val="0"/>
          <w:numId w:val="195"/>
        </w:numPr>
        <w:tabs>
          <w:tab w:pos="1683" w:val="left" w:leader="none"/>
        </w:tabs>
        <w:spacing w:line="249" w:lineRule="auto" w:before="123" w:after="0"/>
        <w:ind w:left="1074" w:right="1274" w:firstLine="340"/>
        <w:jc w:val="both"/>
        <w:rPr>
          <w:sz w:val="20"/>
        </w:rPr>
      </w:pPr>
      <w:r>
        <w:rPr>
          <w:sz w:val="20"/>
        </w:rPr>
        <w:t>Cuando deviniera necesario añadir obras, suministros o servicios adicionales a los inicialmente contratados, siempre y cuando se den los dos requisitos</w:t>
      </w:r>
      <w:r>
        <w:rPr>
          <w:spacing w:val="-10"/>
          <w:sz w:val="20"/>
        </w:rPr>
        <w:t> </w:t>
      </w:r>
      <w:r>
        <w:rPr>
          <w:sz w:val="20"/>
        </w:rPr>
        <w:t>siguientes:</w:t>
      </w:r>
    </w:p>
    <w:p>
      <w:pPr>
        <w:pStyle w:val="ListParagraph"/>
        <w:numPr>
          <w:ilvl w:val="0"/>
          <w:numId w:val="196"/>
        </w:numPr>
        <w:tabs>
          <w:tab w:pos="1582" w:val="left" w:leader="none"/>
        </w:tabs>
        <w:spacing w:line="249" w:lineRule="auto" w:before="121" w:after="0"/>
        <w:ind w:left="1074" w:right="1271" w:firstLine="340"/>
        <w:jc w:val="both"/>
        <w:rPr>
          <w:sz w:val="20"/>
        </w:rPr>
      </w:pPr>
      <w:r>
        <w:rPr>
          <w:sz w:val="20"/>
        </w:rPr>
        <w:t>º Que el cambio de contratista no fuera posible por razones de tipo económico o técnico, por ejemplo que obligara a la entidad contratante a adquirir obras, servicios o suministros con características técnicas diferentes a los inicialmente contratados, cuando estas diferencias den lugar a incompatibilidades o a dificultades técnicas de uso o de mantenimiento que resulten desproporcionadas; y, asimismo, que el cambio de contratista generara inconvenientes significativos o un aumento sustancial de costes para la entidad contratante.</w:t>
      </w:r>
    </w:p>
    <w:p>
      <w:pPr>
        <w:pStyle w:val="BodyText"/>
        <w:spacing w:line="249" w:lineRule="auto" w:before="6"/>
        <w:ind w:right="1273"/>
      </w:pPr>
      <w:r>
        <w:rPr/>
        <w:t>En ningún caso se considerará un inconveniente significativo la necesidad de celebrar una nueva licitación para permitir el cambio de contratista.</w:t>
      </w:r>
    </w:p>
    <w:p>
      <w:pPr>
        <w:pStyle w:val="ListParagraph"/>
        <w:numPr>
          <w:ilvl w:val="0"/>
          <w:numId w:val="196"/>
        </w:numPr>
        <w:tabs>
          <w:tab w:pos="1583" w:val="left" w:leader="none"/>
        </w:tabs>
        <w:spacing w:line="249" w:lineRule="auto" w:before="2" w:after="0"/>
        <w:ind w:left="1074" w:right="1273" w:firstLine="340"/>
        <w:jc w:val="both"/>
        <w:rPr>
          <w:sz w:val="20"/>
        </w:rPr>
      </w:pPr>
      <w:r>
        <w:rPr>
          <w:sz w:val="20"/>
        </w:rPr>
        <w:t>º Que la modificación del contrato implique una alteración en su cuantía que no exceda, aislada o conjuntamente con otras modificaciones acordadas conforme a este artículo, del 50 por ciento de su precio inicial, IVA</w:t>
      </w:r>
      <w:r>
        <w:rPr>
          <w:spacing w:val="-13"/>
          <w:sz w:val="20"/>
        </w:rPr>
        <w:t> </w:t>
      </w:r>
      <w:r>
        <w:rPr>
          <w:sz w:val="20"/>
        </w:rPr>
        <w:t>excluido.</w:t>
      </w:r>
    </w:p>
    <w:p>
      <w:pPr>
        <w:pStyle w:val="ListParagraph"/>
        <w:numPr>
          <w:ilvl w:val="0"/>
          <w:numId w:val="195"/>
        </w:numPr>
        <w:tabs>
          <w:tab w:pos="1686" w:val="left" w:leader="none"/>
        </w:tabs>
        <w:spacing w:line="249" w:lineRule="auto" w:before="122" w:after="0"/>
        <w:ind w:left="1074" w:right="1272" w:firstLine="340"/>
        <w:jc w:val="both"/>
        <w:rPr>
          <w:sz w:val="20"/>
        </w:rPr>
      </w:pPr>
      <w:r>
        <w:rPr>
          <w:sz w:val="20"/>
        </w:rPr>
        <w:t>Cuando la necesidad de modificar un contrato vigente se derive de circunstancias sobrevenidas y que fueran imprevisibles en el momento en que tuvo lugar la licitación del contrato, siempre y cuando se cumplan las tres condiciones</w:t>
      </w:r>
      <w:r>
        <w:rPr>
          <w:spacing w:val="-2"/>
          <w:sz w:val="20"/>
        </w:rPr>
        <w:t> </w:t>
      </w:r>
      <w:r>
        <w:rPr>
          <w:sz w:val="20"/>
        </w:rPr>
        <w:t>siguientes:</w:t>
      </w:r>
    </w:p>
    <w:p>
      <w:pPr>
        <w:pStyle w:val="ListParagraph"/>
        <w:numPr>
          <w:ilvl w:val="0"/>
          <w:numId w:val="197"/>
        </w:numPr>
        <w:tabs>
          <w:tab w:pos="1583" w:val="left" w:leader="none"/>
        </w:tabs>
        <w:spacing w:line="249" w:lineRule="auto" w:before="123" w:after="0"/>
        <w:ind w:left="1074" w:right="1274" w:firstLine="340"/>
        <w:jc w:val="both"/>
        <w:rPr>
          <w:sz w:val="20"/>
        </w:rPr>
      </w:pPr>
      <w:r>
        <w:rPr>
          <w:sz w:val="20"/>
        </w:rPr>
        <w:t>º Que la necesidad de la modificación se derive de circunstancias que un gestor diligente no hubiera podido</w:t>
      </w:r>
      <w:r>
        <w:rPr>
          <w:spacing w:val="-6"/>
          <w:sz w:val="20"/>
        </w:rPr>
        <w:t> </w:t>
      </w:r>
      <w:r>
        <w:rPr>
          <w:sz w:val="20"/>
        </w:rPr>
        <w:t>prever.</w:t>
      </w:r>
    </w:p>
    <w:p>
      <w:pPr>
        <w:pStyle w:val="ListParagraph"/>
        <w:numPr>
          <w:ilvl w:val="0"/>
          <w:numId w:val="197"/>
        </w:numPr>
        <w:tabs>
          <w:tab w:pos="1582" w:val="left" w:leader="none"/>
        </w:tabs>
        <w:spacing w:line="240" w:lineRule="auto" w:before="1" w:after="0"/>
        <w:ind w:left="1582" w:right="0" w:hanging="168"/>
        <w:jc w:val="both"/>
        <w:rPr>
          <w:sz w:val="20"/>
        </w:rPr>
      </w:pPr>
      <w:r>
        <w:rPr>
          <w:sz w:val="20"/>
        </w:rPr>
        <w:t>º Que la modificación no altere la naturaleza global del</w:t>
      </w:r>
      <w:r>
        <w:rPr>
          <w:spacing w:val="-12"/>
          <w:sz w:val="20"/>
        </w:rPr>
        <w:t> </w:t>
      </w:r>
      <w:r>
        <w:rPr>
          <w:sz w:val="20"/>
        </w:rPr>
        <w:t>contrato.</w:t>
      </w:r>
    </w:p>
    <w:p>
      <w:pPr>
        <w:pStyle w:val="ListParagraph"/>
        <w:numPr>
          <w:ilvl w:val="0"/>
          <w:numId w:val="197"/>
        </w:numPr>
        <w:tabs>
          <w:tab w:pos="1582" w:val="left" w:leader="none"/>
        </w:tabs>
        <w:spacing w:line="249" w:lineRule="auto" w:before="10" w:after="0"/>
        <w:ind w:left="1074" w:right="1273" w:firstLine="340"/>
        <w:jc w:val="both"/>
        <w:rPr>
          <w:sz w:val="20"/>
        </w:rPr>
      </w:pPr>
      <w:r>
        <w:rPr>
          <w:sz w:val="20"/>
        </w:rPr>
        <w:t>º Que la modificación del contrato implique una alteración en su cuantía que no exceda, aislada o conjuntamente con otras modificaciones acordadas conforme a este artículo, del 50 por ciento de su precio inicial, IVA</w:t>
      </w:r>
      <w:r>
        <w:rPr>
          <w:spacing w:val="-13"/>
          <w:sz w:val="20"/>
        </w:rPr>
        <w:t> </w:t>
      </w:r>
      <w:r>
        <w:rPr>
          <w:sz w:val="20"/>
        </w:rPr>
        <w:t>excluido.</w:t>
      </w:r>
    </w:p>
    <w:p>
      <w:pPr>
        <w:pStyle w:val="ListParagraph"/>
        <w:numPr>
          <w:ilvl w:val="0"/>
          <w:numId w:val="195"/>
        </w:numPr>
        <w:tabs>
          <w:tab w:pos="1663" w:val="left" w:leader="none"/>
        </w:tabs>
        <w:spacing w:line="249" w:lineRule="auto" w:before="123" w:after="0"/>
        <w:ind w:left="1074" w:right="1275" w:firstLine="340"/>
        <w:jc w:val="both"/>
        <w:rPr>
          <w:sz w:val="20"/>
        </w:rPr>
      </w:pPr>
      <w:r>
        <w:rPr>
          <w:sz w:val="20"/>
        </w:rPr>
        <w:t>Cuando un nuevo contratista sustituya al elegido en un principio como adjudicatario por la entidad contratante como consecuencia de alguna de las siguientes</w:t>
      </w:r>
      <w:r>
        <w:rPr>
          <w:spacing w:val="-19"/>
          <w:sz w:val="20"/>
        </w:rPr>
        <w:t> </w:t>
      </w:r>
      <w:r>
        <w:rPr>
          <w:sz w:val="20"/>
        </w:rPr>
        <w:t>circunstancias:</w:t>
      </w:r>
    </w:p>
    <w:p>
      <w:pPr>
        <w:pStyle w:val="ListParagraph"/>
        <w:numPr>
          <w:ilvl w:val="0"/>
          <w:numId w:val="198"/>
        </w:numPr>
        <w:tabs>
          <w:tab w:pos="1583" w:val="left" w:leader="none"/>
        </w:tabs>
        <w:spacing w:line="249" w:lineRule="auto" w:before="121" w:after="0"/>
        <w:ind w:left="1074" w:right="1274" w:firstLine="340"/>
        <w:jc w:val="both"/>
        <w:rPr>
          <w:sz w:val="20"/>
        </w:rPr>
      </w:pPr>
      <w:r>
        <w:rPr>
          <w:sz w:val="20"/>
        </w:rPr>
        <w:t>º Habérsele otorgado ese derecho en base a una disposición general, un derecho de opción o una cláusula de revisión inequívoca establecida en los pliegos de condiciones de conformidad con lo dispuesto en el artículo</w:t>
      </w:r>
      <w:r>
        <w:rPr>
          <w:spacing w:val="-7"/>
          <w:sz w:val="20"/>
        </w:rPr>
        <w:t> </w:t>
      </w:r>
      <w:r>
        <w:rPr>
          <w:sz w:val="20"/>
        </w:rPr>
        <w:t>110.</w:t>
      </w:r>
    </w:p>
    <w:p>
      <w:pPr>
        <w:pStyle w:val="ListParagraph"/>
        <w:numPr>
          <w:ilvl w:val="0"/>
          <w:numId w:val="198"/>
        </w:numPr>
        <w:tabs>
          <w:tab w:pos="1582" w:val="left" w:leader="none"/>
        </w:tabs>
        <w:spacing w:line="249" w:lineRule="auto" w:before="3" w:after="0"/>
        <w:ind w:left="1074" w:right="1273" w:firstLine="340"/>
        <w:jc w:val="both"/>
        <w:rPr>
          <w:sz w:val="20"/>
        </w:rPr>
      </w:pPr>
      <w:r>
        <w:rPr>
          <w:sz w:val="20"/>
        </w:rPr>
        <w:t>º Cuando un nuevo contratista sustituya al adjudicatario inicial como consecuencia de la sucesión total o parcial del contratista inicial, a raíz de una reestructuración empresarial, en particular por absorción, fusión, adquisición o insolvencia, por otro operador económico que cumpla los criterios de selección cualitativa establecidos inicialmente, siempre que ello no implique otras modificaciones sustanciales del contrato ni tenga por objeto eludir la aplicación del presente real</w:t>
      </w:r>
      <w:r>
        <w:rPr>
          <w:spacing w:val="-5"/>
          <w:sz w:val="20"/>
        </w:rPr>
        <w:t> </w:t>
      </w:r>
      <w:r>
        <w:rPr>
          <w:sz w:val="20"/>
        </w:rPr>
        <w:t>decreto-ley.</w:t>
      </w:r>
    </w:p>
    <w:p>
      <w:pPr>
        <w:pStyle w:val="ListParagraph"/>
        <w:numPr>
          <w:ilvl w:val="0"/>
          <w:numId w:val="195"/>
        </w:numPr>
        <w:tabs>
          <w:tab w:pos="1713" w:val="left" w:leader="none"/>
        </w:tabs>
        <w:spacing w:line="249" w:lineRule="auto" w:before="125" w:after="0"/>
        <w:ind w:left="1074" w:right="1271" w:firstLine="340"/>
        <w:jc w:val="both"/>
        <w:rPr>
          <w:sz w:val="20"/>
        </w:rPr>
      </w:pPr>
      <w:r>
        <w:rPr>
          <w:sz w:val="20"/>
        </w:rPr>
        <w:t>Cuando las modificaciones no sean sustanciales. En todo caso, se tendrá que justificar especialmente la necesidad de las mismas, indicando las razones por las que esas prestaciones no se incluyeron en el contrato</w:t>
      </w:r>
      <w:r>
        <w:rPr>
          <w:spacing w:val="-8"/>
          <w:sz w:val="20"/>
        </w:rPr>
        <w:t> </w:t>
      </w:r>
      <w:r>
        <w:rPr>
          <w:sz w:val="20"/>
        </w:rPr>
        <w:t>inicial.</w:t>
      </w:r>
    </w:p>
    <w:p>
      <w:pPr>
        <w:pStyle w:val="BodyText"/>
        <w:spacing w:line="249" w:lineRule="auto"/>
        <w:ind w:right="1271"/>
      </w:pPr>
      <w:r>
        <w:rPr/>
        <w:t>Una modificación de un contrato se considerará sustancial cuando tenga como resultado un contrato de naturaleza materialmente diferente al celebrado en un principio. En cualquier caso, una modificación se considerará sustancial cuando se cumpla una o varias de las condiciones siguientes:</w:t>
      </w:r>
    </w:p>
    <w:p>
      <w:pPr>
        <w:pStyle w:val="ListParagraph"/>
        <w:numPr>
          <w:ilvl w:val="0"/>
          <w:numId w:val="199"/>
        </w:numPr>
        <w:tabs>
          <w:tab w:pos="1583" w:val="left" w:leader="none"/>
        </w:tabs>
        <w:spacing w:line="249" w:lineRule="auto" w:before="123" w:after="0"/>
        <w:ind w:left="1074" w:right="1274" w:firstLine="340"/>
        <w:jc w:val="both"/>
        <w:rPr>
          <w:sz w:val="20"/>
        </w:rPr>
      </w:pPr>
      <w:r>
        <w:rPr>
          <w:sz w:val="20"/>
        </w:rPr>
        <w:t>º Que la modificación introduzca condiciones que, de haber figurado en el procedimiento de licitación inicial, habrían permitido la selección de candidatos distintos de los seleccionados inicialmente o la aceptación de una oferta distinta a la aceptada inicialmente o habrían atraído a más participantes en el procedimiento de</w:t>
      </w:r>
      <w:r>
        <w:rPr>
          <w:spacing w:val="-34"/>
          <w:sz w:val="20"/>
        </w:rPr>
        <w:t> </w:t>
      </w:r>
      <w:r>
        <w:rPr>
          <w:sz w:val="20"/>
        </w:rPr>
        <w:t>licitación.</w:t>
      </w:r>
    </w:p>
    <w:p>
      <w:pPr>
        <w:pStyle w:val="BodyText"/>
        <w:spacing w:line="249" w:lineRule="auto" w:before="4"/>
        <w:ind w:right="1274"/>
      </w:pPr>
      <w:r>
        <w:rPr/>
        <w:t>En todo caso se considerará que se da el supuesto previsto en el párrafo anterior cuando la obra o el servicio resultantes del proyecto original o del pliego, respectivamente, más la modificación que se pretenda, requieran de una clasificación del contratista diferente a la que, en su caso, se exigió en el procedimiento de licitación</w:t>
      </w:r>
      <w:r>
        <w:rPr>
          <w:spacing w:val="-17"/>
        </w:rPr>
        <w:t> </w:t>
      </w:r>
      <w:r>
        <w:rPr/>
        <w:t>original.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199"/>
        </w:numPr>
        <w:tabs>
          <w:tab w:pos="1583" w:val="left" w:leader="none"/>
        </w:tabs>
        <w:spacing w:line="249" w:lineRule="auto" w:before="127" w:after="0"/>
        <w:ind w:left="1074" w:right="1274" w:firstLine="340"/>
        <w:jc w:val="both"/>
        <w:rPr>
          <w:sz w:val="20"/>
        </w:rPr>
      </w:pPr>
      <w:r>
        <w:rPr>
          <w:sz w:val="20"/>
        </w:rPr>
        <w:t>º Que la modificación altere el equilibrio económico del contrato en beneficio del contratista de una manera que no estaba prevista en el contrato</w:t>
      </w:r>
      <w:r>
        <w:rPr>
          <w:spacing w:val="-15"/>
          <w:sz w:val="20"/>
        </w:rPr>
        <w:t> </w:t>
      </w:r>
      <w:r>
        <w:rPr>
          <w:sz w:val="20"/>
        </w:rPr>
        <w:t>inicial.</w:t>
      </w:r>
    </w:p>
    <w:p>
      <w:pPr>
        <w:pStyle w:val="BodyText"/>
        <w:spacing w:line="249" w:lineRule="auto" w:before="1"/>
        <w:ind w:right="1272"/>
      </w:pPr>
      <w:r>
        <w:rPr/>
        <w:t>En todo caso se considerará que se da el supuesto previsto en el párrafo anterior cuando, como consecuencia de la modificación que se pretenda realizar, se introducirían unidades de obra nuevas cuyo importe representaría más del 50 por ciento del presupuesto inicial del</w:t>
      </w:r>
      <w:r>
        <w:rPr>
          <w:spacing w:val="-3"/>
        </w:rPr>
        <w:t> </w:t>
      </w:r>
      <w:r>
        <w:rPr/>
        <w:t>contrato.</w:t>
      </w:r>
    </w:p>
    <w:p>
      <w:pPr>
        <w:pStyle w:val="ListParagraph"/>
        <w:numPr>
          <w:ilvl w:val="0"/>
          <w:numId w:val="199"/>
        </w:numPr>
        <w:tabs>
          <w:tab w:pos="1583" w:val="left" w:leader="none"/>
        </w:tabs>
        <w:spacing w:line="249" w:lineRule="auto" w:before="4" w:after="0"/>
        <w:ind w:left="1074" w:right="1273" w:firstLine="340"/>
        <w:jc w:val="both"/>
        <w:rPr>
          <w:sz w:val="20"/>
        </w:rPr>
      </w:pPr>
      <w:r>
        <w:rPr>
          <w:sz w:val="20"/>
        </w:rPr>
        <w:t>º Que la modificación amplíe de forma importante el ámbito del contrato. En todo caso, se considerará que se da el supuesto previsto en el párrafo anterior</w:t>
      </w:r>
      <w:r>
        <w:rPr>
          <w:spacing w:val="-16"/>
          <w:sz w:val="20"/>
        </w:rPr>
        <w:t> </w:t>
      </w:r>
      <w:r>
        <w:rPr>
          <w:sz w:val="20"/>
        </w:rPr>
        <w:t>cuando:</w:t>
      </w:r>
    </w:p>
    <w:p>
      <w:pPr>
        <w:pStyle w:val="ListParagraph"/>
        <w:numPr>
          <w:ilvl w:val="1"/>
          <w:numId w:val="199"/>
        </w:numPr>
        <w:tabs>
          <w:tab w:pos="1615" w:val="left" w:leader="none"/>
        </w:tabs>
        <w:spacing w:line="249" w:lineRule="auto" w:before="121" w:after="0"/>
        <w:ind w:left="1074" w:right="1272" w:firstLine="340"/>
        <w:jc w:val="both"/>
        <w:rPr>
          <w:sz w:val="20"/>
        </w:rPr>
      </w:pPr>
      <w:r>
        <w:rPr>
          <w:sz w:val="20"/>
        </w:rPr>
        <w:t>El valor de la modificación suponga una alteración en la cuantía del contrato que exceda, aislada o conjuntamente, del 15 por ciento del precio inicial del mismo, IVA excluido, si se trata del contrato de obras o de un 10 por ciento, IVA excluido, cuando se refiera a los demás contratos, o bien que supere el umbral que en función del tipo de contrato resulte de aplicación de entre los señalados en el artículo</w:t>
      </w:r>
      <w:r>
        <w:rPr>
          <w:spacing w:val="-10"/>
          <w:sz w:val="20"/>
        </w:rPr>
        <w:t> </w:t>
      </w:r>
      <w:r>
        <w:rPr>
          <w:sz w:val="20"/>
        </w:rPr>
        <w:t>1.</w:t>
      </w:r>
    </w:p>
    <w:p>
      <w:pPr>
        <w:pStyle w:val="ListParagraph"/>
        <w:numPr>
          <w:ilvl w:val="1"/>
          <w:numId w:val="199"/>
        </w:numPr>
        <w:tabs>
          <w:tab w:pos="1633" w:val="left" w:leader="none"/>
        </w:tabs>
        <w:spacing w:line="249" w:lineRule="auto" w:before="4" w:after="0"/>
        <w:ind w:left="1074" w:right="1273" w:firstLine="340"/>
        <w:jc w:val="both"/>
        <w:rPr>
          <w:sz w:val="20"/>
        </w:rPr>
      </w:pPr>
      <w:r>
        <w:rPr>
          <w:sz w:val="20"/>
        </w:rPr>
        <w:t>Las obras, servicios o suministros objeto de modificación se hallen dentro del ámbito de otro contrato, actual o futuro, siempre que se haya iniciado la tramitación del expediente de</w:t>
      </w:r>
      <w:r>
        <w:rPr>
          <w:spacing w:val="-1"/>
          <w:sz w:val="20"/>
        </w:rPr>
        <w:t> </w:t>
      </w:r>
      <w:r>
        <w:rPr>
          <w:sz w:val="20"/>
        </w:rPr>
        <w:t>contratación.</w:t>
      </w:r>
    </w:p>
    <w:p>
      <w:pPr>
        <w:pStyle w:val="BodyText"/>
        <w:spacing w:before="5"/>
        <w:ind w:left="0" w:firstLine="0"/>
        <w:jc w:val="left"/>
      </w:pPr>
    </w:p>
    <w:p>
      <w:pPr>
        <w:spacing w:before="0"/>
        <w:ind w:left="1074" w:right="0" w:firstLine="0"/>
        <w:jc w:val="both"/>
        <w:rPr>
          <w:i/>
          <w:sz w:val="20"/>
        </w:rPr>
      </w:pPr>
      <w:bookmarkStart w:name="Artículo 112. Procedimiento y publicidad" w:id="179"/>
      <w:bookmarkEnd w:id="179"/>
      <w:r>
        <w:rPr/>
      </w:r>
      <w:r>
        <w:rPr>
          <w:b/>
          <w:sz w:val="20"/>
        </w:rPr>
        <w:t>Artículo 112. </w:t>
      </w:r>
      <w:r>
        <w:rPr>
          <w:i/>
          <w:sz w:val="20"/>
        </w:rPr>
        <w:t>Procedimiento y publicidad de las modificaciones.</w:t>
      </w:r>
    </w:p>
    <w:p>
      <w:pPr>
        <w:pStyle w:val="ListParagraph"/>
        <w:numPr>
          <w:ilvl w:val="0"/>
          <w:numId w:val="200"/>
        </w:numPr>
        <w:tabs>
          <w:tab w:pos="1735" w:val="left" w:leader="none"/>
        </w:tabs>
        <w:spacing w:line="249" w:lineRule="auto" w:before="118" w:after="0"/>
        <w:ind w:left="1074" w:right="1272" w:firstLine="340"/>
        <w:jc w:val="both"/>
        <w:rPr>
          <w:sz w:val="20"/>
        </w:rPr>
      </w:pPr>
      <w:r>
        <w:rPr>
          <w:sz w:val="20"/>
        </w:rPr>
        <w:t>Las modificaciones contractuales se acordarán en la forma que se hubiese especificado en los pliegos de</w:t>
      </w:r>
      <w:r>
        <w:rPr>
          <w:spacing w:val="-7"/>
          <w:sz w:val="20"/>
        </w:rPr>
        <w:t> </w:t>
      </w:r>
      <w:r>
        <w:rPr>
          <w:sz w:val="20"/>
        </w:rPr>
        <w:t>condiciones.</w:t>
      </w:r>
    </w:p>
    <w:p>
      <w:pPr>
        <w:pStyle w:val="BodyText"/>
        <w:spacing w:line="249" w:lineRule="auto"/>
        <w:ind w:right="1273"/>
      </w:pPr>
      <w:r>
        <w:rPr/>
        <w:t>En todo caso las modificaciones no previstas en los pliegos de condiciones a que se refiere el artículo 111, cuando afecten a contratos de entidades contratantes que merezcan la consideración de poder adjudicador y su cuantía, aislada o conjuntamente, sea superior a un 20 por ciento del precio inicial del contrato, IVA excluido, requerirán la previa autorización del Departamento ministerial al que esté adscrita o corresponda la tutela de la entidad contratante, previo dictamen preceptivo del Consejo de</w:t>
      </w:r>
      <w:r>
        <w:rPr>
          <w:spacing w:val="-10"/>
        </w:rPr>
        <w:t> </w:t>
      </w:r>
      <w:r>
        <w:rPr/>
        <w:t>Estado.</w:t>
      </w:r>
    </w:p>
    <w:p>
      <w:pPr>
        <w:pStyle w:val="ListParagraph"/>
        <w:numPr>
          <w:ilvl w:val="0"/>
          <w:numId w:val="200"/>
        </w:numPr>
        <w:tabs>
          <w:tab w:pos="1673" w:val="left" w:leader="none"/>
        </w:tabs>
        <w:spacing w:line="249" w:lineRule="auto" w:before="4" w:after="0"/>
        <w:ind w:left="1074" w:right="1273" w:firstLine="340"/>
        <w:jc w:val="both"/>
        <w:rPr>
          <w:sz w:val="20"/>
        </w:rPr>
      </w:pPr>
      <w:r>
        <w:rPr>
          <w:sz w:val="20"/>
        </w:rPr>
        <w:t>Las entidades contratantes que hubieran modificado un contrato que esté sujeto a este real decreto-ley en los casos previstos en las letras a) y b) del apartado 2 del artículo 111 deberán publicar en el «Diario Oficial de la Unión Europea» el correspondiente anuncio de modificación que contenga la información establecida en la sección correspondiente del anexo</w:t>
      </w:r>
      <w:r>
        <w:rPr>
          <w:spacing w:val="-2"/>
          <w:sz w:val="20"/>
        </w:rPr>
        <w:t> </w:t>
      </w:r>
      <w:r>
        <w:rPr>
          <w:sz w:val="20"/>
        </w:rPr>
        <w:t>X.</w:t>
      </w:r>
    </w:p>
    <w:p>
      <w:pPr>
        <w:pStyle w:val="BodyText"/>
        <w:spacing w:line="249" w:lineRule="auto" w:before="5"/>
        <w:ind w:right="1273"/>
      </w:pPr>
      <w:r>
        <w:rPr/>
        <w:t>Asimismo las entidades contratantes que hubieren modificado un contrato durante su vigencia, deberán publicar en todo caso un anuncio de modificación en el perfil de contratante de la entidad contratante en el plazo de 5 días desde la aprobación de la misma, que deberá ir acompañado de las alegaciones del contratista y de todos los informes que, en su caso, se hubieran recabado con carácter previo a su aprobación, incluidos aquellos aportados por el adjudicatario o los emitidos por la propia entidad</w:t>
      </w:r>
      <w:r>
        <w:rPr>
          <w:spacing w:val="-25"/>
        </w:rPr>
        <w:t> </w:t>
      </w:r>
      <w:r>
        <w:rPr/>
        <w:t>contratante.</w:t>
      </w:r>
    </w:p>
    <w:p>
      <w:pPr>
        <w:pStyle w:val="BodyText"/>
        <w:spacing w:before="5"/>
        <w:ind w:left="0" w:firstLine="0"/>
        <w:jc w:val="left"/>
        <w:rPr>
          <w:sz w:val="30"/>
        </w:rPr>
      </w:pPr>
    </w:p>
    <w:p>
      <w:pPr>
        <w:pStyle w:val="BodyText"/>
        <w:spacing w:before="1"/>
        <w:ind w:left="2929" w:right="3127" w:firstLine="0"/>
        <w:jc w:val="center"/>
      </w:pPr>
      <w:bookmarkStart w:name="CAPÍTULO III. De la resolución de los co" w:id="180"/>
      <w:bookmarkEnd w:id="180"/>
      <w:r>
        <w:rPr/>
      </w:r>
      <w:bookmarkStart w:name="_bookmark33" w:id="181"/>
      <w:bookmarkEnd w:id="181"/>
      <w:r>
        <w:rPr/>
      </w:r>
      <w:r>
        <w:rPr/>
        <w:t>CAPÍTULO III</w:t>
      </w:r>
    </w:p>
    <w:p>
      <w:pPr>
        <w:pStyle w:val="Heading1"/>
        <w:ind w:left="2929"/>
      </w:pPr>
      <w:r>
        <w:rPr/>
        <w:t>De la resolución de los contratos</w:t>
      </w:r>
    </w:p>
    <w:p>
      <w:pPr>
        <w:pStyle w:val="BodyText"/>
        <w:spacing w:before="7"/>
        <w:ind w:left="0" w:firstLine="0"/>
        <w:jc w:val="left"/>
        <w:rPr>
          <w:b/>
        </w:rPr>
      </w:pPr>
    </w:p>
    <w:p>
      <w:pPr>
        <w:spacing w:before="0"/>
        <w:ind w:left="1074" w:right="0" w:firstLine="0"/>
        <w:jc w:val="both"/>
        <w:rPr>
          <w:i/>
          <w:sz w:val="20"/>
        </w:rPr>
      </w:pPr>
      <w:bookmarkStart w:name="Artículo 113. Resolución de contratos." w:id="182"/>
      <w:bookmarkEnd w:id="182"/>
      <w:r>
        <w:rPr/>
      </w:r>
      <w:r>
        <w:rPr>
          <w:b/>
          <w:sz w:val="20"/>
        </w:rPr>
        <w:t>Artículo 113. </w:t>
      </w:r>
      <w:r>
        <w:rPr>
          <w:i/>
          <w:sz w:val="20"/>
        </w:rPr>
        <w:t>Resolución de contratos.</w:t>
      </w:r>
    </w:p>
    <w:p>
      <w:pPr>
        <w:pStyle w:val="BodyText"/>
        <w:spacing w:line="249" w:lineRule="auto" w:before="117"/>
        <w:ind w:right="1272"/>
      </w:pPr>
      <w:r>
        <w:rPr/>
        <w:t>Las entidades contratantes podrán resolver un contrato de obra, suministro, servicios, concesión de obras y concesión de servicios durante su período de vigencia cuando teniendo que llevar a cabo una modificación en el mismo que, no estando prevista de conformidad con el artículo 110, no concurrieran las circunstancias establecidas en el artículo</w:t>
      </w:r>
      <w:r>
        <w:rPr>
          <w:spacing w:val="-2"/>
        </w:rPr>
        <w:t> </w:t>
      </w:r>
      <w:r>
        <w:rPr/>
        <w:t>111.</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pPr>
    </w:p>
    <w:p>
      <w:pPr>
        <w:pStyle w:val="BodyText"/>
        <w:spacing w:before="8"/>
        <w:ind w:left="0" w:firstLine="0"/>
        <w:jc w:val="left"/>
      </w:pPr>
    </w:p>
    <w:p>
      <w:pPr>
        <w:pStyle w:val="BodyText"/>
        <w:spacing w:before="1"/>
        <w:ind w:left="2930" w:right="3127" w:firstLine="0"/>
        <w:jc w:val="center"/>
      </w:pPr>
      <w:bookmarkStart w:name="TÍTULO VII. Invalidez, reclamaciones y s" w:id="183"/>
      <w:bookmarkEnd w:id="183"/>
      <w:r>
        <w:rPr/>
      </w:r>
      <w:bookmarkStart w:name="_bookmark34" w:id="184"/>
      <w:bookmarkEnd w:id="184"/>
      <w:r>
        <w:rPr/>
      </w:r>
      <w:r>
        <w:rPr/>
        <w:t>TÍTULO VII</w:t>
      </w:r>
    </w:p>
    <w:p>
      <w:pPr>
        <w:pStyle w:val="Heading1"/>
        <w:ind w:right="1613"/>
      </w:pPr>
      <w:r>
        <w:rPr/>
        <w:t>Invalidez, reclamaciones y solución extrajudicial de conflictos</w:t>
      </w:r>
    </w:p>
    <w:p>
      <w:pPr>
        <w:pStyle w:val="BodyText"/>
        <w:spacing w:before="0"/>
        <w:ind w:left="0" w:firstLine="0"/>
        <w:jc w:val="left"/>
        <w:rPr>
          <w:b/>
          <w:sz w:val="22"/>
        </w:rPr>
      </w:pPr>
    </w:p>
    <w:p>
      <w:pPr>
        <w:pStyle w:val="BodyText"/>
        <w:spacing w:before="3"/>
        <w:ind w:left="0" w:firstLine="0"/>
        <w:jc w:val="left"/>
        <w:rPr>
          <w:b/>
          <w:sz w:val="18"/>
        </w:rPr>
      </w:pPr>
    </w:p>
    <w:p>
      <w:pPr>
        <w:pStyle w:val="BodyText"/>
        <w:spacing w:before="1"/>
        <w:ind w:left="2929" w:right="3127" w:firstLine="0"/>
        <w:jc w:val="center"/>
      </w:pPr>
      <w:bookmarkStart w:name="CAPÍTULO I. Régimen de invalidez" w:id="185"/>
      <w:bookmarkEnd w:id="185"/>
      <w:r>
        <w:rPr/>
      </w:r>
      <w:bookmarkStart w:name="_bookmark35" w:id="186"/>
      <w:bookmarkEnd w:id="186"/>
      <w:r>
        <w:rPr/>
      </w:r>
      <w:r>
        <w:rPr/>
        <w:t>CAPÍTULO I</w:t>
      </w:r>
    </w:p>
    <w:p>
      <w:pPr>
        <w:pStyle w:val="Heading1"/>
        <w:ind w:left="2929"/>
      </w:pPr>
      <w:r>
        <w:rPr/>
        <w:t>Régimen de invalidez</w:t>
      </w:r>
    </w:p>
    <w:p>
      <w:pPr>
        <w:pStyle w:val="BodyText"/>
        <w:spacing w:before="7"/>
        <w:ind w:left="0" w:firstLine="0"/>
        <w:jc w:val="left"/>
        <w:rPr>
          <w:b/>
        </w:rPr>
      </w:pPr>
    </w:p>
    <w:p>
      <w:pPr>
        <w:spacing w:before="0"/>
        <w:ind w:left="1074" w:right="0" w:firstLine="0"/>
        <w:jc w:val="both"/>
        <w:rPr>
          <w:i/>
          <w:sz w:val="20"/>
        </w:rPr>
      </w:pPr>
      <w:bookmarkStart w:name="Artículo 114. Supuestos de invalidez." w:id="187"/>
      <w:bookmarkEnd w:id="187"/>
      <w:r>
        <w:rPr/>
      </w:r>
      <w:r>
        <w:rPr>
          <w:b/>
          <w:sz w:val="20"/>
        </w:rPr>
        <w:t>Artículo 114. </w:t>
      </w:r>
      <w:r>
        <w:rPr>
          <w:i/>
          <w:sz w:val="20"/>
        </w:rPr>
        <w:t>Supuestos de invalidez.</w:t>
      </w:r>
    </w:p>
    <w:p>
      <w:pPr>
        <w:pStyle w:val="BodyText"/>
        <w:spacing w:line="249" w:lineRule="auto" w:before="117"/>
        <w:ind w:right="1273"/>
      </w:pPr>
      <w:r>
        <w:rPr/>
        <w:t>Los contratos celebrados por las entidades contratantes regulados en este real decreto- ley serán inválidos:</w:t>
      </w:r>
    </w:p>
    <w:p>
      <w:pPr>
        <w:pStyle w:val="ListParagraph"/>
        <w:numPr>
          <w:ilvl w:val="0"/>
          <w:numId w:val="201"/>
        </w:numPr>
        <w:tabs>
          <w:tab w:pos="1657" w:val="left" w:leader="none"/>
        </w:tabs>
        <w:spacing w:line="249" w:lineRule="auto" w:before="122" w:after="0"/>
        <w:ind w:left="1074" w:right="1274" w:firstLine="340"/>
        <w:jc w:val="left"/>
        <w:rPr>
          <w:sz w:val="20"/>
        </w:rPr>
      </w:pPr>
      <w:r>
        <w:rPr>
          <w:sz w:val="20"/>
        </w:rPr>
        <w:t>Cuando concurra en ellos alguna de las causas que los invalidan de conformidad con las disposiciones del derecho</w:t>
      </w:r>
      <w:r>
        <w:rPr>
          <w:spacing w:val="-5"/>
          <w:sz w:val="20"/>
        </w:rPr>
        <w:t> </w:t>
      </w:r>
      <w:r>
        <w:rPr>
          <w:sz w:val="20"/>
        </w:rPr>
        <w:t>civil.</w:t>
      </w:r>
    </w:p>
    <w:p>
      <w:pPr>
        <w:pStyle w:val="ListParagraph"/>
        <w:numPr>
          <w:ilvl w:val="0"/>
          <w:numId w:val="201"/>
        </w:numPr>
        <w:tabs>
          <w:tab w:pos="1652" w:val="left" w:leader="none"/>
        </w:tabs>
        <w:spacing w:line="249" w:lineRule="auto" w:before="2" w:after="0"/>
        <w:ind w:left="1074" w:right="1274" w:firstLine="340"/>
        <w:jc w:val="left"/>
        <w:rPr>
          <w:sz w:val="20"/>
        </w:rPr>
      </w:pPr>
      <w:r>
        <w:rPr>
          <w:sz w:val="20"/>
        </w:rPr>
        <w:t>Cuando lo sea alguno de sus actos preparatorios o del procedimiento de adjudicación, por concurrir en los mismos alguna de las causas a que se refieren los artículos 115 y</w:t>
      </w:r>
      <w:r>
        <w:rPr>
          <w:spacing w:val="-36"/>
          <w:sz w:val="20"/>
        </w:rPr>
        <w:t> </w:t>
      </w:r>
      <w:r>
        <w:rPr>
          <w:sz w:val="20"/>
        </w:rPr>
        <w:t>116.</w:t>
      </w:r>
    </w:p>
    <w:p>
      <w:pPr>
        <w:pStyle w:val="ListParagraph"/>
        <w:numPr>
          <w:ilvl w:val="0"/>
          <w:numId w:val="201"/>
        </w:numPr>
        <w:tabs>
          <w:tab w:pos="1637" w:val="left" w:leader="none"/>
        </w:tabs>
        <w:spacing w:line="240" w:lineRule="auto" w:before="1" w:after="0"/>
        <w:ind w:left="1636" w:right="0" w:hanging="223"/>
        <w:jc w:val="left"/>
        <w:rPr>
          <w:sz w:val="20"/>
        </w:rPr>
      </w:pPr>
      <w:r>
        <w:rPr>
          <w:sz w:val="20"/>
        </w:rPr>
        <w:t>En aquellos casos en que la invalidez derive de la ilegalidad de su</w:t>
      </w:r>
      <w:r>
        <w:rPr>
          <w:spacing w:val="-20"/>
          <w:sz w:val="20"/>
        </w:rPr>
        <w:t> </w:t>
      </w:r>
      <w:r>
        <w:rPr>
          <w:sz w:val="20"/>
        </w:rPr>
        <w:t>clausulado.</w:t>
      </w:r>
    </w:p>
    <w:p>
      <w:pPr>
        <w:pStyle w:val="BodyText"/>
        <w:spacing w:before="1"/>
        <w:ind w:left="0" w:firstLine="0"/>
        <w:jc w:val="left"/>
        <w:rPr>
          <w:sz w:val="21"/>
        </w:rPr>
      </w:pPr>
    </w:p>
    <w:p>
      <w:pPr>
        <w:spacing w:before="0"/>
        <w:ind w:left="1074" w:right="0" w:firstLine="0"/>
        <w:jc w:val="both"/>
        <w:rPr>
          <w:i/>
          <w:sz w:val="20"/>
        </w:rPr>
      </w:pPr>
      <w:bookmarkStart w:name="Artículo 115. Causas de nulidad derivada" w:id="188"/>
      <w:bookmarkEnd w:id="188"/>
      <w:r>
        <w:rPr/>
      </w:r>
      <w:r>
        <w:rPr>
          <w:b/>
          <w:sz w:val="20"/>
        </w:rPr>
        <w:t>Artículo 115. </w:t>
      </w:r>
      <w:r>
        <w:rPr>
          <w:i/>
          <w:sz w:val="20"/>
        </w:rPr>
        <w:t>Causas de nulidad derivadas del derecho administrativo.</w:t>
      </w:r>
    </w:p>
    <w:p>
      <w:pPr>
        <w:pStyle w:val="ListParagraph"/>
        <w:numPr>
          <w:ilvl w:val="0"/>
          <w:numId w:val="202"/>
        </w:numPr>
        <w:tabs>
          <w:tab w:pos="1688" w:val="left" w:leader="none"/>
        </w:tabs>
        <w:spacing w:line="249" w:lineRule="auto" w:before="118" w:after="0"/>
        <w:ind w:left="1074" w:right="1273" w:firstLine="340"/>
        <w:jc w:val="both"/>
        <w:rPr>
          <w:sz w:val="20"/>
        </w:rPr>
      </w:pPr>
      <w:r>
        <w:rPr>
          <w:sz w:val="20"/>
        </w:rPr>
        <w:t>Los actos preparatorios y los del procedimiento de adjudicación de los contratos regulados en este real decreto-ley serán nulos cuando concurra en ellos alguna de las causas que enumera el artículo 47 de la Ley 39/2015, de 1 de octubre, del Procedimiento Administrativo Común de las Administraciones</w:t>
      </w:r>
      <w:r>
        <w:rPr>
          <w:spacing w:val="-4"/>
          <w:sz w:val="20"/>
        </w:rPr>
        <w:t> </w:t>
      </w:r>
      <w:r>
        <w:rPr>
          <w:sz w:val="20"/>
        </w:rPr>
        <w:t>Públicas.</w:t>
      </w:r>
    </w:p>
    <w:p>
      <w:pPr>
        <w:pStyle w:val="ListParagraph"/>
        <w:numPr>
          <w:ilvl w:val="0"/>
          <w:numId w:val="202"/>
        </w:numPr>
        <w:tabs>
          <w:tab w:pos="1642" w:val="left" w:leader="none"/>
        </w:tabs>
        <w:spacing w:line="249" w:lineRule="auto" w:before="3" w:after="0"/>
        <w:ind w:left="1074" w:right="1275" w:firstLine="340"/>
        <w:jc w:val="both"/>
        <w:rPr>
          <w:sz w:val="20"/>
        </w:rPr>
      </w:pPr>
      <w:r>
        <w:rPr>
          <w:sz w:val="20"/>
        </w:rPr>
        <w:t>Serán igualmente nulos los contratos celebrados por las entidades contratantes en los que concurra alguna de las causas</w:t>
      </w:r>
      <w:r>
        <w:rPr>
          <w:spacing w:val="-5"/>
          <w:sz w:val="20"/>
        </w:rPr>
        <w:t> </w:t>
      </w:r>
      <w:r>
        <w:rPr>
          <w:sz w:val="20"/>
        </w:rPr>
        <w:t>siguientes:</w:t>
      </w:r>
    </w:p>
    <w:p>
      <w:pPr>
        <w:pStyle w:val="ListParagraph"/>
        <w:numPr>
          <w:ilvl w:val="0"/>
          <w:numId w:val="203"/>
        </w:numPr>
        <w:tabs>
          <w:tab w:pos="1706" w:val="left" w:leader="none"/>
        </w:tabs>
        <w:spacing w:line="249" w:lineRule="auto" w:before="122" w:after="0"/>
        <w:ind w:left="1074" w:right="1272" w:firstLine="340"/>
        <w:jc w:val="both"/>
        <w:rPr>
          <w:sz w:val="20"/>
        </w:rPr>
      </w:pPr>
      <w:r>
        <w:rPr>
          <w:sz w:val="20"/>
        </w:rPr>
        <w:t>La falta de capacidad de obrar o de solvencia económica, financiera, técnica o profesional; o la falta de habilitación empresarial o profesional cuando sea exigible para la realización de la actividad o prestación que constituya el objeto del contrato; o el estar este último incurso en alguna de las prohibiciones para contratar que establece el artículo 71 de  la Ley 9/2017, de 8 de</w:t>
      </w:r>
      <w:r>
        <w:rPr>
          <w:spacing w:val="-8"/>
          <w:sz w:val="20"/>
        </w:rPr>
        <w:t> </w:t>
      </w:r>
      <w:r>
        <w:rPr>
          <w:sz w:val="20"/>
        </w:rPr>
        <w:t>noviembre.</w:t>
      </w:r>
    </w:p>
    <w:p>
      <w:pPr>
        <w:pStyle w:val="ListParagraph"/>
        <w:numPr>
          <w:ilvl w:val="0"/>
          <w:numId w:val="203"/>
        </w:numPr>
        <w:tabs>
          <w:tab w:pos="1663" w:val="left" w:leader="none"/>
        </w:tabs>
        <w:spacing w:line="249" w:lineRule="auto" w:before="4" w:after="0"/>
        <w:ind w:left="1074" w:right="1273" w:firstLine="340"/>
        <w:jc w:val="both"/>
        <w:rPr>
          <w:sz w:val="20"/>
        </w:rPr>
      </w:pPr>
      <w:r>
        <w:rPr>
          <w:sz w:val="20"/>
        </w:rPr>
        <w:t>La falta de publicación del anuncio que sirva de convocatoria de licitación en el perfil de contratante, en el «Diario Oficial de la Unión Europea» o en el medio de publicidad en que sea preceptivo, de conformidad con lo establecido en este real</w:t>
      </w:r>
      <w:r>
        <w:rPr>
          <w:spacing w:val="-16"/>
          <w:sz w:val="20"/>
        </w:rPr>
        <w:t> </w:t>
      </w:r>
      <w:r>
        <w:rPr>
          <w:sz w:val="20"/>
        </w:rPr>
        <w:t>decreto-ley.</w:t>
      </w:r>
    </w:p>
    <w:p>
      <w:pPr>
        <w:pStyle w:val="ListParagraph"/>
        <w:numPr>
          <w:ilvl w:val="0"/>
          <w:numId w:val="203"/>
        </w:numPr>
        <w:tabs>
          <w:tab w:pos="1646" w:val="left" w:leader="none"/>
        </w:tabs>
        <w:spacing w:line="249" w:lineRule="auto" w:before="2" w:after="0"/>
        <w:ind w:left="1074" w:right="1273" w:firstLine="340"/>
        <w:jc w:val="both"/>
        <w:rPr>
          <w:sz w:val="20"/>
        </w:rPr>
      </w:pPr>
      <w:r>
        <w:rPr>
          <w:sz w:val="20"/>
        </w:rPr>
        <w:t>La inobservancia por parte de la entidad contratante, del plazo de quince días hábiles previsto en el artículo 73.2 para la formalización del contrato, siempre que concurran los dos siguientes requisitos:</w:t>
      </w:r>
    </w:p>
    <w:p>
      <w:pPr>
        <w:pStyle w:val="ListParagraph"/>
        <w:numPr>
          <w:ilvl w:val="0"/>
          <w:numId w:val="204"/>
        </w:numPr>
        <w:tabs>
          <w:tab w:pos="1582" w:val="left" w:leader="none"/>
        </w:tabs>
        <w:spacing w:line="249" w:lineRule="auto" w:before="123" w:after="0"/>
        <w:ind w:left="1074" w:right="1273" w:firstLine="340"/>
        <w:jc w:val="both"/>
        <w:rPr>
          <w:sz w:val="20"/>
        </w:rPr>
      </w:pPr>
      <w:r>
        <w:rPr>
          <w:sz w:val="20"/>
        </w:rPr>
        <w:t>º Que por esta causa el licitador se hubiese visto privado de la posibilidad de interponer reclamación en materia de contratación contra alguno de los actos del procedimiento de adjudicación.</w:t>
      </w:r>
    </w:p>
    <w:p>
      <w:pPr>
        <w:pStyle w:val="ListParagraph"/>
        <w:numPr>
          <w:ilvl w:val="0"/>
          <w:numId w:val="204"/>
        </w:numPr>
        <w:tabs>
          <w:tab w:pos="1583" w:val="left" w:leader="none"/>
        </w:tabs>
        <w:spacing w:line="249" w:lineRule="auto" w:before="2" w:after="0"/>
        <w:ind w:left="1074" w:right="1274" w:firstLine="340"/>
        <w:jc w:val="both"/>
        <w:rPr>
          <w:sz w:val="20"/>
        </w:rPr>
      </w:pPr>
      <w:r>
        <w:rPr>
          <w:sz w:val="20"/>
        </w:rPr>
        <w:t>º Que, además, concurra alguna infracción de los preceptos que regulan el procedimiento de adjudicación de los contratos que le hubiera impedido obtener</w:t>
      </w:r>
      <w:r>
        <w:rPr>
          <w:spacing w:val="-34"/>
          <w:sz w:val="20"/>
        </w:rPr>
        <w:t> </w:t>
      </w:r>
      <w:r>
        <w:rPr>
          <w:sz w:val="20"/>
        </w:rPr>
        <w:t>esta.</w:t>
      </w:r>
    </w:p>
    <w:p>
      <w:pPr>
        <w:pStyle w:val="ListParagraph"/>
        <w:numPr>
          <w:ilvl w:val="0"/>
          <w:numId w:val="203"/>
        </w:numPr>
        <w:tabs>
          <w:tab w:pos="1664" w:val="left" w:leader="none"/>
        </w:tabs>
        <w:spacing w:line="249" w:lineRule="auto" w:before="122" w:after="0"/>
        <w:ind w:left="1074" w:right="1273" w:firstLine="340"/>
        <w:jc w:val="both"/>
        <w:rPr>
          <w:sz w:val="20"/>
        </w:rPr>
      </w:pPr>
      <w:r>
        <w:rPr>
          <w:sz w:val="20"/>
        </w:rPr>
        <w:t>Haber llevado a efecto la formalización del contrato, en los casos en que se hubiese interpuesto la reclamación en materia de contratación, sin respetar la suspensión automática del acto recurrido en los casos en que fuera procedente, o la medida cautelar de suspensión acordada por el órgano competente para conocer de la reclamación que se hubiera interpuesto.</w:t>
      </w:r>
    </w:p>
    <w:p>
      <w:pPr>
        <w:pStyle w:val="ListParagraph"/>
        <w:numPr>
          <w:ilvl w:val="0"/>
          <w:numId w:val="203"/>
        </w:numPr>
        <w:tabs>
          <w:tab w:pos="1678" w:val="left" w:leader="none"/>
        </w:tabs>
        <w:spacing w:line="249" w:lineRule="auto" w:before="4" w:after="0"/>
        <w:ind w:left="1074" w:right="1274" w:firstLine="340"/>
        <w:jc w:val="both"/>
        <w:rPr>
          <w:sz w:val="20"/>
        </w:rPr>
      </w:pPr>
      <w:r>
        <w:rPr>
          <w:sz w:val="20"/>
        </w:rPr>
        <w:t>El incumplimiento de las normas establecidas para la adjudicación de los contratos derivados de un acuerdo marco celebrado con varios empresarios o de los contratos específicos basados en un sistema dinámico de adquisición en el que estuviesen admitidos varios empresarios, siempre que dicho incumplimiento hubiera determinado la adjudicación del contrato de que se trate a otro</w:t>
      </w:r>
      <w:r>
        <w:rPr>
          <w:spacing w:val="-7"/>
          <w:sz w:val="20"/>
        </w:rPr>
        <w:t> </w:t>
      </w:r>
      <w:r>
        <w:rPr>
          <w:sz w:val="20"/>
        </w:rPr>
        <w:t>licitador.</w:t>
      </w:r>
    </w:p>
    <w:p>
      <w:pPr>
        <w:pStyle w:val="ListParagraph"/>
        <w:numPr>
          <w:ilvl w:val="0"/>
          <w:numId w:val="203"/>
        </w:numPr>
        <w:tabs>
          <w:tab w:pos="1621" w:val="left" w:leader="none"/>
        </w:tabs>
        <w:spacing w:line="249" w:lineRule="auto" w:before="4" w:after="0"/>
        <w:ind w:left="1074" w:right="1273" w:firstLine="340"/>
        <w:jc w:val="both"/>
        <w:rPr>
          <w:sz w:val="20"/>
        </w:rPr>
      </w:pPr>
      <w:r>
        <w:rPr>
          <w:sz w:val="20"/>
        </w:rPr>
        <w:t>El incumplimiento grave de normas de Derecho de la Unión Europea en materia de contratación</w:t>
      </w:r>
      <w:r>
        <w:rPr>
          <w:spacing w:val="14"/>
          <w:sz w:val="20"/>
        </w:rPr>
        <w:t> </w:t>
      </w:r>
      <w:r>
        <w:rPr>
          <w:sz w:val="20"/>
        </w:rPr>
        <w:t>pública</w:t>
      </w:r>
      <w:r>
        <w:rPr>
          <w:spacing w:val="15"/>
          <w:sz w:val="20"/>
        </w:rPr>
        <w:t> </w:t>
      </w:r>
      <w:r>
        <w:rPr>
          <w:sz w:val="20"/>
        </w:rPr>
        <w:t>que</w:t>
      </w:r>
      <w:r>
        <w:rPr>
          <w:spacing w:val="15"/>
          <w:sz w:val="20"/>
        </w:rPr>
        <w:t> </w:t>
      </w:r>
      <w:r>
        <w:rPr>
          <w:sz w:val="20"/>
        </w:rPr>
        <w:t>conllevara</w:t>
      </w:r>
      <w:r>
        <w:rPr>
          <w:spacing w:val="15"/>
          <w:sz w:val="20"/>
        </w:rPr>
        <w:t> </w:t>
      </w:r>
      <w:r>
        <w:rPr>
          <w:sz w:val="20"/>
        </w:rPr>
        <w:t>que</w:t>
      </w:r>
      <w:r>
        <w:rPr>
          <w:spacing w:val="15"/>
          <w:sz w:val="20"/>
        </w:rPr>
        <w:t> </w:t>
      </w:r>
      <w:r>
        <w:rPr>
          <w:sz w:val="20"/>
        </w:rPr>
        <w:t>el</w:t>
      </w:r>
      <w:r>
        <w:rPr>
          <w:spacing w:val="15"/>
          <w:sz w:val="20"/>
        </w:rPr>
        <w:t> </w:t>
      </w:r>
      <w:r>
        <w:rPr>
          <w:sz w:val="20"/>
        </w:rPr>
        <w:t>contrato</w:t>
      </w:r>
      <w:r>
        <w:rPr>
          <w:spacing w:val="15"/>
          <w:sz w:val="20"/>
        </w:rPr>
        <w:t> </w:t>
      </w:r>
      <w:r>
        <w:rPr>
          <w:sz w:val="20"/>
        </w:rPr>
        <w:t>no</w:t>
      </w:r>
      <w:r>
        <w:rPr>
          <w:spacing w:val="15"/>
          <w:sz w:val="20"/>
        </w:rPr>
        <w:t> </w:t>
      </w:r>
      <w:r>
        <w:rPr>
          <w:sz w:val="20"/>
        </w:rPr>
        <w:t>hubiera</w:t>
      </w:r>
      <w:r>
        <w:rPr>
          <w:spacing w:val="15"/>
          <w:sz w:val="20"/>
        </w:rPr>
        <w:t> </w:t>
      </w:r>
      <w:r>
        <w:rPr>
          <w:sz w:val="20"/>
        </w:rPr>
        <w:t>debido</w:t>
      </w:r>
      <w:r>
        <w:rPr>
          <w:spacing w:val="15"/>
          <w:sz w:val="20"/>
        </w:rPr>
        <w:t> </w:t>
      </w:r>
      <w:r>
        <w:rPr>
          <w:sz w:val="20"/>
        </w:rPr>
        <w:t>adjudicarse</w:t>
      </w:r>
      <w:r>
        <w:rPr>
          <w:spacing w:val="15"/>
          <w:sz w:val="20"/>
        </w:rPr>
        <w:t> </w:t>
      </w:r>
      <w:r>
        <w:rPr>
          <w:sz w:val="20"/>
        </w:rPr>
        <w:t>al</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firstLine="0"/>
      </w:pPr>
      <w:r>
        <w:rPr/>
        <w:t>contratista, declarado por el TJUE en un procedimiento con arreglo al artículo 258 del Tratado de Funcionamiento de la Unión</w:t>
      </w:r>
      <w:r>
        <w:rPr>
          <w:spacing w:val="-5"/>
        </w:rPr>
        <w:t> </w:t>
      </w:r>
      <w:r>
        <w:rPr/>
        <w:t>Europea.</w:t>
      </w:r>
    </w:p>
    <w:p>
      <w:pPr>
        <w:pStyle w:val="BodyText"/>
        <w:spacing w:before="4"/>
        <w:ind w:left="0" w:firstLine="0"/>
        <w:jc w:val="left"/>
      </w:pPr>
    </w:p>
    <w:p>
      <w:pPr>
        <w:spacing w:before="0"/>
        <w:ind w:left="1074" w:right="0" w:firstLine="0"/>
        <w:jc w:val="both"/>
        <w:rPr>
          <w:i/>
          <w:sz w:val="20"/>
        </w:rPr>
      </w:pPr>
      <w:bookmarkStart w:name="Artículo 116. Causas de anulabilidad der" w:id="189"/>
      <w:bookmarkEnd w:id="189"/>
      <w:r>
        <w:rPr/>
      </w:r>
      <w:r>
        <w:rPr>
          <w:b/>
          <w:sz w:val="20"/>
        </w:rPr>
        <w:t>Artículo 116. </w:t>
      </w:r>
      <w:r>
        <w:rPr>
          <w:i/>
          <w:sz w:val="20"/>
        </w:rPr>
        <w:t>Causas de anulabilidad derivadas del derecho administrativo.</w:t>
      </w:r>
    </w:p>
    <w:p>
      <w:pPr>
        <w:pStyle w:val="BodyText"/>
        <w:spacing w:line="249" w:lineRule="auto" w:before="117"/>
        <w:ind w:right="1272"/>
      </w:pPr>
      <w:r>
        <w:rPr/>
        <w:t>Son causas de anulabilidad derivadas del derecho administrativo las demás infracciones del ordenamiento jurídico y, en especial, las de las reglas contenidas en el presente real decreto-ley, de conformidad con lo establecido en el artículo 48 de la Ley 39/2015, de 1 de octubre, del Procedimiento Administrativo Común de las Administraciones Públicas, que afecten a los actos preparatorios o del procedimiento de adjudicación de los contratos.</w:t>
      </w:r>
    </w:p>
    <w:p>
      <w:pPr>
        <w:pStyle w:val="BodyText"/>
        <w:spacing w:before="5"/>
        <w:ind w:left="1414" w:firstLine="0"/>
      </w:pPr>
      <w:r>
        <w:rPr/>
        <w:t>En todo caso serán causas de anulabilidad las siguientes:</w:t>
      </w:r>
    </w:p>
    <w:p>
      <w:pPr>
        <w:pStyle w:val="ListParagraph"/>
        <w:numPr>
          <w:ilvl w:val="0"/>
          <w:numId w:val="205"/>
        </w:numPr>
        <w:tabs>
          <w:tab w:pos="1669" w:val="left" w:leader="none"/>
        </w:tabs>
        <w:spacing w:line="249" w:lineRule="auto" w:before="130" w:after="0"/>
        <w:ind w:left="1074" w:right="1275" w:firstLine="340"/>
        <w:jc w:val="both"/>
        <w:rPr>
          <w:sz w:val="20"/>
        </w:rPr>
      </w:pPr>
      <w:r>
        <w:rPr>
          <w:sz w:val="20"/>
        </w:rPr>
        <w:t>El incumplimiento de las circunstancias y requisitos exigidos para la modificación de los contratos en los artículos 110 y</w:t>
      </w:r>
      <w:r>
        <w:rPr>
          <w:spacing w:val="-7"/>
          <w:sz w:val="20"/>
        </w:rPr>
        <w:t> </w:t>
      </w:r>
      <w:r>
        <w:rPr>
          <w:sz w:val="20"/>
        </w:rPr>
        <w:t>111.</w:t>
      </w:r>
    </w:p>
    <w:p>
      <w:pPr>
        <w:pStyle w:val="ListParagraph"/>
        <w:numPr>
          <w:ilvl w:val="0"/>
          <w:numId w:val="205"/>
        </w:numPr>
        <w:tabs>
          <w:tab w:pos="1766" w:val="left" w:leader="none"/>
        </w:tabs>
        <w:spacing w:line="249" w:lineRule="auto" w:before="1" w:after="0"/>
        <w:ind w:left="1074" w:right="1274" w:firstLine="340"/>
        <w:jc w:val="both"/>
        <w:rPr>
          <w:sz w:val="20"/>
        </w:rPr>
      </w:pPr>
      <w:r>
        <w:rPr>
          <w:sz w:val="20"/>
        </w:rPr>
        <w:t>Los encargos que acuerden las entidades contratantes que sean poderes adjudicadores para la ejecución directa de prestaciones a través de medios propios, cuando no observen alguno de los requisitos establecidos en la Ley 9/2017, de 8 de noviembre relativos a la condición de medio</w:t>
      </w:r>
      <w:r>
        <w:rPr>
          <w:spacing w:val="-4"/>
          <w:sz w:val="20"/>
        </w:rPr>
        <w:t> </w:t>
      </w:r>
      <w:r>
        <w:rPr>
          <w:sz w:val="20"/>
        </w:rPr>
        <w:t>propio.</w:t>
      </w:r>
    </w:p>
    <w:p>
      <w:pPr>
        <w:pStyle w:val="ListParagraph"/>
        <w:numPr>
          <w:ilvl w:val="0"/>
          <w:numId w:val="205"/>
        </w:numPr>
        <w:tabs>
          <w:tab w:pos="1682" w:val="left" w:leader="none"/>
        </w:tabs>
        <w:spacing w:line="249" w:lineRule="auto" w:before="3" w:after="0"/>
        <w:ind w:left="1074" w:right="1273" w:firstLine="340"/>
        <w:jc w:val="both"/>
        <w:rPr>
          <w:sz w:val="20"/>
        </w:rPr>
      </w:pPr>
      <w:r>
        <w:rPr>
          <w:sz w:val="20"/>
        </w:rPr>
        <w:t>Los contratos que se hubieren celebrado sin sujeción a este real decreto-ley con empresas asociadas y con empresas conjuntas, cuando no se observe alguno de los requisitos establecidos en el artículo</w:t>
      </w:r>
      <w:r>
        <w:rPr>
          <w:spacing w:val="-6"/>
          <w:sz w:val="20"/>
        </w:rPr>
        <w:t> </w:t>
      </w:r>
      <w:r>
        <w:rPr>
          <w:sz w:val="20"/>
        </w:rPr>
        <w:t>24.</w:t>
      </w:r>
    </w:p>
    <w:p>
      <w:pPr>
        <w:pStyle w:val="BodyText"/>
        <w:spacing w:before="5"/>
        <w:ind w:left="0" w:firstLine="0"/>
        <w:jc w:val="left"/>
      </w:pPr>
    </w:p>
    <w:p>
      <w:pPr>
        <w:spacing w:before="1"/>
        <w:ind w:left="1074" w:right="0" w:firstLine="0"/>
        <w:jc w:val="both"/>
        <w:rPr>
          <w:i/>
          <w:sz w:val="20"/>
        </w:rPr>
      </w:pPr>
      <w:bookmarkStart w:name="Artículo 117. Efectos de la declaración " w:id="190"/>
      <w:bookmarkEnd w:id="190"/>
      <w:r>
        <w:rPr/>
      </w:r>
      <w:r>
        <w:rPr>
          <w:b/>
          <w:sz w:val="20"/>
        </w:rPr>
        <w:t>Artículo 117. </w:t>
      </w:r>
      <w:r>
        <w:rPr>
          <w:i/>
          <w:sz w:val="20"/>
        </w:rPr>
        <w:t>Efectos de la declaración de nulidad.</w:t>
      </w:r>
    </w:p>
    <w:p>
      <w:pPr>
        <w:pStyle w:val="ListParagraph"/>
        <w:numPr>
          <w:ilvl w:val="0"/>
          <w:numId w:val="206"/>
        </w:numPr>
        <w:tabs>
          <w:tab w:pos="1644" w:val="left" w:leader="none"/>
        </w:tabs>
        <w:spacing w:line="249" w:lineRule="auto" w:before="117" w:after="0"/>
        <w:ind w:left="1074" w:right="1273" w:firstLine="340"/>
        <w:jc w:val="both"/>
        <w:rPr>
          <w:sz w:val="20"/>
        </w:rPr>
      </w:pPr>
      <w:r>
        <w:rPr>
          <w:sz w:val="20"/>
        </w:rPr>
        <w:t>La declaración de nulidad de los actos preparatorios del contrato o de la adjudicación, cuando sea firme, llevará en todo caso consigo la del mismo contrato, que entrará en fase de liquidación, debiendo restituirse las partes recíprocamente las cosas que hubiesen recibido en virtud del mismo y si esto no fuese posible se devolverá su valor. La parte que resulte culpable deberá indemnizar a la contraria de los daños y perjuicios que haya</w:t>
      </w:r>
      <w:r>
        <w:rPr>
          <w:spacing w:val="-27"/>
          <w:sz w:val="20"/>
        </w:rPr>
        <w:t> </w:t>
      </w:r>
      <w:r>
        <w:rPr>
          <w:sz w:val="20"/>
        </w:rPr>
        <w:t>sufrido.</w:t>
      </w:r>
    </w:p>
    <w:p>
      <w:pPr>
        <w:pStyle w:val="ListParagraph"/>
        <w:numPr>
          <w:ilvl w:val="0"/>
          <w:numId w:val="206"/>
        </w:numPr>
        <w:tabs>
          <w:tab w:pos="1694" w:val="left" w:leader="none"/>
        </w:tabs>
        <w:spacing w:line="249" w:lineRule="auto" w:before="4" w:after="0"/>
        <w:ind w:left="1074" w:right="1274" w:firstLine="340"/>
        <w:jc w:val="both"/>
        <w:rPr>
          <w:sz w:val="20"/>
        </w:rPr>
      </w:pPr>
      <w:r>
        <w:rPr>
          <w:sz w:val="20"/>
        </w:rPr>
        <w:t>La nulidad de los actos que no sean preparatorios solo afectará a estos y sus consecuencias.</w:t>
      </w:r>
    </w:p>
    <w:p>
      <w:pPr>
        <w:pStyle w:val="ListParagraph"/>
        <w:numPr>
          <w:ilvl w:val="0"/>
          <w:numId w:val="206"/>
        </w:numPr>
        <w:tabs>
          <w:tab w:pos="1640" w:val="left" w:leader="none"/>
        </w:tabs>
        <w:spacing w:line="249" w:lineRule="auto" w:before="2" w:after="0"/>
        <w:ind w:left="1074" w:right="1273" w:firstLine="340"/>
        <w:jc w:val="both"/>
        <w:rPr>
          <w:sz w:val="20"/>
        </w:rPr>
      </w:pPr>
      <w:r>
        <w:rPr>
          <w:sz w:val="20"/>
        </w:rPr>
        <w:t>Si la declaración administrativa de nulidad de un contrato produjese un grave trastorno al servicio público, podrá disponerse en el mismo acuerdo la continuación de los efectos de aquel y bajo sus mismas cláusulas, hasta que se adopten las medidas urgentes para evitar  el</w:t>
      </w:r>
      <w:r>
        <w:rPr>
          <w:spacing w:val="-2"/>
          <w:sz w:val="20"/>
        </w:rPr>
        <w:t> </w:t>
      </w:r>
      <w:r>
        <w:rPr>
          <w:sz w:val="20"/>
        </w:rPr>
        <w:t>perjuicio.</w:t>
      </w:r>
    </w:p>
    <w:p>
      <w:pPr>
        <w:pStyle w:val="BodyText"/>
        <w:spacing w:before="6"/>
        <w:ind w:left="0" w:firstLine="0"/>
        <w:jc w:val="left"/>
      </w:pPr>
    </w:p>
    <w:p>
      <w:pPr>
        <w:spacing w:before="0"/>
        <w:ind w:left="1074" w:right="0" w:firstLine="0"/>
        <w:jc w:val="both"/>
        <w:rPr>
          <w:i/>
          <w:sz w:val="20"/>
        </w:rPr>
      </w:pPr>
      <w:bookmarkStart w:name="Artículo 118. Causas de invalidez de der" w:id="191"/>
      <w:bookmarkEnd w:id="191"/>
      <w:r>
        <w:rPr/>
      </w:r>
      <w:r>
        <w:rPr>
          <w:b/>
          <w:sz w:val="20"/>
        </w:rPr>
        <w:t>Artículo 118. </w:t>
      </w:r>
      <w:r>
        <w:rPr>
          <w:i/>
          <w:sz w:val="20"/>
        </w:rPr>
        <w:t>Causas de invalidez de derecho civil.</w:t>
      </w:r>
    </w:p>
    <w:p>
      <w:pPr>
        <w:pStyle w:val="BodyText"/>
        <w:spacing w:line="249" w:lineRule="auto" w:before="117"/>
        <w:ind w:right="1272"/>
      </w:pPr>
      <w:r>
        <w:rPr/>
        <w:t>La invalidez de los contratos por causas reconocidas en el derecho civil, en cuanto resulten de aplicación a los contratos a que se refiere el artículo 114, se sujetará a los requisitos y plazos de ejercicio de las acciones establecidos en el ordenamiento civil.</w:t>
      </w:r>
    </w:p>
    <w:p>
      <w:pPr>
        <w:pStyle w:val="BodyText"/>
        <w:spacing w:before="4"/>
        <w:ind w:left="0" w:firstLine="0"/>
        <w:jc w:val="left"/>
        <w:rPr>
          <w:sz w:val="30"/>
        </w:rPr>
      </w:pPr>
    </w:p>
    <w:p>
      <w:pPr>
        <w:pStyle w:val="BodyText"/>
        <w:spacing w:before="0"/>
        <w:ind w:left="2929" w:right="3127" w:firstLine="0"/>
        <w:jc w:val="center"/>
      </w:pPr>
      <w:bookmarkStart w:name="CAPÍTULO II. Reclamaciones en los proced" w:id="192"/>
      <w:bookmarkEnd w:id="192"/>
      <w:r>
        <w:rPr/>
      </w:r>
      <w:bookmarkStart w:name="_bookmark36" w:id="193"/>
      <w:bookmarkEnd w:id="193"/>
      <w:r>
        <w:rPr/>
      </w:r>
      <w:r>
        <w:rPr/>
        <w:t>CAPÍTULO II</w:t>
      </w:r>
    </w:p>
    <w:p>
      <w:pPr>
        <w:pStyle w:val="Heading1"/>
        <w:ind w:right="1612"/>
      </w:pPr>
      <w:r>
        <w:rPr/>
        <w:t>Reclamaciones en los procedimientos de adjudicación de los contratos</w:t>
      </w:r>
    </w:p>
    <w:p>
      <w:pPr>
        <w:pStyle w:val="BodyText"/>
        <w:spacing w:before="7"/>
        <w:ind w:left="0" w:firstLine="0"/>
        <w:jc w:val="left"/>
        <w:rPr>
          <w:b/>
        </w:rPr>
      </w:pPr>
    </w:p>
    <w:p>
      <w:pPr>
        <w:spacing w:before="0"/>
        <w:ind w:left="1074" w:right="0" w:firstLine="0"/>
        <w:jc w:val="both"/>
        <w:rPr>
          <w:i/>
          <w:sz w:val="20"/>
        </w:rPr>
      </w:pPr>
      <w:bookmarkStart w:name="Artículo 119. Objeto de reclamaciones." w:id="194"/>
      <w:bookmarkEnd w:id="194"/>
      <w:r>
        <w:rPr/>
      </w:r>
      <w:r>
        <w:rPr>
          <w:b/>
          <w:sz w:val="20"/>
        </w:rPr>
        <w:t>Artículo 119. </w:t>
      </w:r>
      <w:r>
        <w:rPr>
          <w:i/>
          <w:sz w:val="20"/>
        </w:rPr>
        <w:t>Objeto de reclamaciones.</w:t>
      </w:r>
    </w:p>
    <w:p>
      <w:pPr>
        <w:pStyle w:val="ListParagraph"/>
        <w:numPr>
          <w:ilvl w:val="0"/>
          <w:numId w:val="207"/>
        </w:numPr>
        <w:tabs>
          <w:tab w:pos="1721" w:val="left" w:leader="none"/>
        </w:tabs>
        <w:spacing w:line="249" w:lineRule="auto" w:before="118" w:after="0"/>
        <w:ind w:left="1074" w:right="1273" w:firstLine="340"/>
        <w:jc w:val="both"/>
        <w:rPr>
          <w:sz w:val="20"/>
        </w:rPr>
      </w:pPr>
      <w:r>
        <w:rPr>
          <w:sz w:val="20"/>
        </w:rPr>
        <w:t>Serán susceptibles de reclamaciones en materia de contratación, los actos y decisiones relacionados en el apartado 2 de este mismo artículo, cuando se refieran a alguno de los contratos sujetos a este real decreto-ley, o a los acuerdos marco y sistemas dinámicos de adquisición que tengan por objeto la celebración de alguno de estos contratos, así como a los contratos basados, que pretendan concertar las entidades</w:t>
      </w:r>
      <w:r>
        <w:rPr>
          <w:spacing w:val="-24"/>
          <w:sz w:val="20"/>
        </w:rPr>
        <w:t> </w:t>
      </w:r>
      <w:r>
        <w:rPr>
          <w:sz w:val="20"/>
        </w:rPr>
        <w:t>contratantes.</w:t>
      </w:r>
    </w:p>
    <w:p>
      <w:pPr>
        <w:pStyle w:val="ListParagraph"/>
        <w:numPr>
          <w:ilvl w:val="0"/>
          <w:numId w:val="207"/>
        </w:numPr>
        <w:tabs>
          <w:tab w:pos="1646" w:val="left" w:leader="none"/>
        </w:tabs>
        <w:spacing w:line="249" w:lineRule="auto" w:before="4" w:after="0"/>
        <w:ind w:left="1074" w:right="1274" w:firstLine="340"/>
        <w:jc w:val="both"/>
        <w:rPr>
          <w:sz w:val="20"/>
        </w:rPr>
      </w:pPr>
      <w:r>
        <w:rPr>
          <w:sz w:val="20"/>
        </w:rPr>
        <w:t>Podrán ser objeto de la reclamación en materia de contratación los siguientes actos y documentos:</w:t>
      </w:r>
    </w:p>
    <w:p>
      <w:pPr>
        <w:pStyle w:val="ListParagraph"/>
        <w:numPr>
          <w:ilvl w:val="0"/>
          <w:numId w:val="208"/>
        </w:numPr>
        <w:tabs>
          <w:tab w:pos="1687" w:val="left" w:leader="none"/>
        </w:tabs>
        <w:spacing w:line="249" w:lineRule="auto" w:before="121" w:after="0"/>
        <w:ind w:left="1074" w:right="1273" w:firstLine="340"/>
        <w:jc w:val="both"/>
        <w:rPr>
          <w:sz w:val="20"/>
        </w:rPr>
      </w:pPr>
      <w:r>
        <w:rPr>
          <w:sz w:val="20"/>
        </w:rPr>
        <w:t>Los anuncios que sirvan como medio de convocatoria de licitación, los pliegos de condiciones y los documentos contractuales que establezcan las condiciones que deban regir la</w:t>
      </w:r>
      <w:r>
        <w:rPr>
          <w:spacing w:val="-2"/>
          <w:sz w:val="20"/>
        </w:rPr>
        <w:t> </w:t>
      </w:r>
      <w:r>
        <w:rPr>
          <w:sz w:val="20"/>
        </w:rPr>
        <w:t>contratación.</w:t>
      </w:r>
    </w:p>
    <w:p>
      <w:pPr>
        <w:pStyle w:val="ListParagraph"/>
        <w:numPr>
          <w:ilvl w:val="0"/>
          <w:numId w:val="208"/>
        </w:numPr>
        <w:tabs>
          <w:tab w:pos="1669" w:val="left" w:leader="none"/>
        </w:tabs>
        <w:spacing w:line="249" w:lineRule="auto" w:before="3" w:after="0"/>
        <w:ind w:left="1074" w:right="1275" w:firstLine="340"/>
        <w:jc w:val="both"/>
        <w:rPr>
          <w:sz w:val="20"/>
        </w:rPr>
      </w:pPr>
      <w:r>
        <w:rPr>
          <w:sz w:val="20"/>
        </w:rPr>
        <w:t>Los actos de trámite adoptados en el procedimiento de licitación, siempre que estos decidan directa o indirectamente sobre la adjudicación, determinen la imposibilidad</w:t>
      </w:r>
      <w:r>
        <w:rPr>
          <w:spacing w:val="21"/>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continuar el procedimiento o produzcan indefensión o perjuicio irreparable a derechos o intereses legítimos. En todo caso se considerará que concurren las circunstancias anteriores en los actos de la entidad contratante por los que se acuerde la admisión o inadmisión de candidatos o licitadores, o la admisión o exclusión de ofertas, incluidas las ofertas que sean excluidas por resultar anormalmente bajas como consecuencia de la aplicación del artículo 69.</w:t>
      </w:r>
    </w:p>
    <w:p>
      <w:pPr>
        <w:pStyle w:val="ListParagraph"/>
        <w:numPr>
          <w:ilvl w:val="0"/>
          <w:numId w:val="208"/>
        </w:numPr>
        <w:tabs>
          <w:tab w:pos="1637" w:val="left" w:leader="none"/>
        </w:tabs>
        <w:spacing w:line="240" w:lineRule="auto" w:before="5" w:after="0"/>
        <w:ind w:left="1636" w:right="0" w:hanging="223"/>
        <w:jc w:val="both"/>
        <w:rPr>
          <w:sz w:val="20"/>
        </w:rPr>
      </w:pPr>
      <w:r>
        <w:rPr>
          <w:sz w:val="20"/>
        </w:rPr>
        <w:t>Los acuerdos de adjudicación adoptados por las entidades</w:t>
      </w:r>
      <w:r>
        <w:rPr>
          <w:spacing w:val="-14"/>
          <w:sz w:val="20"/>
        </w:rPr>
        <w:t> </w:t>
      </w:r>
      <w:r>
        <w:rPr>
          <w:sz w:val="20"/>
        </w:rPr>
        <w:t>contratantes.</w:t>
      </w:r>
    </w:p>
    <w:p>
      <w:pPr>
        <w:pStyle w:val="ListParagraph"/>
        <w:numPr>
          <w:ilvl w:val="0"/>
          <w:numId w:val="208"/>
        </w:numPr>
        <w:tabs>
          <w:tab w:pos="1678" w:val="left" w:leader="none"/>
        </w:tabs>
        <w:spacing w:line="249" w:lineRule="auto" w:before="10" w:after="0"/>
        <w:ind w:left="1074" w:right="1274" w:firstLine="340"/>
        <w:jc w:val="both"/>
        <w:rPr>
          <w:sz w:val="20"/>
        </w:rPr>
      </w:pPr>
      <w:r>
        <w:rPr>
          <w:sz w:val="20"/>
        </w:rPr>
        <w:t>Las modificaciones basadas en el incumplimiento de lo establecido en los artículos 110 y 111 del presente real decreto-ley, por entender que la modificación debió ser objeto de una nueva</w:t>
      </w:r>
      <w:r>
        <w:rPr>
          <w:spacing w:val="-3"/>
          <w:sz w:val="20"/>
        </w:rPr>
        <w:t> </w:t>
      </w:r>
      <w:r>
        <w:rPr>
          <w:sz w:val="20"/>
        </w:rPr>
        <w:t>adjudicación.</w:t>
      </w:r>
    </w:p>
    <w:p>
      <w:pPr>
        <w:pStyle w:val="ListParagraph"/>
        <w:numPr>
          <w:ilvl w:val="0"/>
          <w:numId w:val="208"/>
        </w:numPr>
        <w:tabs>
          <w:tab w:pos="1691" w:val="left" w:leader="none"/>
        </w:tabs>
        <w:spacing w:line="249" w:lineRule="auto" w:before="2" w:after="0"/>
        <w:ind w:left="1074" w:right="1272" w:firstLine="340"/>
        <w:jc w:val="both"/>
        <w:rPr>
          <w:sz w:val="20"/>
        </w:rPr>
      </w:pPr>
      <w:r>
        <w:rPr>
          <w:sz w:val="20"/>
        </w:rPr>
        <w:t>La formalización de los encargos a medios propios personificados y los contratos celebrados con empresas asociadas y conjuntas en los casos en los que estos no cumplan los requisitos</w:t>
      </w:r>
      <w:r>
        <w:rPr>
          <w:spacing w:val="-2"/>
          <w:sz w:val="20"/>
        </w:rPr>
        <w:t> </w:t>
      </w:r>
      <w:r>
        <w:rPr>
          <w:sz w:val="20"/>
        </w:rPr>
        <w:t>legales.</w:t>
      </w:r>
    </w:p>
    <w:p>
      <w:pPr>
        <w:pStyle w:val="ListParagraph"/>
        <w:numPr>
          <w:ilvl w:val="0"/>
          <w:numId w:val="207"/>
        </w:numPr>
        <w:tabs>
          <w:tab w:pos="1658" w:val="left" w:leader="none"/>
        </w:tabs>
        <w:spacing w:line="249" w:lineRule="auto" w:before="122" w:after="0"/>
        <w:ind w:left="1074" w:right="1273" w:firstLine="340"/>
        <w:jc w:val="both"/>
        <w:rPr>
          <w:sz w:val="20"/>
        </w:rPr>
      </w:pPr>
      <w:r>
        <w:rPr>
          <w:sz w:val="20"/>
        </w:rPr>
        <w:t>Los defectos de tramitación que afecten a actos distintos de los contemplados en el apartado 2 podrán ser puestos de manifiesto por los interesados al órgano al que corresponda la instrucción del expediente o a la entidad contratante, a efectos de su corrección con arreglo a derecho, y sin perjuicio de que las irregularidades que les afecten puedan ser alegadas por los interesados al recurrir el acto de</w:t>
      </w:r>
      <w:r>
        <w:rPr>
          <w:spacing w:val="-21"/>
          <w:sz w:val="20"/>
        </w:rPr>
        <w:t> </w:t>
      </w:r>
      <w:r>
        <w:rPr>
          <w:sz w:val="20"/>
        </w:rPr>
        <w:t>adjudicación.</w:t>
      </w:r>
    </w:p>
    <w:p>
      <w:pPr>
        <w:pStyle w:val="ListParagraph"/>
        <w:numPr>
          <w:ilvl w:val="0"/>
          <w:numId w:val="207"/>
        </w:numPr>
        <w:tabs>
          <w:tab w:pos="1680" w:val="left" w:leader="none"/>
        </w:tabs>
        <w:spacing w:line="249" w:lineRule="auto" w:before="5" w:after="0"/>
        <w:ind w:left="1074" w:right="1273" w:firstLine="340"/>
        <w:jc w:val="both"/>
        <w:rPr>
          <w:sz w:val="20"/>
        </w:rPr>
      </w:pPr>
      <w:r>
        <w:rPr>
          <w:sz w:val="20"/>
        </w:rPr>
        <w:t>Contra las actuaciones mencionadas en el apartado 2 del presente artículo como susceptibles de ser impugnados mediante la reclamación en materia de contratación no procederá la interposición de recursos administrativos</w:t>
      </w:r>
      <w:r>
        <w:rPr>
          <w:spacing w:val="-11"/>
          <w:sz w:val="20"/>
        </w:rPr>
        <w:t> </w:t>
      </w:r>
      <w:r>
        <w:rPr>
          <w:sz w:val="20"/>
        </w:rPr>
        <w:t>ordinarios.</w:t>
      </w:r>
    </w:p>
    <w:p>
      <w:pPr>
        <w:pStyle w:val="ListParagraph"/>
        <w:numPr>
          <w:ilvl w:val="0"/>
          <w:numId w:val="207"/>
        </w:numPr>
        <w:tabs>
          <w:tab w:pos="1716" w:val="left" w:leader="none"/>
        </w:tabs>
        <w:spacing w:line="249" w:lineRule="auto" w:before="2" w:after="0"/>
        <w:ind w:left="1074" w:right="1272" w:firstLine="340"/>
        <w:jc w:val="both"/>
        <w:rPr>
          <w:sz w:val="20"/>
        </w:rPr>
      </w:pPr>
      <w:r>
        <w:rPr>
          <w:sz w:val="20"/>
        </w:rPr>
        <w:t>La interposición de la reclamación en materia de contratación tendrá carácter potestativo y será gratuita para los</w:t>
      </w:r>
      <w:r>
        <w:rPr>
          <w:spacing w:val="-6"/>
          <w:sz w:val="20"/>
        </w:rPr>
        <w:t> </w:t>
      </w:r>
      <w:r>
        <w:rPr>
          <w:sz w:val="20"/>
        </w:rPr>
        <w:t>recurrentes.</w:t>
      </w:r>
    </w:p>
    <w:p>
      <w:pPr>
        <w:pStyle w:val="BodyText"/>
        <w:spacing w:before="4"/>
        <w:ind w:left="0" w:firstLine="0"/>
        <w:jc w:val="left"/>
      </w:pPr>
    </w:p>
    <w:p>
      <w:pPr>
        <w:spacing w:before="0"/>
        <w:ind w:left="1074" w:right="0" w:firstLine="0"/>
        <w:jc w:val="both"/>
        <w:rPr>
          <w:i/>
          <w:sz w:val="20"/>
        </w:rPr>
      </w:pPr>
      <w:bookmarkStart w:name="Artículo 120. Órgano competente para la " w:id="195"/>
      <w:bookmarkEnd w:id="195"/>
      <w:r>
        <w:rPr/>
      </w:r>
      <w:r>
        <w:rPr>
          <w:b/>
          <w:sz w:val="20"/>
        </w:rPr>
        <w:t>Artículo 120. </w:t>
      </w:r>
      <w:r>
        <w:rPr>
          <w:i/>
          <w:sz w:val="20"/>
        </w:rPr>
        <w:t>Órgano competente para la resolución de la reclamación.</w:t>
      </w:r>
    </w:p>
    <w:p>
      <w:pPr>
        <w:pStyle w:val="ListParagraph"/>
        <w:numPr>
          <w:ilvl w:val="0"/>
          <w:numId w:val="209"/>
        </w:numPr>
        <w:tabs>
          <w:tab w:pos="1716" w:val="left" w:leader="none"/>
        </w:tabs>
        <w:spacing w:line="249" w:lineRule="auto" w:before="118" w:after="0"/>
        <w:ind w:left="1074" w:right="1273" w:firstLine="340"/>
        <w:jc w:val="both"/>
        <w:rPr>
          <w:sz w:val="20"/>
        </w:rPr>
      </w:pPr>
      <w:r>
        <w:rPr>
          <w:sz w:val="20"/>
        </w:rPr>
        <w:t>Los órganos de recursos contractuales regulados en la Ley 9/2017, de 8 de noviembre, serán los competentes en sus ámbitos respectivos y en relación con las entidades enumeradas en el artículo 5.1 de este real decreto-ley, así como a las que estén adscritas o vinculadas a ellas, o a las que hayan otorgado un derecho especial o exclusivo, para ejercer las siguientes competencias respecto de los contratos cuyos procedimientos de adjudicación se regulan en este real</w:t>
      </w:r>
      <w:r>
        <w:rPr>
          <w:spacing w:val="-6"/>
          <w:sz w:val="20"/>
        </w:rPr>
        <w:t> </w:t>
      </w:r>
      <w:r>
        <w:rPr>
          <w:sz w:val="20"/>
        </w:rPr>
        <w:t>decreto-ley:</w:t>
      </w:r>
    </w:p>
    <w:p>
      <w:pPr>
        <w:pStyle w:val="ListParagraph"/>
        <w:numPr>
          <w:ilvl w:val="0"/>
          <w:numId w:val="210"/>
        </w:numPr>
        <w:tabs>
          <w:tab w:pos="1664" w:val="left" w:leader="none"/>
        </w:tabs>
        <w:spacing w:line="249" w:lineRule="auto" w:before="125" w:after="0"/>
        <w:ind w:left="1074" w:right="1276" w:firstLine="340"/>
        <w:jc w:val="both"/>
        <w:rPr>
          <w:sz w:val="20"/>
        </w:rPr>
      </w:pPr>
      <w:r>
        <w:rPr>
          <w:sz w:val="20"/>
        </w:rPr>
        <w:t>Resolver las reclamaciones que se planteen por infracción de las normas contenidas en este real</w:t>
      </w:r>
      <w:r>
        <w:rPr>
          <w:spacing w:val="-3"/>
          <w:sz w:val="20"/>
        </w:rPr>
        <w:t> </w:t>
      </w:r>
      <w:r>
        <w:rPr>
          <w:sz w:val="20"/>
        </w:rPr>
        <w:t>decreto-ley.</w:t>
      </w:r>
    </w:p>
    <w:p>
      <w:pPr>
        <w:pStyle w:val="ListParagraph"/>
        <w:numPr>
          <w:ilvl w:val="0"/>
          <w:numId w:val="210"/>
        </w:numPr>
        <w:tabs>
          <w:tab w:pos="1675" w:val="left" w:leader="none"/>
        </w:tabs>
        <w:spacing w:line="249" w:lineRule="auto" w:before="1" w:after="0"/>
        <w:ind w:left="1074" w:right="1274" w:firstLine="340"/>
        <w:jc w:val="both"/>
        <w:rPr>
          <w:sz w:val="20"/>
        </w:rPr>
      </w:pPr>
      <w:r>
        <w:rPr>
          <w:sz w:val="20"/>
        </w:rPr>
        <w:t>Acordar las medidas cautelares de carácter provisional necesarias para asegurar la eficacia de la resolución que en su momento se</w:t>
      </w:r>
      <w:r>
        <w:rPr>
          <w:spacing w:val="-8"/>
          <w:sz w:val="20"/>
        </w:rPr>
        <w:t> </w:t>
      </w:r>
      <w:r>
        <w:rPr>
          <w:sz w:val="20"/>
        </w:rPr>
        <w:t>dicte.</w:t>
      </w:r>
    </w:p>
    <w:p>
      <w:pPr>
        <w:pStyle w:val="ListParagraph"/>
        <w:numPr>
          <w:ilvl w:val="0"/>
          <w:numId w:val="210"/>
        </w:numPr>
        <w:tabs>
          <w:tab w:pos="1679" w:val="left" w:leader="none"/>
        </w:tabs>
        <w:spacing w:line="249" w:lineRule="auto" w:before="2" w:after="0"/>
        <w:ind w:left="1074" w:right="1274" w:firstLine="340"/>
        <w:jc w:val="both"/>
        <w:rPr>
          <w:sz w:val="20"/>
        </w:rPr>
      </w:pPr>
      <w:r>
        <w:rPr>
          <w:sz w:val="20"/>
        </w:rPr>
        <w:t>Fijar las indemnizaciones que procedan, previa la correspondiente reclamación de daños y perjuicios, por infracción, asimismo, de las disposiciones contenidas en este real decreto-ley.</w:t>
      </w:r>
    </w:p>
    <w:p>
      <w:pPr>
        <w:pStyle w:val="ListParagraph"/>
        <w:numPr>
          <w:ilvl w:val="0"/>
          <w:numId w:val="209"/>
        </w:numPr>
        <w:tabs>
          <w:tab w:pos="1642" w:val="left" w:leader="none"/>
        </w:tabs>
        <w:spacing w:line="249" w:lineRule="auto" w:before="123" w:after="0"/>
        <w:ind w:left="1074" w:right="1273" w:firstLine="340"/>
        <w:jc w:val="both"/>
        <w:rPr>
          <w:sz w:val="20"/>
        </w:rPr>
      </w:pPr>
      <w:r>
        <w:rPr>
          <w:sz w:val="20"/>
        </w:rPr>
        <w:t>Si la entidad contratante fuera una asociación de las contempladas en el artículo 5.1 y hubiera varias Administraciones Públicas de referencia por la diferente adscripción o vinculación de sus miembros, o una sola entidad contratante se encontrara en el mismo supuesto, por operar en varios sectores de los incluidos en los artículos 8 a 14, la reclamación podrá ser presentada ante cualquiera de los órganos de recursos contractuales competentes mencionados en la Ley 9/2017, de 8 de noviembre, que vendrá obligado a resolver.</w:t>
      </w:r>
    </w:p>
    <w:p>
      <w:pPr>
        <w:pStyle w:val="ListParagraph"/>
        <w:numPr>
          <w:ilvl w:val="0"/>
          <w:numId w:val="209"/>
        </w:numPr>
        <w:tabs>
          <w:tab w:pos="1643" w:val="left" w:leader="none"/>
        </w:tabs>
        <w:spacing w:line="249" w:lineRule="auto" w:before="5" w:after="0"/>
        <w:ind w:left="1074" w:right="1273" w:firstLine="340"/>
        <w:jc w:val="both"/>
        <w:rPr>
          <w:sz w:val="20"/>
        </w:rPr>
      </w:pPr>
      <w:r>
        <w:rPr>
          <w:sz w:val="20"/>
        </w:rPr>
        <w:t>A los efectos del apartado 1, cuando la entidad contratante tenga relación con más de una Administración Pública, en razón de su adscripción o vinculación formal y del título administrativo que explota, la reclamación deberá presentarse ante el órgano independiente que tenga atribuida la competencia para resolver las reclamaciones en el ámbito de la Administración que haya otorgado el título</w:t>
      </w:r>
      <w:r>
        <w:rPr>
          <w:spacing w:val="-7"/>
          <w:sz w:val="20"/>
        </w:rPr>
        <w:t> </w:t>
      </w:r>
      <w:r>
        <w:rPr>
          <w:sz w:val="20"/>
        </w:rPr>
        <w:t>administrativo.</w:t>
      </w:r>
    </w:p>
    <w:p>
      <w:pPr>
        <w:pStyle w:val="BodyText"/>
        <w:spacing w:before="7"/>
        <w:ind w:left="0" w:firstLine="0"/>
        <w:jc w:val="left"/>
      </w:pPr>
    </w:p>
    <w:p>
      <w:pPr>
        <w:spacing w:before="0"/>
        <w:ind w:left="1074" w:right="0" w:firstLine="0"/>
        <w:jc w:val="both"/>
        <w:rPr>
          <w:i/>
          <w:sz w:val="20"/>
        </w:rPr>
      </w:pPr>
      <w:bookmarkStart w:name="Artículo 121. Régimen jurídico de la rec" w:id="196"/>
      <w:bookmarkEnd w:id="196"/>
      <w:r>
        <w:rPr/>
      </w:r>
      <w:r>
        <w:rPr>
          <w:b/>
          <w:sz w:val="20"/>
        </w:rPr>
        <w:t>Artículo 121. </w:t>
      </w:r>
      <w:r>
        <w:rPr>
          <w:i/>
          <w:sz w:val="20"/>
        </w:rPr>
        <w:t>Régimen jurídico de la reclamación.</w:t>
      </w:r>
    </w:p>
    <w:p>
      <w:pPr>
        <w:pStyle w:val="BodyText"/>
        <w:spacing w:line="249" w:lineRule="auto" w:before="118"/>
        <w:ind w:right="1274"/>
      </w:pPr>
      <w:r>
        <w:rPr/>
        <w:t>1. Serán de aplicación a las reclamaciones que se interpongan ante los órganos mencionados en el artículo anterior contra alguno de los actos a que se refiere el artículo 119 las disposiciones de la Ley 9/2017, de 8 de noviembre que regulan el recurso especial en</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firstLine="0"/>
      </w:pPr>
      <w:r>
        <w:rPr/>
        <w:t>materia de contratación, incluido el artículo 49 relativo a la adopción de medidas cautelares, con las siguientes especialidades:</w:t>
      </w:r>
    </w:p>
    <w:p>
      <w:pPr>
        <w:pStyle w:val="ListParagraph"/>
        <w:numPr>
          <w:ilvl w:val="0"/>
          <w:numId w:val="211"/>
        </w:numPr>
        <w:tabs>
          <w:tab w:pos="1689" w:val="left" w:leader="none"/>
        </w:tabs>
        <w:spacing w:line="249" w:lineRule="auto" w:before="121" w:after="0"/>
        <w:ind w:left="1074" w:right="1274" w:firstLine="340"/>
        <w:jc w:val="both"/>
        <w:rPr>
          <w:sz w:val="20"/>
        </w:rPr>
      </w:pPr>
      <w:r>
        <w:rPr>
          <w:sz w:val="20"/>
        </w:rPr>
        <w:t>Las referencias a los órganos de contratación deberán considerarse hechas a las entidades</w:t>
      </w:r>
      <w:r>
        <w:rPr>
          <w:spacing w:val="-2"/>
          <w:sz w:val="20"/>
        </w:rPr>
        <w:t> </w:t>
      </w:r>
      <w:r>
        <w:rPr>
          <w:sz w:val="20"/>
        </w:rPr>
        <w:t>contratantes.</w:t>
      </w:r>
    </w:p>
    <w:p>
      <w:pPr>
        <w:pStyle w:val="ListParagraph"/>
        <w:numPr>
          <w:ilvl w:val="0"/>
          <w:numId w:val="211"/>
        </w:numPr>
        <w:tabs>
          <w:tab w:pos="1739" w:val="left" w:leader="none"/>
        </w:tabs>
        <w:spacing w:line="249" w:lineRule="auto" w:before="2" w:after="0"/>
        <w:ind w:left="1074" w:right="1273" w:firstLine="340"/>
        <w:jc w:val="both"/>
        <w:rPr>
          <w:sz w:val="20"/>
        </w:rPr>
      </w:pPr>
      <w:r>
        <w:rPr>
          <w:sz w:val="20"/>
        </w:rPr>
        <w:t>Cuando la reclamación se interponga contra el contenido de los pliegos de condiciones y demás documentos contractuales, el cómputo del plazo se iniciará a partir del día siguiente a aquel en que se haya publicado en el perfil de contratante el anuncio que sirva como medio de convocatoria de la licitación, o a partir de la fecha de envío de la invitación a confirmar el interés en el caso de que el medio de convocatoria hubiera sido un anuncio sobre la existencia de un sistema de clasificación, siempre que en estos se haya indicado la forma en que los interesados pueden acceder a los pliegos de condiciones y demás documentos contractuales. Cuando no se hiciera esa indicación el plazo comenzará a contar a partir del día siguiente a aquel en que se le hayan entregado al interesado los mismos o este haya podido acceder a su contenido a través del perfil de contratante. El plazo para la interposición de la reclamación tendrá una duración igual a la del plazo concedido para presentar las</w:t>
      </w:r>
      <w:r>
        <w:rPr>
          <w:spacing w:val="-5"/>
          <w:sz w:val="20"/>
        </w:rPr>
        <w:t> </w:t>
      </w:r>
      <w:r>
        <w:rPr>
          <w:sz w:val="20"/>
        </w:rPr>
        <w:t>proposiciones.</w:t>
      </w:r>
    </w:p>
    <w:p>
      <w:pPr>
        <w:pStyle w:val="BodyText"/>
        <w:spacing w:line="249" w:lineRule="auto" w:before="10"/>
        <w:ind w:right="1276"/>
      </w:pPr>
      <w:r>
        <w:rPr/>
        <w:t>En el caso del procedimiento negociado sin publicidad, el cómputo del plazo comenzará desde el día siguiente al de remisión de la invitación a los candidatos seleccionados.</w:t>
      </w:r>
    </w:p>
    <w:p>
      <w:pPr>
        <w:pStyle w:val="BodyText"/>
        <w:spacing w:line="249" w:lineRule="auto" w:before="1"/>
        <w:ind w:right="1274"/>
      </w:pPr>
      <w:r>
        <w:rPr/>
        <w:t>En los supuestos en que, de conformidad con lo establecido en el artículo 43.2, los pliegos de condiciones no pudieran ser puestos a disposición por medios electrónicos, el plazo se computará a partir del día siguiente a aquel en que se le hubieran entregado al recurrente.</w:t>
      </w:r>
    </w:p>
    <w:p>
      <w:pPr>
        <w:pStyle w:val="BodyText"/>
        <w:spacing w:line="249" w:lineRule="auto" w:before="4"/>
        <w:ind w:right="1274"/>
      </w:pPr>
      <w:r>
        <w:rPr/>
        <w:t>Con carácter general no se admitirá la reclamación contra los pliegos de condiciones y documentos contractuales que hayan de regir una contratación si el recurrente, con carácter previo a su interposición, hubiere presentado oferta o solicitud de participación en la licitación correspondiente, sin perjuicio de lo previsto para los supuestos de nulidad de pleno derecho.</w:t>
      </w:r>
    </w:p>
    <w:p>
      <w:pPr>
        <w:pStyle w:val="ListParagraph"/>
        <w:numPr>
          <w:ilvl w:val="0"/>
          <w:numId w:val="211"/>
        </w:numPr>
        <w:tabs>
          <w:tab w:pos="1652" w:val="left" w:leader="none"/>
        </w:tabs>
        <w:spacing w:line="249" w:lineRule="auto" w:before="3" w:after="0"/>
        <w:ind w:left="1074" w:right="1273" w:firstLine="340"/>
        <w:jc w:val="both"/>
        <w:rPr>
          <w:sz w:val="20"/>
        </w:rPr>
      </w:pPr>
      <w:r>
        <w:rPr>
          <w:sz w:val="20"/>
        </w:rPr>
        <w:t>Cuando la reclamación se interponga en relación con alguna modificación basada en el incumplimiento de lo establecido en los artículos 110 y 111 del presente real decreto-ley, por entender que la modificación debió ser objeto de una nueva adjudicación, desde el día siguiente a aquel en que se haya publicado en el perfil de</w:t>
      </w:r>
      <w:r>
        <w:rPr>
          <w:spacing w:val="-17"/>
          <w:sz w:val="20"/>
        </w:rPr>
        <w:t> </w:t>
      </w:r>
      <w:r>
        <w:rPr>
          <w:sz w:val="20"/>
        </w:rPr>
        <w:t>contratante.</w:t>
      </w:r>
    </w:p>
    <w:p>
      <w:pPr>
        <w:pStyle w:val="ListParagraph"/>
        <w:numPr>
          <w:ilvl w:val="0"/>
          <w:numId w:val="211"/>
        </w:numPr>
        <w:tabs>
          <w:tab w:pos="1668" w:val="left" w:leader="none"/>
        </w:tabs>
        <w:spacing w:line="249" w:lineRule="auto" w:before="3" w:after="0"/>
        <w:ind w:left="1074" w:right="1272" w:firstLine="340"/>
        <w:jc w:val="both"/>
        <w:rPr>
          <w:sz w:val="20"/>
        </w:rPr>
      </w:pPr>
      <w:r>
        <w:rPr>
          <w:sz w:val="20"/>
        </w:rPr>
        <w:t>Cuando la reclamación se funde en alguna de las causas de nulidad previstas en el artículo 115.2, letras b), c), d) y e), el plazo de interposición será el</w:t>
      </w:r>
      <w:r>
        <w:rPr>
          <w:spacing w:val="-25"/>
          <w:sz w:val="20"/>
        </w:rPr>
        <w:t> </w:t>
      </w:r>
      <w:r>
        <w:rPr>
          <w:sz w:val="20"/>
        </w:rPr>
        <w:t>siguiente:</w:t>
      </w:r>
    </w:p>
    <w:p>
      <w:pPr>
        <w:pStyle w:val="ListParagraph"/>
        <w:numPr>
          <w:ilvl w:val="0"/>
          <w:numId w:val="212"/>
        </w:numPr>
        <w:tabs>
          <w:tab w:pos="1582" w:val="left" w:leader="none"/>
        </w:tabs>
        <w:spacing w:line="249" w:lineRule="auto" w:before="122" w:after="0"/>
        <w:ind w:left="1074" w:right="1271" w:firstLine="340"/>
        <w:jc w:val="both"/>
        <w:rPr>
          <w:sz w:val="20"/>
        </w:rPr>
      </w:pPr>
      <w:r>
        <w:rPr>
          <w:sz w:val="20"/>
        </w:rPr>
        <w:t>º Treinta días a contar desde la publicación de la formalización del contrato en la forma prevista en este real decreto-ley, incluyendo las razones justificativas por las que no se ha publicado en forma legal la convocatoria de la licitación o desde la notificación a los candidatos o licitadores afectados, de los motivos del rechazo de su candidatura o de su proposición y de las características de la proposición del adjudicatario que fueron determinantes de la adjudicación a su</w:t>
      </w:r>
      <w:r>
        <w:rPr>
          <w:spacing w:val="-7"/>
          <w:sz w:val="20"/>
        </w:rPr>
        <w:t> </w:t>
      </w:r>
      <w:r>
        <w:rPr>
          <w:sz w:val="20"/>
        </w:rPr>
        <w:t>favor.</w:t>
      </w:r>
    </w:p>
    <w:p>
      <w:pPr>
        <w:pStyle w:val="ListParagraph"/>
        <w:numPr>
          <w:ilvl w:val="0"/>
          <w:numId w:val="212"/>
        </w:numPr>
        <w:tabs>
          <w:tab w:pos="1583" w:val="left" w:leader="none"/>
        </w:tabs>
        <w:spacing w:line="249" w:lineRule="auto" w:before="5" w:after="0"/>
        <w:ind w:left="1074" w:right="1273" w:firstLine="340"/>
        <w:jc w:val="both"/>
        <w:rPr>
          <w:sz w:val="20"/>
        </w:rPr>
      </w:pPr>
      <w:r>
        <w:rPr>
          <w:sz w:val="20"/>
        </w:rPr>
        <w:t>º En cualquier caso, antes de que transcurran seis meses a contar desde el día siguiente al de formalización del</w:t>
      </w:r>
      <w:r>
        <w:rPr>
          <w:spacing w:val="-4"/>
          <w:sz w:val="20"/>
        </w:rPr>
        <w:t> </w:t>
      </w:r>
      <w:r>
        <w:rPr>
          <w:sz w:val="20"/>
        </w:rPr>
        <w:t>contrato.</w:t>
      </w:r>
    </w:p>
    <w:p>
      <w:pPr>
        <w:pStyle w:val="ListParagraph"/>
        <w:numPr>
          <w:ilvl w:val="0"/>
          <w:numId w:val="211"/>
        </w:numPr>
        <w:tabs>
          <w:tab w:pos="1691" w:val="left" w:leader="none"/>
        </w:tabs>
        <w:spacing w:line="249" w:lineRule="auto" w:before="121" w:after="0"/>
        <w:ind w:left="1074" w:right="1274" w:firstLine="340"/>
        <w:jc w:val="both"/>
        <w:rPr>
          <w:sz w:val="20"/>
        </w:rPr>
      </w:pPr>
      <w:r>
        <w:rPr>
          <w:sz w:val="20"/>
        </w:rPr>
        <w:t>No será válida la interposición de la reclamación ante el registro o cualquier otra dependencia de la entidad</w:t>
      </w:r>
      <w:r>
        <w:rPr>
          <w:spacing w:val="-5"/>
          <w:sz w:val="20"/>
        </w:rPr>
        <w:t> </w:t>
      </w:r>
      <w:r>
        <w:rPr>
          <w:sz w:val="20"/>
        </w:rPr>
        <w:t>contratante.</w:t>
      </w:r>
    </w:p>
    <w:p>
      <w:pPr>
        <w:pStyle w:val="BodyText"/>
        <w:spacing w:line="249" w:lineRule="auto" w:before="122"/>
        <w:ind w:right="1274"/>
      </w:pPr>
      <w:r>
        <w:rPr/>
        <w:t>2. A los efectos de la interposición de la reclamación que se regula en estos artículos, los actos a que se refiere el artículo 119 se asimilarán a los actos administrativos.</w:t>
      </w:r>
    </w:p>
    <w:p>
      <w:pPr>
        <w:pStyle w:val="BodyText"/>
        <w:spacing w:before="4"/>
        <w:ind w:left="0" w:firstLine="0"/>
        <w:jc w:val="left"/>
      </w:pPr>
    </w:p>
    <w:p>
      <w:pPr>
        <w:spacing w:before="0"/>
        <w:ind w:left="1074" w:right="0" w:firstLine="0"/>
        <w:jc w:val="both"/>
        <w:rPr>
          <w:i/>
          <w:sz w:val="20"/>
        </w:rPr>
      </w:pPr>
      <w:bookmarkStart w:name="Artículo 122. Efectos de la resolución d" w:id="197"/>
      <w:bookmarkEnd w:id="197"/>
      <w:r>
        <w:rPr/>
      </w:r>
      <w:r>
        <w:rPr>
          <w:b/>
          <w:sz w:val="20"/>
        </w:rPr>
        <w:t>Artículo 122. </w:t>
      </w:r>
      <w:r>
        <w:rPr>
          <w:i/>
          <w:sz w:val="20"/>
        </w:rPr>
        <w:t>Efectos de la resolución de la reclamación en materia de contratación.</w:t>
      </w:r>
    </w:p>
    <w:p>
      <w:pPr>
        <w:pStyle w:val="ListParagraph"/>
        <w:numPr>
          <w:ilvl w:val="0"/>
          <w:numId w:val="213"/>
        </w:numPr>
        <w:tabs>
          <w:tab w:pos="1684" w:val="left" w:leader="none"/>
        </w:tabs>
        <w:spacing w:line="249" w:lineRule="auto" w:before="118" w:after="0"/>
        <w:ind w:left="1074" w:right="1274" w:firstLine="340"/>
        <w:jc w:val="both"/>
        <w:rPr>
          <w:sz w:val="20"/>
        </w:rPr>
      </w:pPr>
      <w:r>
        <w:rPr>
          <w:sz w:val="20"/>
        </w:rPr>
        <w:t>Contra la resolución dictada en este procedimiento solo cabrá la interposición de recurso contencioso-administrativo conforme a lo dispuesto en el artículo 10.1, letras k) y l) y en el artículo 11.1.f), de la Ley 29/1998, de 13 de julio, reguladora de la Jurisdicción Contencioso-Administrativa.</w:t>
      </w:r>
    </w:p>
    <w:p>
      <w:pPr>
        <w:pStyle w:val="ListParagraph"/>
        <w:numPr>
          <w:ilvl w:val="0"/>
          <w:numId w:val="213"/>
        </w:numPr>
        <w:tabs>
          <w:tab w:pos="1657" w:val="left" w:leader="none"/>
        </w:tabs>
        <w:spacing w:line="249" w:lineRule="auto" w:before="3" w:after="0"/>
        <w:ind w:left="1074" w:right="1276" w:firstLine="340"/>
        <w:jc w:val="both"/>
        <w:rPr>
          <w:sz w:val="20"/>
        </w:rPr>
      </w:pPr>
      <w:r>
        <w:rPr>
          <w:sz w:val="20"/>
        </w:rPr>
        <w:t>Sin perjuicio de lo dispuesto en el apartado anterior, la resolución será directamente ejecutiva.</w:t>
      </w:r>
    </w:p>
    <w:p>
      <w:pPr>
        <w:pStyle w:val="ListParagraph"/>
        <w:numPr>
          <w:ilvl w:val="0"/>
          <w:numId w:val="213"/>
        </w:numPr>
        <w:tabs>
          <w:tab w:pos="1644" w:val="left" w:leader="none"/>
        </w:tabs>
        <w:spacing w:line="249" w:lineRule="auto" w:before="2" w:after="0"/>
        <w:ind w:left="1074" w:right="1273" w:firstLine="340"/>
        <w:jc w:val="both"/>
        <w:rPr>
          <w:sz w:val="20"/>
        </w:rPr>
      </w:pPr>
      <w:r>
        <w:rPr>
          <w:sz w:val="20"/>
        </w:rPr>
        <w:t>No procederá la revisión de oficio de la resolución ni de ninguno de los actos dictados por los órganos competentes para la resolución de la reclamación. Tampoco estarán</w:t>
      </w:r>
      <w:r>
        <w:rPr>
          <w:spacing w:val="55"/>
          <w:sz w:val="20"/>
        </w:rPr>
        <w:t> </w:t>
      </w:r>
      <w:r>
        <w:rPr>
          <w:sz w:val="20"/>
        </w:rPr>
        <w:t>sujetos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hanging="1"/>
      </w:pPr>
      <w:r>
        <w:rPr/>
        <w:t>a fiscalización por los órganos de control interno de las Administraciones a que cada uno de ellos se encuentre adscrito.</w:t>
      </w:r>
    </w:p>
    <w:p>
      <w:pPr>
        <w:pStyle w:val="BodyText"/>
        <w:spacing w:line="249" w:lineRule="auto" w:before="1"/>
        <w:ind w:right="1272"/>
      </w:pPr>
      <w:r>
        <w:rPr/>
        <w:t>Los órganos competentes para la resolución de la reclamación podrán rectificar en cualquier momento, de oficio o a instancia de los interesados, los errores materiales, de hecho o aritméticos existentes en sus actos, incluida la resolución de la reclamación.</w:t>
      </w:r>
    </w:p>
    <w:p>
      <w:pPr>
        <w:pStyle w:val="BodyText"/>
        <w:spacing w:before="4"/>
        <w:ind w:left="0" w:firstLine="0"/>
        <w:jc w:val="left"/>
        <w:rPr>
          <w:sz w:val="30"/>
        </w:rPr>
      </w:pPr>
    </w:p>
    <w:p>
      <w:pPr>
        <w:pStyle w:val="BodyText"/>
        <w:spacing w:before="0"/>
        <w:ind w:left="2929" w:right="3127" w:firstLine="0"/>
        <w:jc w:val="center"/>
      </w:pPr>
      <w:bookmarkStart w:name="CAPÍTULO III. Solución extrajudicial de " w:id="198"/>
      <w:bookmarkEnd w:id="198"/>
      <w:r>
        <w:rPr/>
      </w:r>
      <w:bookmarkStart w:name="_bookmark37" w:id="199"/>
      <w:bookmarkEnd w:id="199"/>
      <w:r>
        <w:rPr/>
      </w:r>
      <w:r>
        <w:rPr/>
        <w:t>CAPÍTULO III</w:t>
      </w:r>
    </w:p>
    <w:p>
      <w:pPr>
        <w:pStyle w:val="Heading1"/>
        <w:ind w:left="2929"/>
      </w:pPr>
      <w:r>
        <w:rPr/>
        <w:t>Solución extrajudicial de conflictos</w:t>
      </w:r>
    </w:p>
    <w:p>
      <w:pPr>
        <w:pStyle w:val="BodyText"/>
        <w:spacing w:before="7"/>
        <w:ind w:left="0" w:firstLine="0"/>
        <w:jc w:val="left"/>
        <w:rPr>
          <w:b/>
        </w:rPr>
      </w:pPr>
    </w:p>
    <w:p>
      <w:pPr>
        <w:spacing w:before="0"/>
        <w:ind w:left="1074" w:right="0" w:firstLine="0"/>
        <w:jc w:val="both"/>
        <w:rPr>
          <w:i/>
          <w:sz w:val="20"/>
        </w:rPr>
      </w:pPr>
      <w:bookmarkStart w:name="Artículo 123. Arbitraje." w:id="200"/>
      <w:bookmarkEnd w:id="200"/>
      <w:r>
        <w:rPr/>
      </w:r>
      <w:r>
        <w:rPr>
          <w:b/>
          <w:sz w:val="20"/>
        </w:rPr>
        <w:t>Artículo 123.</w:t>
      </w:r>
      <w:r>
        <w:rPr>
          <w:b/>
          <w:spacing w:val="54"/>
          <w:sz w:val="20"/>
        </w:rPr>
        <w:t> </w:t>
      </w:r>
      <w:r>
        <w:rPr>
          <w:i/>
          <w:sz w:val="20"/>
        </w:rPr>
        <w:t>Arbitraje.</w:t>
      </w:r>
    </w:p>
    <w:p>
      <w:pPr>
        <w:pStyle w:val="ListParagraph"/>
        <w:numPr>
          <w:ilvl w:val="0"/>
          <w:numId w:val="214"/>
        </w:numPr>
        <w:tabs>
          <w:tab w:pos="1662" w:val="left" w:leader="none"/>
        </w:tabs>
        <w:spacing w:line="249" w:lineRule="auto" w:before="118" w:after="0"/>
        <w:ind w:left="1074" w:right="1273" w:firstLine="340"/>
        <w:jc w:val="both"/>
        <w:rPr>
          <w:sz w:val="20"/>
        </w:rPr>
      </w:pPr>
      <w:r>
        <w:rPr>
          <w:sz w:val="20"/>
        </w:rPr>
        <w:t>Las entidades contratantes podrán remitir a un arbitraje en derecho, conforme a las disposiciones de la Ley 60/2003, de 23 de diciembre, de Arbitraje, la solución de las diferencias que puedan surgir sobre los efectos, cumplimiento y extinción de los contratos que celebren, independientemente de la cuantía de los</w:t>
      </w:r>
      <w:r>
        <w:rPr>
          <w:spacing w:val="-10"/>
          <w:sz w:val="20"/>
        </w:rPr>
        <w:t> </w:t>
      </w:r>
      <w:r>
        <w:rPr>
          <w:sz w:val="20"/>
        </w:rPr>
        <w:t>mismos.</w:t>
      </w:r>
    </w:p>
    <w:p>
      <w:pPr>
        <w:pStyle w:val="ListParagraph"/>
        <w:numPr>
          <w:ilvl w:val="0"/>
          <w:numId w:val="214"/>
        </w:numPr>
        <w:tabs>
          <w:tab w:pos="1653" w:val="left" w:leader="none"/>
        </w:tabs>
        <w:spacing w:line="249" w:lineRule="auto" w:before="3" w:after="0"/>
        <w:ind w:left="1074" w:right="1272" w:firstLine="340"/>
        <w:jc w:val="both"/>
        <w:rPr>
          <w:sz w:val="20"/>
        </w:rPr>
      </w:pPr>
      <w:r>
        <w:rPr>
          <w:sz w:val="20"/>
        </w:rPr>
        <w:t>Los pliegos de condiciones determinarán la composición del órgano colegiado al que se remita la resolución de la controversia, garantizando que al menos uno de los miembros sea propuesto por el</w:t>
      </w:r>
      <w:r>
        <w:rPr>
          <w:spacing w:val="-4"/>
          <w:sz w:val="20"/>
        </w:rPr>
        <w:t> </w:t>
      </w:r>
      <w:r>
        <w:rPr>
          <w:sz w:val="20"/>
        </w:rPr>
        <w:t>contratista.</w:t>
      </w:r>
    </w:p>
    <w:p>
      <w:pPr>
        <w:pStyle w:val="ListParagraph"/>
        <w:numPr>
          <w:ilvl w:val="0"/>
          <w:numId w:val="214"/>
        </w:numPr>
        <w:tabs>
          <w:tab w:pos="1665" w:val="left" w:leader="none"/>
        </w:tabs>
        <w:spacing w:line="249" w:lineRule="auto" w:before="2" w:after="0"/>
        <w:ind w:left="1074" w:right="1272" w:firstLine="340"/>
        <w:jc w:val="both"/>
        <w:rPr>
          <w:sz w:val="20"/>
        </w:rPr>
      </w:pPr>
      <w:r>
        <w:rPr>
          <w:sz w:val="20"/>
        </w:rPr>
        <w:t>Cuando el pliego no señale la composición del órgano arbitral, y no exista acuerdo sobre la misma entre la entidad contratante y el contratista, la competencia para resolver el arbitraje corresponderá al órgano competente para la resolución de la reclamación en materia de contratación a que se refiere el artículo</w:t>
      </w:r>
      <w:r>
        <w:rPr>
          <w:spacing w:val="-7"/>
          <w:sz w:val="20"/>
        </w:rPr>
        <w:t> </w:t>
      </w:r>
      <w:r>
        <w:rPr>
          <w:sz w:val="20"/>
        </w:rPr>
        <w:t>119.</w:t>
      </w:r>
    </w:p>
    <w:p>
      <w:pPr>
        <w:pStyle w:val="BodyText"/>
        <w:spacing w:before="0"/>
        <w:ind w:left="0" w:firstLine="0"/>
        <w:jc w:val="left"/>
        <w:rPr>
          <w:sz w:val="26"/>
        </w:rPr>
      </w:pPr>
    </w:p>
    <w:p>
      <w:pPr>
        <w:pStyle w:val="BodyText"/>
        <w:spacing w:before="164"/>
        <w:ind w:left="2930" w:right="3127" w:firstLine="0"/>
        <w:jc w:val="center"/>
      </w:pPr>
      <w:bookmarkStart w:name="TÍTULO VIII. Organización administrativa" w:id="201"/>
      <w:bookmarkEnd w:id="201"/>
      <w:r>
        <w:rPr/>
      </w:r>
      <w:bookmarkStart w:name="_bookmark38" w:id="202"/>
      <w:bookmarkEnd w:id="202"/>
      <w:r>
        <w:rPr/>
      </w:r>
      <w:r>
        <w:rPr/>
        <w:t>TÍTULO VIII</w:t>
      </w:r>
    </w:p>
    <w:p>
      <w:pPr>
        <w:pStyle w:val="Heading1"/>
        <w:ind w:right="1610"/>
      </w:pPr>
      <w:r>
        <w:rPr/>
        <w:t>Organización administrativa y obligaciones de gobernanza</w:t>
      </w:r>
    </w:p>
    <w:p>
      <w:pPr>
        <w:pStyle w:val="BodyText"/>
        <w:spacing w:before="5"/>
        <w:ind w:left="0" w:firstLine="0"/>
        <w:jc w:val="left"/>
        <w:rPr>
          <w:b/>
          <w:sz w:val="30"/>
        </w:rPr>
      </w:pPr>
    </w:p>
    <w:p>
      <w:pPr>
        <w:spacing w:before="1"/>
        <w:ind w:left="1074" w:right="0" w:firstLine="0"/>
        <w:jc w:val="both"/>
        <w:rPr>
          <w:i/>
          <w:sz w:val="20"/>
        </w:rPr>
      </w:pPr>
      <w:bookmarkStart w:name="Artículo 124. Información sobre los cont" w:id="203"/>
      <w:bookmarkEnd w:id="203"/>
      <w:r>
        <w:rPr/>
      </w:r>
      <w:r>
        <w:rPr>
          <w:b/>
          <w:sz w:val="20"/>
        </w:rPr>
        <w:t>Artículo 124. </w:t>
      </w:r>
      <w:r>
        <w:rPr>
          <w:i/>
          <w:sz w:val="20"/>
        </w:rPr>
        <w:t>Información sobre los contratos.</w:t>
      </w:r>
    </w:p>
    <w:p>
      <w:pPr>
        <w:pStyle w:val="ListParagraph"/>
        <w:numPr>
          <w:ilvl w:val="0"/>
          <w:numId w:val="215"/>
        </w:numPr>
        <w:tabs>
          <w:tab w:pos="1695" w:val="left" w:leader="none"/>
        </w:tabs>
        <w:spacing w:line="249" w:lineRule="auto" w:before="117" w:after="0"/>
        <w:ind w:left="1074" w:right="1273" w:firstLine="340"/>
        <w:jc w:val="both"/>
        <w:rPr>
          <w:sz w:val="20"/>
        </w:rPr>
      </w:pPr>
      <w:r>
        <w:rPr>
          <w:sz w:val="20"/>
        </w:rPr>
        <w:t>Las entidades contratantes deberán conservar información adecuada sobre cada contrato o acuerdo marco regulado por el presente real decreto-ley, y cada vez que apliquen un sistema dinámico de adquisición. Esta información deberá ser suficiente para permitirles justificar posteriormente en un informe escrito las decisiones adoptadas en relación</w:t>
      </w:r>
      <w:r>
        <w:rPr>
          <w:spacing w:val="-40"/>
          <w:sz w:val="20"/>
        </w:rPr>
        <w:t> </w:t>
      </w:r>
      <w:r>
        <w:rPr>
          <w:sz w:val="20"/>
        </w:rPr>
        <w:t>con:</w:t>
      </w:r>
    </w:p>
    <w:p>
      <w:pPr>
        <w:pStyle w:val="ListParagraph"/>
        <w:numPr>
          <w:ilvl w:val="0"/>
          <w:numId w:val="216"/>
        </w:numPr>
        <w:tabs>
          <w:tab w:pos="1662" w:val="left" w:leader="none"/>
        </w:tabs>
        <w:spacing w:line="249" w:lineRule="auto" w:before="123" w:after="0"/>
        <w:ind w:left="1074" w:right="1275" w:firstLine="340"/>
        <w:jc w:val="left"/>
        <w:rPr>
          <w:sz w:val="20"/>
        </w:rPr>
      </w:pPr>
      <w:r>
        <w:rPr>
          <w:sz w:val="20"/>
        </w:rPr>
        <w:t>La clasificación y la selección de los operadores económicos y la adjudicación de los contratos,</w:t>
      </w:r>
    </w:p>
    <w:p>
      <w:pPr>
        <w:pStyle w:val="ListParagraph"/>
        <w:numPr>
          <w:ilvl w:val="0"/>
          <w:numId w:val="216"/>
        </w:numPr>
        <w:tabs>
          <w:tab w:pos="1654" w:val="left" w:leader="none"/>
        </w:tabs>
        <w:spacing w:line="249" w:lineRule="auto" w:before="2" w:after="0"/>
        <w:ind w:left="1074" w:right="1277" w:firstLine="340"/>
        <w:jc w:val="left"/>
        <w:rPr>
          <w:sz w:val="20"/>
        </w:rPr>
      </w:pPr>
      <w:r>
        <w:rPr>
          <w:sz w:val="20"/>
        </w:rPr>
        <w:t>la utilización de procedimientos negociados sin publicidad en virtud de lo dispuesto en la presente real</w:t>
      </w:r>
      <w:r>
        <w:rPr>
          <w:spacing w:val="-3"/>
          <w:sz w:val="20"/>
        </w:rPr>
        <w:t> </w:t>
      </w:r>
      <w:r>
        <w:rPr>
          <w:sz w:val="20"/>
        </w:rPr>
        <w:t>decreto-ley,</w:t>
      </w:r>
    </w:p>
    <w:p>
      <w:pPr>
        <w:pStyle w:val="ListParagraph"/>
        <w:numPr>
          <w:ilvl w:val="0"/>
          <w:numId w:val="216"/>
        </w:numPr>
        <w:tabs>
          <w:tab w:pos="1659" w:val="left" w:leader="none"/>
        </w:tabs>
        <w:spacing w:line="249" w:lineRule="auto" w:before="2" w:after="0"/>
        <w:ind w:left="1074" w:right="1275" w:firstLine="340"/>
        <w:jc w:val="left"/>
        <w:rPr>
          <w:sz w:val="20"/>
        </w:rPr>
      </w:pPr>
      <w:r>
        <w:rPr>
          <w:sz w:val="20"/>
        </w:rPr>
        <w:t>la no aplicación de este real decreto-ley en virtud de las exclusiones previstas en el mismo,</w:t>
      </w:r>
    </w:p>
    <w:p>
      <w:pPr>
        <w:pStyle w:val="ListParagraph"/>
        <w:numPr>
          <w:ilvl w:val="0"/>
          <w:numId w:val="216"/>
        </w:numPr>
        <w:tabs>
          <w:tab w:pos="1672" w:val="left" w:leader="none"/>
        </w:tabs>
        <w:spacing w:line="249" w:lineRule="auto" w:before="1" w:after="0"/>
        <w:ind w:left="1074" w:right="1274" w:firstLine="340"/>
        <w:jc w:val="left"/>
        <w:rPr>
          <w:sz w:val="20"/>
        </w:rPr>
      </w:pPr>
      <w:r>
        <w:rPr>
          <w:sz w:val="20"/>
        </w:rPr>
        <w:t>en su caso, las razones por las que se han utilizado otros medios de comunicación distintos de los</w:t>
      </w:r>
      <w:r>
        <w:rPr>
          <w:spacing w:val="-4"/>
          <w:sz w:val="20"/>
        </w:rPr>
        <w:t> </w:t>
      </w:r>
      <w:r>
        <w:rPr>
          <w:sz w:val="20"/>
        </w:rPr>
        <w:t>electrónicos.</w:t>
      </w:r>
    </w:p>
    <w:p>
      <w:pPr>
        <w:pStyle w:val="ListParagraph"/>
        <w:numPr>
          <w:ilvl w:val="0"/>
          <w:numId w:val="216"/>
        </w:numPr>
        <w:tabs>
          <w:tab w:pos="1648" w:val="left" w:leader="none"/>
        </w:tabs>
        <w:spacing w:line="240" w:lineRule="auto" w:before="2" w:after="0"/>
        <w:ind w:left="1647" w:right="0" w:hanging="234"/>
        <w:jc w:val="left"/>
        <w:rPr>
          <w:sz w:val="20"/>
        </w:rPr>
      </w:pPr>
      <w:r>
        <w:rPr>
          <w:sz w:val="20"/>
        </w:rPr>
        <w:t>en su caso, las medidas adoptadas en aplicación de lo dispuesto en el artículo</w:t>
      </w:r>
      <w:r>
        <w:rPr>
          <w:spacing w:val="-25"/>
          <w:sz w:val="20"/>
        </w:rPr>
        <w:t> </w:t>
      </w:r>
      <w:r>
        <w:rPr>
          <w:sz w:val="20"/>
        </w:rPr>
        <w:t>62.</w:t>
      </w:r>
    </w:p>
    <w:p>
      <w:pPr>
        <w:pStyle w:val="BodyText"/>
        <w:spacing w:line="249" w:lineRule="auto" w:before="130"/>
        <w:ind w:right="1274"/>
      </w:pPr>
      <w:r>
        <w:rPr/>
        <w:t>En la medida en que el anuncio que sirva de convocatoria de licitación, y elaborado con arreglo a lo dispuesto en el presente real decreto-ley, contenga la información requerida en el presente apartado, las entidades contratantes podrán hacer referencia a dicho</w:t>
      </w:r>
      <w:r>
        <w:rPr>
          <w:spacing w:val="-39"/>
        </w:rPr>
        <w:t> </w:t>
      </w:r>
      <w:r>
        <w:rPr/>
        <w:t>anuncio.</w:t>
      </w:r>
    </w:p>
    <w:p>
      <w:pPr>
        <w:pStyle w:val="ListParagraph"/>
        <w:numPr>
          <w:ilvl w:val="0"/>
          <w:numId w:val="215"/>
        </w:numPr>
        <w:tabs>
          <w:tab w:pos="1638" w:val="left" w:leader="none"/>
        </w:tabs>
        <w:spacing w:line="249" w:lineRule="auto" w:before="2" w:after="0"/>
        <w:ind w:left="1074" w:right="1273" w:firstLine="340"/>
        <w:jc w:val="both"/>
        <w:rPr>
          <w:sz w:val="20"/>
        </w:rPr>
      </w:pPr>
      <w:r>
        <w:rPr>
          <w:sz w:val="20"/>
        </w:rPr>
        <w:t>Las entidades contratantes documentarán el desarrollo de todos los procedimientos de contratación, ya se realicen o no por medios electrónicos. Con este fin, se asegurarán de  que conservan suficiente documentación para justificar las decisiones adoptadas en todas las etapas del procedimiento de contratación, tales como: la documentación relativa a las comunicaciones con los operadores económicos y las deliberaciones internas, el informe a que se refiere el artículo 41.3, la delimitación del objeto del contrato según lo establecido en el artículo 42, el motivo que justifica la elección del procedimiento de contratación, la preparación de los pliegos de condiciones, en su caso el diálogo o la negociación, la selección y la adjudicación del contrato o, en su caso, la causa que motiva la decisión de no adjudicar</w:t>
      </w:r>
      <w:r>
        <w:rPr>
          <w:spacing w:val="13"/>
          <w:sz w:val="20"/>
        </w:rPr>
        <w:t> </w:t>
      </w:r>
      <w:r>
        <w:rPr>
          <w:sz w:val="20"/>
        </w:rPr>
        <w:t>o</w:t>
      </w:r>
      <w:r>
        <w:rPr>
          <w:spacing w:val="13"/>
          <w:sz w:val="20"/>
        </w:rPr>
        <w:t> </w:t>
      </w:r>
      <w:r>
        <w:rPr>
          <w:sz w:val="20"/>
        </w:rPr>
        <w:t>celebrar</w:t>
      </w:r>
      <w:r>
        <w:rPr>
          <w:spacing w:val="13"/>
          <w:sz w:val="20"/>
        </w:rPr>
        <w:t> </w:t>
      </w:r>
      <w:r>
        <w:rPr>
          <w:sz w:val="20"/>
        </w:rPr>
        <w:t>el</w:t>
      </w:r>
      <w:r>
        <w:rPr>
          <w:spacing w:val="14"/>
          <w:sz w:val="20"/>
        </w:rPr>
        <w:t> </w:t>
      </w:r>
      <w:r>
        <w:rPr>
          <w:sz w:val="20"/>
        </w:rPr>
        <w:t>contrato</w:t>
      </w:r>
      <w:r>
        <w:rPr>
          <w:spacing w:val="13"/>
          <w:sz w:val="20"/>
        </w:rPr>
        <w:t> </w:t>
      </w:r>
      <w:r>
        <w:rPr>
          <w:sz w:val="20"/>
        </w:rPr>
        <w:t>o</w:t>
      </w:r>
      <w:r>
        <w:rPr>
          <w:spacing w:val="13"/>
          <w:sz w:val="20"/>
        </w:rPr>
        <w:t> </w:t>
      </w:r>
      <w:r>
        <w:rPr>
          <w:sz w:val="20"/>
        </w:rPr>
        <w:t>de</w:t>
      </w:r>
      <w:r>
        <w:rPr>
          <w:spacing w:val="13"/>
          <w:sz w:val="20"/>
        </w:rPr>
        <w:t> </w:t>
      </w:r>
      <w:r>
        <w:rPr>
          <w:sz w:val="20"/>
        </w:rPr>
        <w:t>desistimiento</w:t>
      </w:r>
      <w:r>
        <w:rPr>
          <w:spacing w:val="14"/>
          <w:sz w:val="20"/>
        </w:rPr>
        <w:t> </w:t>
      </w:r>
      <w:r>
        <w:rPr>
          <w:sz w:val="20"/>
        </w:rPr>
        <w:t>del</w:t>
      </w:r>
      <w:r>
        <w:rPr>
          <w:spacing w:val="13"/>
          <w:sz w:val="20"/>
        </w:rPr>
        <w:t> </w:t>
      </w:r>
      <w:r>
        <w:rPr>
          <w:sz w:val="20"/>
        </w:rPr>
        <w:t>procedimiento</w:t>
      </w:r>
      <w:r>
        <w:rPr>
          <w:spacing w:val="13"/>
          <w:sz w:val="20"/>
        </w:rPr>
        <w:t> </w:t>
      </w:r>
      <w:r>
        <w:rPr>
          <w:sz w:val="20"/>
        </w:rPr>
        <w:t>de</w:t>
      </w:r>
      <w:r>
        <w:rPr>
          <w:spacing w:val="13"/>
          <w:sz w:val="20"/>
        </w:rPr>
        <w:t> </w:t>
      </w:r>
      <w:r>
        <w:rPr>
          <w:sz w:val="20"/>
        </w:rPr>
        <w:t>adjudicación</w:t>
      </w:r>
      <w:r>
        <w:rPr>
          <w:spacing w:val="14"/>
          <w:sz w:val="20"/>
        </w:rPr>
        <w:t> </w:t>
      </w:r>
      <w:r>
        <w:rPr>
          <w:sz w:val="20"/>
        </w:rPr>
        <w:t>por</w:t>
      </w:r>
      <w:r>
        <w:rPr>
          <w:spacing w:val="13"/>
          <w:sz w:val="20"/>
        </w:rPr>
        <w:t> </w:t>
      </w:r>
      <w:r>
        <w:rPr>
          <w:sz w:val="20"/>
        </w:rPr>
        <w:t>la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hanging="1"/>
      </w:pPr>
      <w:r>
        <w:rPr/>
        <w:t>entidad contratante. La documentación deberá conservarse, al menos, tres años a partir de la fecha de adjudicación del</w:t>
      </w:r>
      <w:r>
        <w:rPr>
          <w:spacing w:val="-5"/>
        </w:rPr>
        <w:t> </w:t>
      </w:r>
      <w:r>
        <w:rPr/>
        <w:t>contrato.</w:t>
      </w:r>
    </w:p>
    <w:p>
      <w:pPr>
        <w:pStyle w:val="ListParagraph"/>
        <w:numPr>
          <w:ilvl w:val="0"/>
          <w:numId w:val="215"/>
        </w:numPr>
        <w:tabs>
          <w:tab w:pos="1677" w:val="left" w:leader="none"/>
        </w:tabs>
        <w:spacing w:line="249" w:lineRule="auto" w:before="1" w:after="0"/>
        <w:ind w:left="1074" w:right="1273" w:firstLine="340"/>
        <w:jc w:val="both"/>
        <w:rPr>
          <w:sz w:val="20"/>
        </w:rPr>
      </w:pPr>
      <w:r>
        <w:rPr>
          <w:sz w:val="20"/>
        </w:rPr>
        <w:t>El informe escrito a que se refiere el apartado 1, o sus elementos principales, se transmitirán a la Comisión Europea, al Registro Público de Contratos y a la Junta Consultiva de Contratación Pública del Estado, cuando estos así lo</w:t>
      </w:r>
      <w:r>
        <w:rPr>
          <w:spacing w:val="-10"/>
          <w:sz w:val="20"/>
        </w:rPr>
        <w:t> </w:t>
      </w:r>
      <w:r>
        <w:rPr>
          <w:sz w:val="20"/>
        </w:rPr>
        <w:t>soliciten.</w:t>
      </w:r>
    </w:p>
    <w:p>
      <w:pPr>
        <w:pStyle w:val="BodyText"/>
        <w:spacing w:before="5"/>
        <w:ind w:left="0" w:firstLine="0"/>
        <w:jc w:val="left"/>
      </w:pPr>
    </w:p>
    <w:p>
      <w:pPr>
        <w:spacing w:before="0"/>
        <w:ind w:left="1074" w:right="0" w:firstLine="0"/>
        <w:jc w:val="both"/>
        <w:rPr>
          <w:i/>
          <w:sz w:val="20"/>
        </w:rPr>
      </w:pPr>
      <w:bookmarkStart w:name="Artículo 125. Registros de Contratos." w:id="204"/>
      <w:bookmarkEnd w:id="204"/>
      <w:r>
        <w:rPr/>
      </w:r>
      <w:r>
        <w:rPr>
          <w:b/>
          <w:sz w:val="20"/>
        </w:rPr>
        <w:t>Artículo 125. </w:t>
      </w:r>
      <w:r>
        <w:rPr>
          <w:i/>
          <w:sz w:val="20"/>
        </w:rPr>
        <w:t>Registros de Contratos.</w:t>
      </w:r>
    </w:p>
    <w:p>
      <w:pPr>
        <w:pStyle w:val="ListParagraph"/>
        <w:numPr>
          <w:ilvl w:val="0"/>
          <w:numId w:val="217"/>
        </w:numPr>
        <w:tabs>
          <w:tab w:pos="1642" w:val="left" w:leader="none"/>
        </w:tabs>
        <w:spacing w:line="249" w:lineRule="auto" w:before="118" w:after="0"/>
        <w:ind w:left="1074" w:right="1273" w:firstLine="340"/>
        <w:jc w:val="both"/>
        <w:rPr>
          <w:sz w:val="20"/>
        </w:rPr>
      </w:pPr>
      <w:r>
        <w:rPr>
          <w:sz w:val="20"/>
        </w:rPr>
        <w:t>Las entidades contratantes comunicarán al Registro de Contratos del Sector Público a que se refiere el artículo 346 de la Ley 9/2017, de 8 de noviembre, para su inscripción, los datos básicos de los contratos por ellas adjudicados con sujeción al presente real decreto- ley, entre los que figurará la identidad del adjudicatario, el importe de adjudicación de los mismos, junto con el desglose correspondiente del</w:t>
      </w:r>
      <w:r>
        <w:rPr>
          <w:spacing w:val="-6"/>
          <w:sz w:val="20"/>
        </w:rPr>
        <w:t> </w:t>
      </w:r>
      <w:r>
        <w:rPr>
          <w:sz w:val="20"/>
        </w:rPr>
        <w:t>IVA.</w:t>
      </w:r>
    </w:p>
    <w:p>
      <w:pPr>
        <w:pStyle w:val="BodyText"/>
        <w:spacing w:line="249" w:lineRule="auto" w:before="4"/>
        <w:ind w:right="1271"/>
      </w:pPr>
      <w:r>
        <w:rPr/>
        <w:t>Igualmente comunicarán, en su caso, las modificaciones, prórrogas, variaciones de plazos o de precio, su importe final y extinción de aquellos. El contenido de dichas comunicaciones, así como el plazo para efectuarlas, se establecerán reglamentariamente.</w:t>
      </w:r>
    </w:p>
    <w:p>
      <w:pPr>
        <w:pStyle w:val="ListParagraph"/>
        <w:numPr>
          <w:ilvl w:val="0"/>
          <w:numId w:val="217"/>
        </w:numPr>
        <w:tabs>
          <w:tab w:pos="1641" w:val="left" w:leader="none"/>
        </w:tabs>
        <w:spacing w:line="249" w:lineRule="auto" w:before="2" w:after="0"/>
        <w:ind w:left="1074" w:right="1273" w:firstLine="340"/>
        <w:jc w:val="both"/>
        <w:rPr>
          <w:sz w:val="20"/>
        </w:rPr>
      </w:pPr>
      <w:r>
        <w:rPr>
          <w:sz w:val="20"/>
        </w:rPr>
        <w:t>Las comunicaciones de datos de contratos al Registro de Contratos del Sector Público se efectuarán por medios electrónicos, informáticos o telemáticos, en la forma que determine el Ministro</w:t>
      </w:r>
      <w:r>
        <w:rPr>
          <w:spacing w:val="-2"/>
          <w:sz w:val="20"/>
        </w:rPr>
        <w:t> </w:t>
      </w:r>
      <w:r>
        <w:rPr>
          <w:sz w:val="20"/>
        </w:rPr>
        <w:t>Hacienda.</w:t>
      </w:r>
    </w:p>
    <w:p>
      <w:pPr>
        <w:pStyle w:val="ListParagraph"/>
        <w:numPr>
          <w:ilvl w:val="0"/>
          <w:numId w:val="217"/>
        </w:numPr>
        <w:tabs>
          <w:tab w:pos="1702" w:val="left" w:leader="none"/>
        </w:tabs>
        <w:spacing w:line="249" w:lineRule="auto" w:before="3" w:after="0"/>
        <w:ind w:left="1074" w:right="1273" w:firstLine="340"/>
        <w:jc w:val="both"/>
        <w:rPr>
          <w:sz w:val="20"/>
        </w:rPr>
      </w:pPr>
      <w:r>
        <w:rPr>
          <w:sz w:val="20"/>
        </w:rPr>
        <w:t>En los casos de las Administraciones Públicas que dispongan de Registros de Contratos análogos en su ámbito de competencias, la comunicación de datos a que se refiere el apartado 1 podrá ser sustituida por comunicaciones entre los respectivos Registros de Contratos. El Ministerio de Hacienda determinará reglamentariamente las especificaciones y requisitos para la sincronización de datos entre el Registro de Contratos del Sector Público y los demás Registros de</w:t>
      </w:r>
      <w:r>
        <w:rPr>
          <w:spacing w:val="-9"/>
          <w:sz w:val="20"/>
        </w:rPr>
        <w:t> </w:t>
      </w:r>
      <w:r>
        <w:rPr>
          <w:sz w:val="20"/>
        </w:rPr>
        <w:t>Contratos.</w:t>
      </w:r>
    </w:p>
    <w:p>
      <w:pPr>
        <w:pStyle w:val="BodyText"/>
        <w:spacing w:before="7"/>
        <w:ind w:left="0" w:firstLine="0"/>
        <w:jc w:val="left"/>
      </w:pPr>
    </w:p>
    <w:p>
      <w:pPr>
        <w:spacing w:before="0"/>
        <w:ind w:left="1074" w:right="0" w:firstLine="0"/>
        <w:jc w:val="both"/>
        <w:rPr>
          <w:i/>
          <w:sz w:val="20"/>
        </w:rPr>
      </w:pPr>
      <w:bookmarkStart w:name="Artículo 126. Gobernanza." w:id="205"/>
      <w:bookmarkEnd w:id="205"/>
      <w:r>
        <w:rPr/>
      </w:r>
      <w:r>
        <w:rPr>
          <w:b/>
          <w:sz w:val="20"/>
        </w:rPr>
        <w:t>Artículo 126.</w:t>
      </w:r>
      <w:r>
        <w:rPr>
          <w:b/>
          <w:spacing w:val="54"/>
          <w:sz w:val="20"/>
        </w:rPr>
        <w:t> </w:t>
      </w:r>
      <w:r>
        <w:rPr>
          <w:i/>
          <w:sz w:val="20"/>
        </w:rPr>
        <w:t>Gobernanza.</w:t>
      </w:r>
    </w:p>
    <w:p>
      <w:pPr>
        <w:pStyle w:val="ListParagraph"/>
        <w:numPr>
          <w:ilvl w:val="0"/>
          <w:numId w:val="218"/>
        </w:numPr>
        <w:tabs>
          <w:tab w:pos="1639" w:val="left" w:leader="none"/>
        </w:tabs>
        <w:spacing w:line="249" w:lineRule="auto" w:before="118" w:after="0"/>
        <w:ind w:left="1074" w:right="1274" w:firstLine="340"/>
        <w:jc w:val="both"/>
        <w:rPr>
          <w:sz w:val="20"/>
        </w:rPr>
      </w:pPr>
      <w:r>
        <w:rPr>
          <w:sz w:val="20"/>
        </w:rPr>
        <w:t>La Junta Consultiva de Contratación Pública del Estado a que se refiere el artículo 328 de la Ley 9/2017, de 8 de noviembre como órgano específico de regulación y consulta en materia de contratación pública del sector público estatal ejercerá todas las funciones que tiene atribuidas por el artículo 328.3 de la Ley 9/2017, de 8 de noviembre respecto de la contratación que se realice con sujeción a este real decreto-ley por parte de las entidades contratantes pertenecientes al sector público estatal o por empresas con derechos especiales o exclusivos concedidos por la Administración General del</w:t>
      </w:r>
      <w:r>
        <w:rPr>
          <w:spacing w:val="-12"/>
          <w:sz w:val="20"/>
        </w:rPr>
        <w:t> </w:t>
      </w:r>
      <w:r>
        <w:rPr>
          <w:sz w:val="20"/>
        </w:rPr>
        <w:t>Estado.</w:t>
      </w:r>
    </w:p>
    <w:p>
      <w:pPr>
        <w:pStyle w:val="BodyText"/>
        <w:spacing w:line="249" w:lineRule="auto" w:before="6"/>
        <w:ind w:right="1272"/>
      </w:pPr>
      <w:r>
        <w:rPr/>
        <w:t>Asimismo, la Junta Consultiva de Contratación Pública del Estado es el órgano competente para elaborar y remitir a la Comisión Europea cada tres años un informe referido a todas las entidades contratantes que, respecto de la licitación pública y ejecución de los contratos de obras, suministros, servicios, concesión de obras y concesión de servicios que estén sujetos a este real decreto-ley, comprenda, entre otras, si procede, las siguientes cuestiones:</w:t>
      </w:r>
    </w:p>
    <w:p>
      <w:pPr>
        <w:pStyle w:val="ListParagraph"/>
        <w:numPr>
          <w:ilvl w:val="0"/>
          <w:numId w:val="219"/>
        </w:numPr>
        <w:tabs>
          <w:tab w:pos="1664" w:val="left" w:leader="none"/>
        </w:tabs>
        <w:spacing w:line="249" w:lineRule="auto" w:before="125" w:after="0"/>
        <w:ind w:left="1074" w:right="1274" w:firstLine="340"/>
        <w:jc w:val="both"/>
        <w:rPr>
          <w:sz w:val="20"/>
        </w:rPr>
      </w:pPr>
      <w:r>
        <w:rPr>
          <w:sz w:val="20"/>
        </w:rPr>
        <w:t>La información contenida en el informe de supervisión a que se refiere el apartado 7 del artículo 332 de la Ley 9/2017, de 8 de noviembre que remita la Oficina Independiente de Regulación</w:t>
      </w:r>
      <w:r>
        <w:rPr>
          <w:spacing w:val="-4"/>
          <w:sz w:val="20"/>
        </w:rPr>
        <w:t> </w:t>
      </w:r>
      <w:r>
        <w:rPr>
          <w:sz w:val="20"/>
        </w:rPr>
        <w:t>y</w:t>
      </w:r>
      <w:r>
        <w:rPr>
          <w:spacing w:val="-2"/>
          <w:sz w:val="20"/>
        </w:rPr>
        <w:t> </w:t>
      </w:r>
      <w:r>
        <w:rPr>
          <w:sz w:val="20"/>
        </w:rPr>
        <w:t>Supervisión</w:t>
      </w:r>
      <w:r>
        <w:rPr>
          <w:spacing w:val="-2"/>
          <w:sz w:val="20"/>
        </w:rPr>
        <w:t> </w:t>
      </w:r>
      <w:r>
        <w:rPr>
          <w:sz w:val="20"/>
        </w:rPr>
        <w:t>de</w:t>
      </w:r>
      <w:r>
        <w:rPr>
          <w:spacing w:val="-4"/>
          <w:sz w:val="20"/>
        </w:rPr>
        <w:t> </w:t>
      </w:r>
      <w:r>
        <w:rPr>
          <w:sz w:val="20"/>
        </w:rPr>
        <w:t>la</w:t>
      </w:r>
      <w:r>
        <w:rPr>
          <w:spacing w:val="-3"/>
          <w:sz w:val="20"/>
        </w:rPr>
        <w:t> </w:t>
      </w:r>
      <w:r>
        <w:rPr>
          <w:sz w:val="20"/>
        </w:rPr>
        <w:t>Contratación</w:t>
      </w:r>
      <w:r>
        <w:rPr>
          <w:spacing w:val="-3"/>
          <w:sz w:val="20"/>
        </w:rPr>
        <w:t> </w:t>
      </w:r>
      <w:r>
        <w:rPr>
          <w:sz w:val="20"/>
        </w:rPr>
        <w:t>a</w:t>
      </w:r>
      <w:r>
        <w:rPr>
          <w:spacing w:val="-4"/>
          <w:sz w:val="20"/>
        </w:rPr>
        <w:t> </w:t>
      </w:r>
      <w:r>
        <w:rPr>
          <w:sz w:val="20"/>
        </w:rPr>
        <w:t>que</w:t>
      </w:r>
      <w:r>
        <w:rPr>
          <w:spacing w:val="-3"/>
          <w:sz w:val="20"/>
        </w:rPr>
        <w:t> </w:t>
      </w:r>
      <w:r>
        <w:rPr>
          <w:sz w:val="20"/>
        </w:rPr>
        <w:t>se</w:t>
      </w:r>
      <w:r>
        <w:rPr>
          <w:spacing w:val="-2"/>
          <w:sz w:val="20"/>
        </w:rPr>
        <w:t> </w:t>
      </w:r>
      <w:r>
        <w:rPr>
          <w:sz w:val="20"/>
        </w:rPr>
        <w:t>refiere</w:t>
      </w:r>
      <w:r>
        <w:rPr>
          <w:spacing w:val="-2"/>
          <w:sz w:val="20"/>
        </w:rPr>
        <w:t> </w:t>
      </w:r>
      <w:r>
        <w:rPr>
          <w:sz w:val="20"/>
        </w:rPr>
        <w:t>el</w:t>
      </w:r>
      <w:r>
        <w:rPr>
          <w:spacing w:val="-4"/>
          <w:sz w:val="20"/>
        </w:rPr>
        <w:t> </w:t>
      </w:r>
      <w:r>
        <w:rPr>
          <w:sz w:val="20"/>
        </w:rPr>
        <w:t>apartado</w:t>
      </w:r>
      <w:r>
        <w:rPr>
          <w:spacing w:val="-3"/>
          <w:sz w:val="20"/>
        </w:rPr>
        <w:t> </w:t>
      </w:r>
      <w:r>
        <w:rPr>
          <w:sz w:val="20"/>
        </w:rPr>
        <w:t>3</w:t>
      </w:r>
      <w:r>
        <w:rPr>
          <w:spacing w:val="-3"/>
          <w:sz w:val="20"/>
        </w:rPr>
        <w:t> </w:t>
      </w:r>
      <w:r>
        <w:rPr>
          <w:sz w:val="20"/>
        </w:rPr>
        <w:t>de</w:t>
      </w:r>
      <w:r>
        <w:rPr>
          <w:spacing w:val="-4"/>
          <w:sz w:val="20"/>
        </w:rPr>
        <w:t> </w:t>
      </w:r>
      <w:r>
        <w:rPr>
          <w:sz w:val="20"/>
        </w:rPr>
        <w:t>este</w:t>
      </w:r>
      <w:r>
        <w:rPr>
          <w:spacing w:val="-3"/>
          <w:sz w:val="20"/>
        </w:rPr>
        <w:t> </w:t>
      </w:r>
      <w:r>
        <w:rPr>
          <w:sz w:val="20"/>
        </w:rPr>
        <w:t>artículo.</w:t>
      </w:r>
    </w:p>
    <w:p>
      <w:pPr>
        <w:pStyle w:val="ListParagraph"/>
        <w:numPr>
          <w:ilvl w:val="0"/>
          <w:numId w:val="219"/>
        </w:numPr>
        <w:tabs>
          <w:tab w:pos="1674" w:val="left" w:leader="none"/>
        </w:tabs>
        <w:spacing w:line="249" w:lineRule="auto" w:before="2" w:after="0"/>
        <w:ind w:left="1074" w:right="1272" w:firstLine="340"/>
        <w:jc w:val="both"/>
        <w:rPr>
          <w:sz w:val="20"/>
        </w:rPr>
      </w:pPr>
      <w:r>
        <w:rPr>
          <w:sz w:val="20"/>
        </w:rPr>
        <w:t>Información sobre el nivel de participación de las PYME en la contratación sujeta a este real</w:t>
      </w:r>
      <w:r>
        <w:rPr>
          <w:spacing w:val="-2"/>
          <w:sz w:val="20"/>
        </w:rPr>
        <w:t> </w:t>
      </w:r>
      <w:r>
        <w:rPr>
          <w:sz w:val="20"/>
        </w:rPr>
        <w:t>decreto-ley.</w:t>
      </w:r>
    </w:p>
    <w:p>
      <w:pPr>
        <w:pStyle w:val="ListParagraph"/>
        <w:numPr>
          <w:ilvl w:val="0"/>
          <w:numId w:val="219"/>
        </w:numPr>
        <w:tabs>
          <w:tab w:pos="1685" w:val="left" w:leader="none"/>
        </w:tabs>
        <w:spacing w:line="249" w:lineRule="auto" w:before="2" w:after="0"/>
        <w:ind w:left="1074" w:right="1271" w:firstLine="340"/>
        <w:jc w:val="both"/>
        <w:rPr>
          <w:sz w:val="20"/>
        </w:rPr>
      </w:pPr>
      <w:r>
        <w:rPr>
          <w:sz w:val="20"/>
        </w:rPr>
        <w:t>Información sobre cuáles son los órganos encargados de dar cumplimiento a las obligaciones asumidas en virtud del derecho de la Unión Europea en materia de la contratación sujeta a este real</w:t>
      </w:r>
      <w:r>
        <w:rPr>
          <w:spacing w:val="-3"/>
          <w:sz w:val="20"/>
        </w:rPr>
        <w:t> </w:t>
      </w:r>
      <w:r>
        <w:rPr>
          <w:sz w:val="20"/>
        </w:rPr>
        <w:t>decreto-ley.</w:t>
      </w:r>
    </w:p>
    <w:p>
      <w:pPr>
        <w:pStyle w:val="ListParagraph"/>
        <w:numPr>
          <w:ilvl w:val="0"/>
          <w:numId w:val="219"/>
        </w:numPr>
        <w:tabs>
          <w:tab w:pos="1692" w:val="left" w:leader="none"/>
        </w:tabs>
        <w:spacing w:line="249" w:lineRule="auto" w:before="2" w:after="0"/>
        <w:ind w:left="1074" w:right="1273" w:firstLine="340"/>
        <w:jc w:val="both"/>
        <w:rPr>
          <w:sz w:val="20"/>
        </w:rPr>
      </w:pPr>
      <w:r>
        <w:rPr>
          <w:sz w:val="20"/>
        </w:rPr>
        <w:t>Información sobre las iniciativas adoptadas para proporcionar orientación o ayuda gratuita en la aplicación de la normativa de la Unión Europea en materia de contratación sujeta a este real decreto-ley o para dar respuesta a las dificultades que plantee su aplicación, así como para planificar y llevar a cabo procedimientos de</w:t>
      </w:r>
      <w:r>
        <w:rPr>
          <w:spacing w:val="-25"/>
          <w:sz w:val="20"/>
        </w:rPr>
        <w:t> </w:t>
      </w:r>
      <w:r>
        <w:rPr>
          <w:sz w:val="20"/>
        </w:rPr>
        <w:t>contratación.</w:t>
      </w:r>
    </w:p>
    <w:p>
      <w:pPr>
        <w:pStyle w:val="BodyText"/>
        <w:spacing w:line="249" w:lineRule="auto" w:before="124"/>
        <w:ind w:right="1273"/>
      </w:pPr>
      <w:r>
        <w:rPr/>
        <w:t>El Informe a que se refiere el párrafo anterior asimismo deberá comprender, respecto de los contratos que habrían quedado regulados por el presente real decreto-ley si su valor estimado no hubiese superado el umbral establecido en el artículo 1, un informe estadístico haciendo una estimación del valor agregado total de dichos contratos durante el periodo de</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4" w:hanging="1"/>
      </w:pPr>
      <w:r>
        <w:rPr/>
        <w:t>que se trate. Esa estimación podrá basarse, en particular, en los datos disponibles en virtud de los requisitos de publicación, o bien en estimaciones realizadas a partir de muestras.</w:t>
      </w:r>
    </w:p>
    <w:p>
      <w:pPr>
        <w:pStyle w:val="BodyText"/>
        <w:spacing w:line="249" w:lineRule="auto"/>
        <w:ind w:right="1273"/>
      </w:pPr>
      <w:r>
        <w:rPr/>
        <w:t>Los informes serán remitidos a la Comisión Europea en los quince días que siguen a su adopción. La Junta Consultiva hará público el contenido de los informes nacionales en el plazo de un mes a contar desde su remisión a la Comisión Europea, publicándolos en los correspondientes portales de transparencia y en la Plataforma de Contratación del Sector Público.</w:t>
      </w:r>
    </w:p>
    <w:p>
      <w:pPr>
        <w:pStyle w:val="BodyText"/>
        <w:spacing w:line="249" w:lineRule="auto" w:before="4"/>
        <w:ind w:right="1272"/>
      </w:pPr>
      <w:r>
        <w:rPr/>
        <w:t>A todos los efectos, se designa a la Junta Consultiva de Contratación Pública del Estado como punto de referencia para la cooperación con la Comisión Europea en lo que se refiere a la aplicación de la legislación relativa a la contratación sujeta a este real decreto-ley. Asimismo, se encargará de prestar asistencia recíproca y de cooperar con el resto de Estados miembros de la Unión Europea, con el fin de garantizar el intercambio de información sobre las cuestiones que se establecen en la normativa comunitaria, garantizando su</w:t>
      </w:r>
      <w:r>
        <w:rPr>
          <w:spacing w:val="-2"/>
        </w:rPr>
        <w:t> </w:t>
      </w:r>
      <w:r>
        <w:rPr/>
        <w:t>confidencialidad.</w:t>
      </w:r>
    </w:p>
    <w:p>
      <w:pPr>
        <w:pStyle w:val="ListParagraph"/>
        <w:numPr>
          <w:ilvl w:val="0"/>
          <w:numId w:val="218"/>
        </w:numPr>
        <w:tabs>
          <w:tab w:pos="1660" w:val="left" w:leader="none"/>
        </w:tabs>
        <w:spacing w:line="249" w:lineRule="auto" w:before="6" w:after="0"/>
        <w:ind w:left="1074" w:right="1273" w:firstLine="340"/>
        <w:jc w:val="both"/>
        <w:rPr>
          <w:sz w:val="20"/>
        </w:rPr>
      </w:pPr>
      <w:r>
        <w:rPr>
          <w:sz w:val="20"/>
        </w:rPr>
        <w:t>Sin perjuicio de lo dispuesto en el tercer párrafo del apartado anterior, el Comité de cooperación en materia de contratación pública, creado por el artículo 329 de la Ley 9/2017, de 8 de noviembre, ejercerá todas las funciones que tiene atribuidas respecto de las entidades contratantes cuando contraten con sujeción al presente real decreto-ley, resultando de aplicación la obligación de aportación de información por las Comunidades Autónomas y las Ciudades Autónomas de Ceuta y Melilla que establece el artículo 331 de la citada</w:t>
      </w:r>
      <w:r>
        <w:rPr>
          <w:spacing w:val="-1"/>
          <w:sz w:val="20"/>
        </w:rPr>
        <w:t> </w:t>
      </w:r>
      <w:r>
        <w:rPr>
          <w:sz w:val="20"/>
        </w:rPr>
        <w:t>ley.</w:t>
      </w:r>
    </w:p>
    <w:p>
      <w:pPr>
        <w:pStyle w:val="ListParagraph"/>
        <w:numPr>
          <w:ilvl w:val="0"/>
          <w:numId w:val="218"/>
        </w:numPr>
        <w:tabs>
          <w:tab w:pos="1646" w:val="left" w:leader="none"/>
        </w:tabs>
        <w:spacing w:line="249" w:lineRule="auto" w:before="5" w:after="0"/>
        <w:ind w:left="1074" w:right="1271" w:firstLine="340"/>
        <w:jc w:val="both"/>
        <w:rPr>
          <w:sz w:val="20"/>
        </w:rPr>
      </w:pPr>
      <w:r>
        <w:rPr>
          <w:sz w:val="20"/>
        </w:rPr>
        <w:t>La Oficina Independiente de Regulación y Supervisión de la Contratación regulada en el artículo 332 de la Ley 9/2017, de 8 de noviembre, así como la Oficina Nacional de Evaluación integrada en la primera y regulada en el artículo 333 de la misma Ley ejercerán todas sus funciones respecto de las entidades contratantes cuando las mismas contraten con</w:t>
      </w:r>
      <w:r>
        <w:rPr>
          <w:spacing w:val="8"/>
          <w:sz w:val="20"/>
        </w:rPr>
        <w:t> </w:t>
      </w:r>
      <w:r>
        <w:rPr>
          <w:sz w:val="20"/>
        </w:rPr>
        <w:t>sujeción</w:t>
      </w:r>
      <w:r>
        <w:rPr>
          <w:spacing w:val="9"/>
          <w:sz w:val="20"/>
        </w:rPr>
        <w:t> </w:t>
      </w:r>
      <w:r>
        <w:rPr>
          <w:sz w:val="20"/>
        </w:rPr>
        <w:t>al</w:t>
      </w:r>
      <w:r>
        <w:rPr>
          <w:spacing w:val="8"/>
          <w:sz w:val="20"/>
        </w:rPr>
        <w:t> </w:t>
      </w:r>
      <w:r>
        <w:rPr>
          <w:sz w:val="20"/>
        </w:rPr>
        <w:t>presente</w:t>
      </w:r>
      <w:r>
        <w:rPr>
          <w:spacing w:val="9"/>
          <w:sz w:val="20"/>
        </w:rPr>
        <w:t> </w:t>
      </w:r>
      <w:r>
        <w:rPr>
          <w:sz w:val="20"/>
        </w:rPr>
        <w:t>real</w:t>
      </w:r>
      <w:r>
        <w:rPr>
          <w:spacing w:val="8"/>
          <w:sz w:val="20"/>
        </w:rPr>
        <w:t> </w:t>
      </w:r>
      <w:r>
        <w:rPr>
          <w:sz w:val="20"/>
        </w:rPr>
        <w:t>decreto-ley.</w:t>
      </w:r>
      <w:r>
        <w:rPr>
          <w:spacing w:val="9"/>
          <w:sz w:val="20"/>
        </w:rPr>
        <w:t> </w:t>
      </w:r>
      <w:r>
        <w:rPr>
          <w:sz w:val="20"/>
        </w:rPr>
        <w:t>Ello</w:t>
      </w:r>
      <w:r>
        <w:rPr>
          <w:spacing w:val="9"/>
          <w:sz w:val="20"/>
        </w:rPr>
        <w:t> </w:t>
      </w:r>
      <w:r>
        <w:rPr>
          <w:sz w:val="20"/>
        </w:rPr>
        <w:t>sin</w:t>
      </w:r>
      <w:r>
        <w:rPr>
          <w:spacing w:val="8"/>
          <w:sz w:val="20"/>
        </w:rPr>
        <w:t> </w:t>
      </w:r>
      <w:r>
        <w:rPr>
          <w:sz w:val="20"/>
        </w:rPr>
        <w:t>perjuicio</w:t>
      </w:r>
      <w:r>
        <w:rPr>
          <w:spacing w:val="9"/>
          <w:sz w:val="20"/>
        </w:rPr>
        <w:t> </w:t>
      </w:r>
      <w:r>
        <w:rPr>
          <w:sz w:val="20"/>
        </w:rPr>
        <w:t>de</w:t>
      </w:r>
      <w:r>
        <w:rPr>
          <w:spacing w:val="8"/>
          <w:sz w:val="20"/>
        </w:rPr>
        <w:t> </w:t>
      </w:r>
      <w:r>
        <w:rPr>
          <w:sz w:val="20"/>
        </w:rPr>
        <w:t>lo</w:t>
      </w:r>
      <w:r>
        <w:rPr>
          <w:spacing w:val="9"/>
          <w:sz w:val="20"/>
        </w:rPr>
        <w:t> </w:t>
      </w:r>
      <w:r>
        <w:rPr>
          <w:sz w:val="20"/>
        </w:rPr>
        <w:t>establecido</w:t>
      </w:r>
      <w:r>
        <w:rPr>
          <w:spacing w:val="9"/>
          <w:sz w:val="20"/>
        </w:rPr>
        <w:t> </w:t>
      </w:r>
      <w:r>
        <w:rPr>
          <w:sz w:val="20"/>
        </w:rPr>
        <w:t>en</w:t>
      </w:r>
      <w:r>
        <w:rPr>
          <w:spacing w:val="8"/>
          <w:sz w:val="20"/>
        </w:rPr>
        <w:t> </w:t>
      </w:r>
      <w:r>
        <w:rPr>
          <w:sz w:val="20"/>
        </w:rPr>
        <w:t>los</w:t>
      </w:r>
      <w:r>
        <w:rPr>
          <w:spacing w:val="9"/>
          <w:sz w:val="20"/>
        </w:rPr>
        <w:t> </w:t>
      </w:r>
      <w:r>
        <w:rPr>
          <w:sz w:val="20"/>
        </w:rPr>
        <w:t>artículos</w:t>
      </w:r>
    </w:p>
    <w:p>
      <w:pPr>
        <w:pStyle w:val="BodyText"/>
        <w:spacing w:before="4"/>
        <w:ind w:firstLine="0"/>
      </w:pPr>
      <w:r>
        <w:rPr/>
        <w:t>332.12 y 333.3, cuarto párrafo de la Ley 9/2017, de 8 de noviembre.</w:t>
      </w:r>
    </w:p>
    <w:p>
      <w:pPr>
        <w:pStyle w:val="ListParagraph"/>
        <w:numPr>
          <w:ilvl w:val="0"/>
          <w:numId w:val="218"/>
        </w:numPr>
        <w:tabs>
          <w:tab w:pos="1641" w:val="left" w:leader="none"/>
        </w:tabs>
        <w:spacing w:line="249" w:lineRule="auto" w:before="10" w:after="0"/>
        <w:ind w:left="1074" w:right="1274" w:firstLine="339"/>
        <w:jc w:val="both"/>
        <w:rPr>
          <w:sz w:val="20"/>
        </w:rPr>
      </w:pPr>
      <w:r>
        <w:rPr>
          <w:sz w:val="20"/>
        </w:rPr>
        <w:t>La Estrategia Nacional de Contratación Pública a la que se refiere el artículo 334 de la Ley 9/2017, de 8 de noviembre, asimismo deberá referirse a la contratación realizada por las entidades contratantes con sujeción al presente real</w:t>
      </w:r>
      <w:r>
        <w:rPr>
          <w:spacing w:val="-7"/>
          <w:sz w:val="20"/>
        </w:rPr>
        <w:t> </w:t>
      </w:r>
      <w:r>
        <w:rPr>
          <w:sz w:val="20"/>
        </w:rPr>
        <w:t>decreto-ley.</w:t>
      </w:r>
    </w:p>
    <w:p>
      <w:pPr>
        <w:pStyle w:val="BodyText"/>
        <w:spacing w:before="0"/>
        <w:ind w:left="0" w:firstLine="0"/>
        <w:jc w:val="left"/>
        <w:rPr>
          <w:sz w:val="26"/>
        </w:rPr>
      </w:pPr>
    </w:p>
    <w:p>
      <w:pPr>
        <w:pStyle w:val="BodyText"/>
        <w:spacing w:before="163"/>
        <w:ind w:left="2929" w:right="3127" w:firstLine="0"/>
        <w:jc w:val="center"/>
      </w:pPr>
      <w:bookmarkStart w:name="LIBRO SEGUNDO. Medidas para la adaptació" w:id="206"/>
      <w:bookmarkEnd w:id="206"/>
      <w:r>
        <w:rPr/>
      </w:r>
      <w:bookmarkStart w:name="_bookmark39" w:id="207"/>
      <w:bookmarkEnd w:id="207"/>
      <w:r>
        <w:rPr/>
      </w:r>
      <w:r>
        <w:rPr/>
        <w:t>LIBRO SEGUNDO</w:t>
      </w:r>
    </w:p>
    <w:p>
      <w:pPr>
        <w:pStyle w:val="Heading1"/>
        <w:spacing w:line="249" w:lineRule="auto" w:before="124"/>
        <w:ind w:right="1612"/>
      </w:pPr>
      <w:r>
        <w:rPr/>
        <w:t>Medidas para la adaptación del derecho español a la normativa de la Unión Europea en materia de seguros privados y planes y fondos de pensiones</w:t>
      </w:r>
    </w:p>
    <w:p>
      <w:pPr>
        <w:pStyle w:val="BodyText"/>
        <w:spacing w:before="0"/>
        <w:ind w:left="0" w:firstLine="0"/>
        <w:jc w:val="left"/>
        <w:rPr>
          <w:b/>
          <w:sz w:val="22"/>
        </w:rPr>
      </w:pPr>
    </w:p>
    <w:p>
      <w:pPr>
        <w:pStyle w:val="BodyText"/>
        <w:spacing w:before="5"/>
        <w:ind w:left="0" w:firstLine="0"/>
        <w:jc w:val="left"/>
        <w:rPr>
          <w:b/>
          <w:sz w:val="27"/>
        </w:rPr>
      </w:pPr>
    </w:p>
    <w:p>
      <w:pPr>
        <w:pStyle w:val="BodyText"/>
        <w:spacing w:before="0"/>
        <w:ind w:left="2930" w:right="3127" w:firstLine="0"/>
        <w:jc w:val="center"/>
      </w:pPr>
      <w:bookmarkStart w:name="TÍTULO I. Transposición de la Directiva " w:id="208"/>
      <w:bookmarkEnd w:id="208"/>
      <w:r>
        <w:rPr/>
      </w:r>
      <w:bookmarkStart w:name="_bookmark40" w:id="209"/>
      <w:bookmarkEnd w:id="209"/>
      <w:r>
        <w:rPr/>
      </w:r>
      <w:r>
        <w:rPr/>
        <w:t>TÍTULO I</w:t>
      </w:r>
    </w:p>
    <w:p>
      <w:pPr>
        <w:pStyle w:val="Heading1"/>
        <w:spacing w:line="249" w:lineRule="auto"/>
        <w:ind w:right="1613"/>
      </w:pPr>
      <w:r>
        <w:rPr/>
        <w:t>Transposición de la Directiva (UE) 2016/97 del Parlamento Europeo y del Consejo, de 20 de enero de 2016, sobre la distribución de seguros</w:t>
      </w:r>
    </w:p>
    <w:p>
      <w:pPr>
        <w:pStyle w:val="BodyText"/>
        <w:spacing w:before="0"/>
        <w:ind w:left="0" w:firstLine="0"/>
        <w:jc w:val="left"/>
        <w:rPr>
          <w:b/>
          <w:sz w:val="22"/>
        </w:rPr>
      </w:pPr>
    </w:p>
    <w:p>
      <w:pPr>
        <w:pStyle w:val="BodyText"/>
        <w:spacing w:before="7"/>
        <w:ind w:left="0" w:firstLine="0"/>
        <w:jc w:val="left"/>
        <w:rPr>
          <w:b/>
          <w:sz w:val="17"/>
        </w:rPr>
      </w:pPr>
    </w:p>
    <w:p>
      <w:pPr>
        <w:pStyle w:val="BodyText"/>
        <w:spacing w:before="0"/>
        <w:ind w:left="2929" w:right="3127" w:firstLine="0"/>
        <w:jc w:val="center"/>
      </w:pPr>
      <w:bookmarkStart w:name="CAPÍTULO I. Disposiciones generales" w:id="210"/>
      <w:bookmarkEnd w:id="210"/>
      <w:r>
        <w:rPr/>
      </w:r>
      <w:bookmarkStart w:name="_bookmark41" w:id="211"/>
      <w:bookmarkEnd w:id="211"/>
      <w:r>
        <w:rPr/>
      </w:r>
      <w:r>
        <w:rPr/>
        <w:t>CAPÍTULO I</w:t>
      </w:r>
    </w:p>
    <w:p>
      <w:pPr>
        <w:pStyle w:val="Heading1"/>
        <w:ind w:left="2929"/>
      </w:pPr>
      <w:r>
        <w:rPr/>
        <w:t>Disposiciones generales</w:t>
      </w:r>
    </w:p>
    <w:p>
      <w:pPr>
        <w:pStyle w:val="BodyText"/>
        <w:spacing w:before="7"/>
        <w:ind w:left="0" w:firstLine="0"/>
        <w:jc w:val="left"/>
        <w:rPr>
          <w:b/>
        </w:rPr>
      </w:pPr>
    </w:p>
    <w:p>
      <w:pPr>
        <w:spacing w:before="0"/>
        <w:ind w:left="1074" w:right="0" w:firstLine="0"/>
        <w:jc w:val="both"/>
        <w:rPr>
          <w:i/>
          <w:sz w:val="20"/>
        </w:rPr>
      </w:pPr>
      <w:bookmarkStart w:name="Artículo 127. Objeto." w:id="212"/>
      <w:bookmarkEnd w:id="212"/>
      <w:r>
        <w:rPr/>
      </w:r>
      <w:r>
        <w:rPr>
          <w:b/>
          <w:sz w:val="20"/>
        </w:rPr>
        <w:t>Artículo 127.</w:t>
      </w:r>
      <w:r>
        <w:rPr>
          <w:b/>
          <w:spacing w:val="54"/>
          <w:sz w:val="20"/>
        </w:rPr>
        <w:t> </w:t>
      </w:r>
      <w:r>
        <w:rPr>
          <w:i/>
          <w:sz w:val="20"/>
        </w:rPr>
        <w:t>Objeto.</w:t>
      </w:r>
    </w:p>
    <w:p>
      <w:pPr>
        <w:pStyle w:val="BodyText"/>
        <w:spacing w:line="249" w:lineRule="auto" w:before="118"/>
        <w:ind w:right="1273"/>
      </w:pPr>
      <w:r>
        <w:rPr/>
        <w:t>El título I tiene por objeto establecer las normas sobre el acceso a la actividad de distribución de seguros y reaseguros por parte de las personas físicas y jurídicas, las condiciones en las que debe desarrollarse su ejercicio, y el régimen de ordenación, supervisión y sanción que resulte de aplicación, con la finalidad principal de garantizar la protección de los derechos de los tomadores, asegurados y beneficiarios por contrato de seguro, así como promover la libertad en la contratación de productos de naturaleza aseguradora.</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left"/>
        <w:rPr>
          <w:i/>
          <w:sz w:val="20"/>
        </w:rPr>
      </w:pPr>
      <w:bookmarkStart w:name="Artículo 128. Definiciones." w:id="213"/>
      <w:bookmarkEnd w:id="213"/>
      <w:r>
        <w:rPr/>
      </w:r>
      <w:r>
        <w:rPr>
          <w:b/>
          <w:sz w:val="20"/>
        </w:rPr>
        <w:t>Artículo 128.</w:t>
      </w:r>
      <w:r>
        <w:rPr>
          <w:b/>
          <w:spacing w:val="54"/>
          <w:sz w:val="20"/>
        </w:rPr>
        <w:t> </w:t>
      </w:r>
      <w:r>
        <w:rPr>
          <w:i/>
          <w:sz w:val="20"/>
        </w:rPr>
        <w:t>Definiciones.</w:t>
      </w:r>
    </w:p>
    <w:p>
      <w:pPr>
        <w:pStyle w:val="BodyText"/>
        <w:spacing w:before="118"/>
        <w:ind w:left="1414" w:firstLine="0"/>
        <w:jc w:val="left"/>
      </w:pPr>
      <w:r>
        <w:rPr/>
        <w:t>A efectos del título I se entenderá por:</w:t>
      </w:r>
    </w:p>
    <w:p>
      <w:pPr>
        <w:pStyle w:val="ListParagraph"/>
        <w:numPr>
          <w:ilvl w:val="0"/>
          <w:numId w:val="220"/>
        </w:numPr>
        <w:tabs>
          <w:tab w:pos="1700" w:val="left" w:leader="none"/>
        </w:tabs>
        <w:spacing w:line="249" w:lineRule="auto" w:before="130" w:after="0"/>
        <w:ind w:left="1074" w:right="1272" w:firstLine="340"/>
        <w:jc w:val="both"/>
        <w:rPr>
          <w:sz w:val="20"/>
        </w:rPr>
      </w:pPr>
      <w:r>
        <w:rPr>
          <w:sz w:val="20"/>
        </w:rPr>
        <w:t>«Mediador de seguros»: Toda persona física o jurídica, distinta de una entidad aseguradora o reaseguradora y de sus empleados, y distinta asimismo de un mediador de seguros complementarios, que, a cambio de una remuneración, emprenda o realice una actividad de distribución de</w:t>
      </w:r>
      <w:r>
        <w:rPr>
          <w:spacing w:val="-5"/>
          <w:sz w:val="20"/>
        </w:rPr>
        <w:t> </w:t>
      </w:r>
      <w:r>
        <w:rPr>
          <w:sz w:val="20"/>
        </w:rPr>
        <w:t>seguros.</w:t>
      </w:r>
    </w:p>
    <w:p>
      <w:pPr>
        <w:pStyle w:val="ListParagraph"/>
        <w:numPr>
          <w:ilvl w:val="0"/>
          <w:numId w:val="220"/>
        </w:numPr>
        <w:tabs>
          <w:tab w:pos="1662" w:val="left" w:leader="none"/>
        </w:tabs>
        <w:spacing w:line="249" w:lineRule="auto" w:before="3" w:after="0"/>
        <w:ind w:left="1074" w:right="1273" w:firstLine="340"/>
        <w:jc w:val="both"/>
        <w:rPr>
          <w:sz w:val="20"/>
        </w:rPr>
      </w:pPr>
      <w:r>
        <w:rPr>
          <w:sz w:val="20"/>
        </w:rPr>
        <w:t>«Mediador de seguros complementarios»: Toda persona física o jurídica, distinta de una entidad de crédito o de una empresa de inversión según se definen en los apartados 1 y 2, del artículo 4.1 del Reglamento (UE) n.º 575/2013 del Parlamento Europeo y del Consejo, de 26 de junio de 2013, sobre los requisitos prudenciales de las entidades de crédito y las empresas de inversión y por el que se modifica el Reglamento (UE) n.º 648/2012, que, a cambio de una remuneración, emprenda o realice una actividad de distribución de seguros con carácter complementario, siempre y cuando concurran todas las condiciones</w:t>
      </w:r>
      <w:r>
        <w:rPr>
          <w:spacing w:val="-3"/>
          <w:sz w:val="20"/>
        </w:rPr>
        <w:t> </w:t>
      </w:r>
      <w:r>
        <w:rPr>
          <w:sz w:val="20"/>
        </w:rPr>
        <w:t>siguientes:</w:t>
      </w:r>
    </w:p>
    <w:p>
      <w:pPr>
        <w:pStyle w:val="ListParagraph"/>
        <w:numPr>
          <w:ilvl w:val="0"/>
          <w:numId w:val="221"/>
        </w:numPr>
        <w:tabs>
          <w:tab w:pos="1667" w:val="left" w:leader="none"/>
        </w:tabs>
        <w:spacing w:line="249" w:lineRule="auto" w:before="126" w:after="0"/>
        <w:ind w:left="1074" w:right="1275" w:firstLine="340"/>
        <w:jc w:val="both"/>
        <w:rPr>
          <w:sz w:val="20"/>
        </w:rPr>
      </w:pPr>
      <w:r>
        <w:rPr>
          <w:sz w:val="20"/>
        </w:rPr>
        <w:t>La actividad profesional principal de dicha persona física o jurídica sea distinta de la de distribución de</w:t>
      </w:r>
      <w:r>
        <w:rPr>
          <w:spacing w:val="-4"/>
          <w:sz w:val="20"/>
        </w:rPr>
        <w:t> </w:t>
      </w:r>
      <w:r>
        <w:rPr>
          <w:sz w:val="20"/>
        </w:rPr>
        <w:t>seguros;</w:t>
      </w:r>
    </w:p>
    <w:p>
      <w:pPr>
        <w:pStyle w:val="ListParagraph"/>
        <w:numPr>
          <w:ilvl w:val="0"/>
          <w:numId w:val="221"/>
        </w:numPr>
        <w:tabs>
          <w:tab w:pos="1650" w:val="left" w:leader="none"/>
        </w:tabs>
        <w:spacing w:line="249" w:lineRule="auto" w:before="1" w:after="0"/>
        <w:ind w:left="1074" w:right="1275" w:firstLine="340"/>
        <w:jc w:val="both"/>
        <w:rPr>
          <w:sz w:val="20"/>
        </w:rPr>
      </w:pPr>
      <w:r>
        <w:rPr>
          <w:sz w:val="20"/>
        </w:rPr>
        <w:t>la persona física o jurídica solo distribuya determinados productos de seguro que sean complementarios de un bien o</w:t>
      </w:r>
      <w:r>
        <w:rPr>
          <w:spacing w:val="-5"/>
          <w:sz w:val="20"/>
        </w:rPr>
        <w:t> </w:t>
      </w:r>
      <w:r>
        <w:rPr>
          <w:sz w:val="20"/>
        </w:rPr>
        <w:t>servicio;</w:t>
      </w:r>
    </w:p>
    <w:p>
      <w:pPr>
        <w:pStyle w:val="ListParagraph"/>
        <w:numPr>
          <w:ilvl w:val="0"/>
          <w:numId w:val="221"/>
        </w:numPr>
        <w:tabs>
          <w:tab w:pos="1664" w:val="left" w:leader="none"/>
        </w:tabs>
        <w:spacing w:line="249" w:lineRule="auto" w:before="2" w:after="0"/>
        <w:ind w:left="1074" w:right="1272" w:firstLine="340"/>
        <w:jc w:val="both"/>
        <w:rPr>
          <w:sz w:val="20"/>
        </w:rPr>
      </w:pPr>
      <w:r>
        <w:rPr>
          <w:sz w:val="20"/>
        </w:rPr>
        <w:t>los productos de seguro en cuestión no ofrezcan cobertura de seguro de vida o de responsabilidad civil, salvo cuando tal cobertura sea complementaria del bien o servicio suministrado por el mediador en su actividad profesional</w:t>
      </w:r>
      <w:r>
        <w:rPr>
          <w:spacing w:val="-10"/>
          <w:sz w:val="20"/>
        </w:rPr>
        <w:t> </w:t>
      </w:r>
      <w:r>
        <w:rPr>
          <w:sz w:val="20"/>
        </w:rPr>
        <w:t>principal.</w:t>
      </w:r>
    </w:p>
    <w:p>
      <w:pPr>
        <w:pStyle w:val="ListParagraph"/>
        <w:numPr>
          <w:ilvl w:val="0"/>
          <w:numId w:val="220"/>
        </w:numPr>
        <w:tabs>
          <w:tab w:pos="1676" w:val="left" w:leader="none"/>
        </w:tabs>
        <w:spacing w:line="249" w:lineRule="auto" w:before="123" w:after="0"/>
        <w:ind w:left="1074" w:right="1274" w:firstLine="340"/>
        <w:jc w:val="both"/>
        <w:rPr>
          <w:sz w:val="20"/>
        </w:rPr>
      </w:pPr>
      <w:r>
        <w:rPr>
          <w:sz w:val="20"/>
        </w:rPr>
        <w:t>«Mediador de reaseguros»: Toda persona física o jurídica, distinta de una entidad reaseguradora y de sus empleados, que, a cambio de una remuneración, emprenda o realice una actividad de distribución de</w:t>
      </w:r>
      <w:r>
        <w:rPr>
          <w:spacing w:val="-7"/>
          <w:sz w:val="20"/>
        </w:rPr>
        <w:t> </w:t>
      </w:r>
      <w:r>
        <w:rPr>
          <w:sz w:val="20"/>
        </w:rPr>
        <w:t>reaseguros.</w:t>
      </w:r>
    </w:p>
    <w:p>
      <w:pPr>
        <w:pStyle w:val="ListParagraph"/>
        <w:numPr>
          <w:ilvl w:val="0"/>
          <w:numId w:val="220"/>
        </w:numPr>
        <w:tabs>
          <w:tab w:pos="1663" w:val="left" w:leader="none"/>
        </w:tabs>
        <w:spacing w:line="249" w:lineRule="auto" w:before="2" w:after="0"/>
        <w:ind w:left="1074" w:right="1276" w:firstLine="340"/>
        <w:jc w:val="both"/>
        <w:rPr>
          <w:sz w:val="20"/>
        </w:rPr>
      </w:pPr>
      <w:r>
        <w:rPr>
          <w:sz w:val="20"/>
        </w:rPr>
        <w:t>«Entidad aseguradora»: Toda entidad acorde con la definición del artículo 6.1 de la Ley 20/2015, de 14 de julio, de ordenación, supervisión y solvencia de las entidades aseguradoras y</w:t>
      </w:r>
      <w:r>
        <w:rPr>
          <w:spacing w:val="-2"/>
          <w:sz w:val="20"/>
        </w:rPr>
        <w:t> </w:t>
      </w:r>
      <w:r>
        <w:rPr>
          <w:sz w:val="20"/>
        </w:rPr>
        <w:t>reaseguradoras.</w:t>
      </w:r>
    </w:p>
    <w:p>
      <w:pPr>
        <w:pStyle w:val="ListParagraph"/>
        <w:numPr>
          <w:ilvl w:val="0"/>
          <w:numId w:val="220"/>
        </w:numPr>
        <w:tabs>
          <w:tab w:pos="1650" w:val="left" w:leader="none"/>
        </w:tabs>
        <w:spacing w:line="249" w:lineRule="auto" w:before="3" w:after="0"/>
        <w:ind w:left="1074" w:right="1276" w:firstLine="340"/>
        <w:jc w:val="both"/>
        <w:rPr>
          <w:sz w:val="20"/>
        </w:rPr>
      </w:pPr>
      <w:r>
        <w:rPr>
          <w:sz w:val="20"/>
        </w:rPr>
        <w:t>«Entidad reaseguradora»: Toda entidad acorde con la definición del artículo 6.4 de la Ley 20/2015, de 14 de</w:t>
      </w:r>
      <w:r>
        <w:rPr>
          <w:spacing w:val="-6"/>
          <w:sz w:val="20"/>
        </w:rPr>
        <w:t> </w:t>
      </w:r>
      <w:r>
        <w:rPr>
          <w:sz w:val="20"/>
        </w:rPr>
        <w:t>julio.</w:t>
      </w:r>
    </w:p>
    <w:p>
      <w:pPr>
        <w:pStyle w:val="ListParagraph"/>
        <w:numPr>
          <w:ilvl w:val="0"/>
          <w:numId w:val="220"/>
        </w:numPr>
        <w:tabs>
          <w:tab w:pos="1732" w:val="left" w:leader="none"/>
        </w:tabs>
        <w:spacing w:line="249" w:lineRule="auto" w:before="1" w:after="0"/>
        <w:ind w:left="1074" w:right="1272" w:firstLine="340"/>
        <w:jc w:val="both"/>
        <w:rPr>
          <w:sz w:val="20"/>
        </w:rPr>
      </w:pPr>
      <w:r>
        <w:rPr>
          <w:sz w:val="20"/>
        </w:rPr>
        <w:t>«Distribuidor de seguros»: Todo mediador de seguros, mediador de seguros complementarios, o entidad</w:t>
      </w:r>
      <w:r>
        <w:rPr>
          <w:spacing w:val="-3"/>
          <w:sz w:val="20"/>
        </w:rPr>
        <w:t> </w:t>
      </w:r>
      <w:r>
        <w:rPr>
          <w:sz w:val="20"/>
        </w:rPr>
        <w:t>aseguradora.</w:t>
      </w:r>
    </w:p>
    <w:p>
      <w:pPr>
        <w:pStyle w:val="ListParagraph"/>
        <w:numPr>
          <w:ilvl w:val="0"/>
          <w:numId w:val="220"/>
        </w:numPr>
        <w:tabs>
          <w:tab w:pos="1637" w:val="left" w:leader="none"/>
        </w:tabs>
        <w:spacing w:line="240" w:lineRule="auto" w:before="2" w:after="0"/>
        <w:ind w:left="1636" w:right="0" w:hanging="223"/>
        <w:jc w:val="both"/>
        <w:rPr>
          <w:sz w:val="20"/>
        </w:rPr>
      </w:pPr>
      <w:r>
        <w:rPr>
          <w:sz w:val="20"/>
        </w:rPr>
        <w:t>«Distribuidor de reaseguros»: todo mediador de reaseguros o entidad</w:t>
      </w:r>
      <w:r>
        <w:rPr>
          <w:spacing w:val="-11"/>
          <w:sz w:val="20"/>
        </w:rPr>
        <w:t> </w:t>
      </w:r>
      <w:r>
        <w:rPr>
          <w:sz w:val="20"/>
        </w:rPr>
        <w:t>reaseguradora.</w:t>
      </w:r>
    </w:p>
    <w:p>
      <w:pPr>
        <w:pStyle w:val="ListParagraph"/>
        <w:numPr>
          <w:ilvl w:val="0"/>
          <w:numId w:val="220"/>
        </w:numPr>
        <w:tabs>
          <w:tab w:pos="1728" w:val="left" w:leader="none"/>
        </w:tabs>
        <w:spacing w:line="249" w:lineRule="auto" w:before="10" w:after="0"/>
        <w:ind w:left="1074" w:right="1273" w:firstLine="340"/>
        <w:jc w:val="both"/>
        <w:rPr>
          <w:sz w:val="20"/>
        </w:rPr>
      </w:pPr>
      <w:r>
        <w:rPr>
          <w:sz w:val="20"/>
        </w:rPr>
        <w:t>«Remuneración»: Toda comisión, honorario o cualquier otro pago, incluyendo cualquier posible ventaja económica o cualquier otro beneficio o incentivo, de carácter financiero o no, ofrecidos u otorgados en relación con actividades de distribución de seguros o de</w:t>
      </w:r>
      <w:r>
        <w:rPr>
          <w:spacing w:val="-3"/>
          <w:sz w:val="20"/>
        </w:rPr>
        <w:t> </w:t>
      </w:r>
      <w:r>
        <w:rPr>
          <w:sz w:val="20"/>
        </w:rPr>
        <w:t>reaseguros.</w:t>
      </w:r>
    </w:p>
    <w:p>
      <w:pPr>
        <w:pStyle w:val="ListParagraph"/>
        <w:numPr>
          <w:ilvl w:val="0"/>
          <w:numId w:val="220"/>
        </w:numPr>
        <w:tabs>
          <w:tab w:pos="1637" w:val="left" w:leader="none"/>
        </w:tabs>
        <w:spacing w:line="240" w:lineRule="auto" w:before="3" w:after="0"/>
        <w:ind w:left="1636" w:right="0" w:hanging="223"/>
        <w:jc w:val="both"/>
        <w:rPr>
          <w:sz w:val="20"/>
        </w:rPr>
      </w:pPr>
      <w:r>
        <w:rPr>
          <w:sz w:val="20"/>
        </w:rPr>
        <w:t>«Estado miembro de</w:t>
      </w:r>
      <w:r>
        <w:rPr>
          <w:spacing w:val="-3"/>
          <w:sz w:val="20"/>
        </w:rPr>
        <w:t> </w:t>
      </w:r>
      <w:r>
        <w:rPr>
          <w:sz w:val="20"/>
        </w:rPr>
        <w:t>origen»:</w:t>
      </w:r>
    </w:p>
    <w:p>
      <w:pPr>
        <w:pStyle w:val="ListParagraph"/>
        <w:numPr>
          <w:ilvl w:val="0"/>
          <w:numId w:val="222"/>
        </w:numPr>
        <w:tabs>
          <w:tab w:pos="1672" w:val="left" w:leader="none"/>
        </w:tabs>
        <w:spacing w:line="249" w:lineRule="auto" w:before="130" w:after="0"/>
        <w:ind w:left="1074" w:right="1273" w:firstLine="340"/>
        <w:jc w:val="both"/>
        <w:rPr>
          <w:sz w:val="20"/>
        </w:rPr>
      </w:pPr>
      <w:r>
        <w:rPr>
          <w:sz w:val="20"/>
        </w:rPr>
        <w:t>Cuando el mediador sea una persona física, el Estado miembro en el que tenga su residencia.</w:t>
      </w:r>
    </w:p>
    <w:p>
      <w:pPr>
        <w:pStyle w:val="ListParagraph"/>
        <w:numPr>
          <w:ilvl w:val="0"/>
          <w:numId w:val="222"/>
        </w:numPr>
        <w:tabs>
          <w:tab w:pos="1660" w:val="left" w:leader="none"/>
        </w:tabs>
        <w:spacing w:line="249" w:lineRule="auto" w:before="2" w:after="0"/>
        <w:ind w:left="1074" w:right="1273" w:firstLine="340"/>
        <w:jc w:val="both"/>
        <w:rPr>
          <w:sz w:val="20"/>
        </w:rPr>
      </w:pPr>
      <w:r>
        <w:rPr>
          <w:sz w:val="20"/>
        </w:rPr>
        <w:t>Cuando el mediador sea una persona jurídica, el Estado miembro en el que tenga su domicilio social o, si conforme a su Derecho nacional no tiene domicilio social, el Estado miembro en que tenga su administración</w:t>
      </w:r>
      <w:r>
        <w:rPr>
          <w:spacing w:val="-5"/>
          <w:sz w:val="20"/>
        </w:rPr>
        <w:t> </w:t>
      </w:r>
      <w:r>
        <w:rPr>
          <w:sz w:val="20"/>
        </w:rPr>
        <w:t>central.</w:t>
      </w:r>
    </w:p>
    <w:p>
      <w:pPr>
        <w:pStyle w:val="ListParagraph"/>
        <w:numPr>
          <w:ilvl w:val="0"/>
          <w:numId w:val="220"/>
        </w:numPr>
        <w:tabs>
          <w:tab w:pos="1753" w:val="left" w:leader="none"/>
        </w:tabs>
        <w:spacing w:line="249" w:lineRule="auto" w:before="122" w:after="0"/>
        <w:ind w:left="1074" w:right="1274" w:firstLine="340"/>
        <w:jc w:val="both"/>
        <w:rPr>
          <w:sz w:val="20"/>
        </w:rPr>
      </w:pPr>
      <w:r>
        <w:rPr>
          <w:sz w:val="20"/>
        </w:rPr>
        <w:t>«Estado miembro de acogida»: Estado miembro en el que un mediador de seguros o reaseguros mantenga una presencia o un establecimiento permanente o suministre servicios, y que no sea su Estado miembro de</w:t>
      </w:r>
      <w:r>
        <w:rPr>
          <w:spacing w:val="-5"/>
          <w:sz w:val="20"/>
        </w:rPr>
        <w:t> </w:t>
      </w:r>
      <w:r>
        <w:rPr>
          <w:sz w:val="20"/>
        </w:rPr>
        <w:t>origen.</w:t>
      </w:r>
    </w:p>
    <w:p>
      <w:pPr>
        <w:pStyle w:val="ListParagraph"/>
        <w:numPr>
          <w:ilvl w:val="0"/>
          <w:numId w:val="220"/>
        </w:numPr>
        <w:tabs>
          <w:tab w:pos="1829" w:val="left" w:leader="none"/>
        </w:tabs>
        <w:spacing w:line="249" w:lineRule="auto" w:before="3" w:after="0"/>
        <w:ind w:left="1074" w:right="1272" w:firstLine="340"/>
        <w:jc w:val="both"/>
        <w:rPr>
          <w:sz w:val="20"/>
        </w:rPr>
      </w:pPr>
      <w:r>
        <w:rPr>
          <w:sz w:val="20"/>
        </w:rPr>
        <w:t>«Sucursal»: Todo establecimiento permanente de un mediador de seguros o reaseguros que esté situado en el territorio de un Estado miembro distinto del</w:t>
      </w:r>
      <w:r>
        <w:rPr>
          <w:spacing w:val="24"/>
          <w:sz w:val="20"/>
        </w:rPr>
        <w:t> </w:t>
      </w:r>
      <w:r>
        <w:rPr>
          <w:sz w:val="20"/>
        </w:rPr>
        <w:t>Estado miembro de</w:t>
      </w:r>
      <w:r>
        <w:rPr>
          <w:spacing w:val="-2"/>
          <w:sz w:val="20"/>
        </w:rPr>
        <w:t> </w:t>
      </w:r>
      <w:r>
        <w:rPr>
          <w:sz w:val="20"/>
        </w:rPr>
        <w:t>origen.</w:t>
      </w:r>
    </w:p>
    <w:p>
      <w:pPr>
        <w:pStyle w:val="ListParagraph"/>
        <w:numPr>
          <w:ilvl w:val="0"/>
          <w:numId w:val="220"/>
        </w:numPr>
        <w:tabs>
          <w:tab w:pos="1755" w:val="left" w:leader="none"/>
        </w:tabs>
        <w:spacing w:line="249" w:lineRule="auto" w:before="2" w:after="0"/>
        <w:ind w:left="1074" w:right="1274" w:firstLine="340"/>
        <w:jc w:val="both"/>
        <w:rPr>
          <w:sz w:val="20"/>
        </w:rPr>
      </w:pPr>
      <w:r>
        <w:rPr>
          <w:sz w:val="20"/>
        </w:rPr>
        <w:t>«Vínculos estrechos»: Aquellos a los que se refiere el artículo 9.6 de la Ley 20/2015, de 14 de</w:t>
      </w:r>
      <w:r>
        <w:rPr>
          <w:spacing w:val="-4"/>
          <w:sz w:val="20"/>
        </w:rPr>
        <w:t> </w:t>
      </w:r>
      <w:r>
        <w:rPr>
          <w:sz w:val="20"/>
        </w:rPr>
        <w:t>julio.</w:t>
      </w:r>
    </w:p>
    <w:p>
      <w:pPr>
        <w:pStyle w:val="ListParagraph"/>
        <w:numPr>
          <w:ilvl w:val="0"/>
          <w:numId w:val="220"/>
        </w:numPr>
        <w:tabs>
          <w:tab w:pos="1790" w:val="left" w:leader="none"/>
        </w:tabs>
        <w:spacing w:line="249" w:lineRule="auto" w:before="2" w:after="0"/>
        <w:ind w:left="1074" w:right="1274" w:firstLine="340"/>
        <w:jc w:val="both"/>
        <w:rPr>
          <w:sz w:val="20"/>
        </w:rPr>
      </w:pPr>
      <w:r>
        <w:rPr>
          <w:sz w:val="20"/>
        </w:rPr>
        <w:t>«Participación significativa»: Aquella a la que se refiere el artículo 9.5 de la Ley 20/2015, de 14 de</w:t>
      </w:r>
      <w:r>
        <w:rPr>
          <w:spacing w:val="-5"/>
          <w:sz w:val="20"/>
        </w:rPr>
        <w:t> </w:t>
      </w:r>
      <w:r>
        <w:rPr>
          <w:sz w:val="20"/>
        </w:rPr>
        <w:t>julio.</w:t>
      </w:r>
    </w:p>
    <w:p>
      <w:pPr>
        <w:pStyle w:val="ListParagraph"/>
        <w:numPr>
          <w:ilvl w:val="0"/>
          <w:numId w:val="220"/>
        </w:numPr>
        <w:tabs>
          <w:tab w:pos="1748" w:val="left" w:leader="none"/>
        </w:tabs>
        <w:spacing w:line="240" w:lineRule="auto" w:before="1" w:after="0"/>
        <w:ind w:left="1747" w:right="0" w:hanging="334"/>
        <w:jc w:val="both"/>
        <w:rPr>
          <w:sz w:val="20"/>
        </w:rPr>
      </w:pPr>
      <w:r>
        <w:rPr>
          <w:sz w:val="20"/>
        </w:rPr>
        <w:t>«Centro principal de actividad»: Lugar en el que se gestiona la actividad</w:t>
      </w:r>
      <w:r>
        <w:rPr>
          <w:spacing w:val="-28"/>
          <w:sz w:val="20"/>
        </w:rPr>
        <w:t> </w:t>
      </w:r>
      <w:r>
        <w:rPr>
          <w:sz w:val="20"/>
        </w:rPr>
        <w:t>principal.</w:t>
      </w:r>
    </w:p>
    <w:p>
      <w:pPr>
        <w:pStyle w:val="ListParagraph"/>
        <w:numPr>
          <w:ilvl w:val="0"/>
          <w:numId w:val="220"/>
        </w:numPr>
        <w:tabs>
          <w:tab w:pos="1783" w:val="left" w:leader="none"/>
        </w:tabs>
        <w:spacing w:line="249" w:lineRule="auto" w:before="10" w:after="0"/>
        <w:ind w:left="1074" w:right="1274" w:firstLine="340"/>
        <w:jc w:val="both"/>
        <w:rPr>
          <w:sz w:val="20"/>
        </w:rPr>
      </w:pPr>
      <w:r>
        <w:rPr>
          <w:sz w:val="20"/>
        </w:rPr>
        <w:t>«Asesoramiento»: recomendación personalizada hecha a un cliente, a petición de este o a iniciativa del distribuidor de seguros, respecto de uno o más contratos de</w:t>
      </w:r>
      <w:r>
        <w:rPr>
          <w:spacing w:val="-32"/>
          <w:sz w:val="20"/>
        </w:rPr>
        <w:t> </w:t>
      </w:r>
      <w:r>
        <w:rPr>
          <w:sz w:val="20"/>
        </w:rPr>
        <w:t>seguro.</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20"/>
        </w:numPr>
        <w:tabs>
          <w:tab w:pos="1754" w:val="left" w:leader="none"/>
        </w:tabs>
        <w:spacing w:line="249" w:lineRule="auto" w:before="127" w:after="0"/>
        <w:ind w:left="1074" w:right="1273" w:firstLine="340"/>
        <w:jc w:val="both"/>
        <w:rPr>
          <w:sz w:val="20"/>
        </w:rPr>
      </w:pPr>
      <w:r>
        <w:rPr>
          <w:sz w:val="20"/>
        </w:rPr>
        <w:t>«Grandes riesgos»: Aquellos a los que se refiere el artículo 11 de la Ley 20/2015, de 14 de</w:t>
      </w:r>
      <w:r>
        <w:rPr>
          <w:spacing w:val="-3"/>
          <w:sz w:val="20"/>
        </w:rPr>
        <w:t> </w:t>
      </w:r>
      <w:r>
        <w:rPr>
          <w:sz w:val="20"/>
        </w:rPr>
        <w:t>julio.</w:t>
      </w:r>
    </w:p>
    <w:p>
      <w:pPr>
        <w:pStyle w:val="ListParagraph"/>
        <w:numPr>
          <w:ilvl w:val="0"/>
          <w:numId w:val="220"/>
        </w:numPr>
        <w:tabs>
          <w:tab w:pos="1753" w:val="left" w:leader="none"/>
        </w:tabs>
        <w:spacing w:line="249" w:lineRule="auto" w:before="1" w:after="0"/>
        <w:ind w:left="1074" w:right="1273" w:firstLine="340"/>
        <w:jc w:val="both"/>
        <w:rPr>
          <w:sz w:val="20"/>
        </w:rPr>
      </w:pPr>
      <w:r>
        <w:rPr>
          <w:sz w:val="20"/>
        </w:rPr>
        <w:t>«Producto de inversión basado en seguros»: Producto de seguro que ofrece un valor de vencimiento o de rescate expuesto total o parcialmente, y directa o indirectamente, a las fluctuaciones del mercado, y que no</w:t>
      </w:r>
      <w:r>
        <w:rPr>
          <w:spacing w:val="-4"/>
          <w:sz w:val="20"/>
        </w:rPr>
        <w:t> </w:t>
      </w:r>
      <w:r>
        <w:rPr>
          <w:sz w:val="20"/>
        </w:rPr>
        <w:t>incluye:</w:t>
      </w:r>
    </w:p>
    <w:p>
      <w:pPr>
        <w:pStyle w:val="ListParagraph"/>
        <w:numPr>
          <w:ilvl w:val="0"/>
          <w:numId w:val="223"/>
        </w:numPr>
        <w:tabs>
          <w:tab w:pos="1662" w:val="left" w:leader="none"/>
        </w:tabs>
        <w:spacing w:line="249" w:lineRule="auto" w:before="123" w:after="0"/>
        <w:ind w:left="1074" w:right="1274" w:firstLine="340"/>
        <w:jc w:val="both"/>
        <w:rPr>
          <w:sz w:val="20"/>
        </w:rPr>
      </w:pPr>
      <w:r>
        <w:rPr>
          <w:sz w:val="20"/>
        </w:rPr>
        <w:t>Los productos de seguro distintos del seguro de vida según lo dispuesto en el anexo de la Ley 20/2015, de 14 de julio, ramos de seguro distinto del seguro de vida y riesgos accesorios.</w:t>
      </w:r>
    </w:p>
    <w:p>
      <w:pPr>
        <w:pStyle w:val="ListParagraph"/>
        <w:numPr>
          <w:ilvl w:val="0"/>
          <w:numId w:val="223"/>
        </w:numPr>
        <w:tabs>
          <w:tab w:pos="1655" w:val="left" w:leader="none"/>
        </w:tabs>
        <w:spacing w:line="249" w:lineRule="auto" w:before="2" w:after="0"/>
        <w:ind w:left="1074" w:right="1273" w:firstLine="340"/>
        <w:jc w:val="both"/>
        <w:rPr>
          <w:sz w:val="20"/>
        </w:rPr>
      </w:pPr>
      <w:r>
        <w:rPr>
          <w:sz w:val="20"/>
        </w:rPr>
        <w:t>Contratos de seguro de vida en los que las prestaciones previstas en el contrato sean pagaderas únicamente en caso de fallecimiento o de situaciones de invalidez provocadas  por accidente, enfermedad o</w:t>
      </w:r>
      <w:r>
        <w:rPr>
          <w:spacing w:val="-6"/>
          <w:sz w:val="20"/>
        </w:rPr>
        <w:t> </w:t>
      </w:r>
      <w:r>
        <w:rPr>
          <w:sz w:val="20"/>
        </w:rPr>
        <w:t>discapacidad.</w:t>
      </w:r>
    </w:p>
    <w:p>
      <w:pPr>
        <w:pStyle w:val="ListParagraph"/>
        <w:numPr>
          <w:ilvl w:val="0"/>
          <w:numId w:val="223"/>
        </w:numPr>
        <w:tabs>
          <w:tab w:pos="1647" w:val="left" w:leader="none"/>
        </w:tabs>
        <w:spacing w:line="249" w:lineRule="auto" w:before="3" w:after="0"/>
        <w:ind w:left="1074" w:right="1272" w:firstLine="340"/>
        <w:jc w:val="both"/>
        <w:rPr>
          <w:sz w:val="20"/>
        </w:rPr>
      </w:pPr>
      <w:r>
        <w:rPr>
          <w:sz w:val="20"/>
        </w:rPr>
        <w:t>Productos de pensión que tengan reconocida como finalidad primaria la de proveer al inversor unos ingresos en la jubilación y que den derecho al inversor a determinadas prestaciones.</w:t>
      </w:r>
    </w:p>
    <w:p>
      <w:pPr>
        <w:pStyle w:val="ListParagraph"/>
        <w:numPr>
          <w:ilvl w:val="0"/>
          <w:numId w:val="223"/>
        </w:numPr>
        <w:tabs>
          <w:tab w:pos="1660" w:val="left" w:leader="none"/>
        </w:tabs>
        <w:spacing w:line="249" w:lineRule="auto" w:before="2" w:after="0"/>
        <w:ind w:left="1074" w:right="1274" w:firstLine="340"/>
        <w:jc w:val="both"/>
        <w:rPr>
          <w:sz w:val="20"/>
        </w:rPr>
      </w:pPr>
      <w:r>
        <w:rPr>
          <w:sz w:val="20"/>
        </w:rPr>
        <w:t>Los regímenes de pensiones profesionales reconocidos oficialmente que entren en el ámbito de aplicación del texto refundido de la Ley de Regulación de los Planes y Fondos de Pensiones aprobado por el Real Decreto Legislativo 1/2002, de 29 de noviembre o de la Ley 20/2015, de 14 de</w:t>
      </w:r>
      <w:r>
        <w:rPr>
          <w:spacing w:val="-5"/>
          <w:sz w:val="20"/>
        </w:rPr>
        <w:t> </w:t>
      </w:r>
      <w:r>
        <w:rPr>
          <w:sz w:val="20"/>
        </w:rPr>
        <w:t>julio.</w:t>
      </w:r>
    </w:p>
    <w:p>
      <w:pPr>
        <w:pStyle w:val="ListParagraph"/>
        <w:numPr>
          <w:ilvl w:val="0"/>
          <w:numId w:val="223"/>
        </w:numPr>
        <w:tabs>
          <w:tab w:pos="1657" w:val="left" w:leader="none"/>
        </w:tabs>
        <w:spacing w:line="249" w:lineRule="auto" w:before="3" w:after="0"/>
        <w:ind w:left="1074" w:right="1272" w:firstLine="340"/>
        <w:jc w:val="both"/>
        <w:rPr>
          <w:sz w:val="20"/>
        </w:rPr>
      </w:pPr>
      <w:r>
        <w:rPr>
          <w:sz w:val="20"/>
        </w:rPr>
        <w:t>Productos de pensión personales en relación con los cuales se exija una contribución financiera del empleador y en los que ni el empleador ni el empleado tengan posibilidad alguna de elegir el producto de pensión ni a su</w:t>
      </w:r>
      <w:r>
        <w:rPr>
          <w:spacing w:val="-15"/>
          <w:sz w:val="20"/>
        </w:rPr>
        <w:t> </w:t>
      </w:r>
      <w:r>
        <w:rPr>
          <w:sz w:val="20"/>
        </w:rPr>
        <w:t>proveedor.</w:t>
      </w:r>
    </w:p>
    <w:p>
      <w:pPr>
        <w:pStyle w:val="ListParagraph"/>
        <w:numPr>
          <w:ilvl w:val="0"/>
          <w:numId w:val="220"/>
        </w:numPr>
        <w:tabs>
          <w:tab w:pos="1748" w:val="left" w:leader="none"/>
        </w:tabs>
        <w:spacing w:line="240" w:lineRule="auto" w:before="123" w:after="0"/>
        <w:ind w:left="1747" w:right="0" w:hanging="334"/>
        <w:jc w:val="both"/>
        <w:rPr>
          <w:sz w:val="20"/>
        </w:rPr>
      </w:pPr>
      <w:r>
        <w:rPr>
          <w:sz w:val="20"/>
        </w:rPr>
        <w:t>«Soporte duradero»: Todo instrumento</w:t>
      </w:r>
      <w:r>
        <w:rPr>
          <w:spacing w:val="-5"/>
          <w:sz w:val="20"/>
        </w:rPr>
        <w:t> </w:t>
      </w:r>
      <w:r>
        <w:rPr>
          <w:sz w:val="20"/>
        </w:rPr>
        <w:t>que:</w:t>
      </w:r>
    </w:p>
    <w:p>
      <w:pPr>
        <w:pStyle w:val="ListParagraph"/>
        <w:numPr>
          <w:ilvl w:val="0"/>
          <w:numId w:val="224"/>
        </w:numPr>
        <w:tabs>
          <w:tab w:pos="1671" w:val="left" w:leader="none"/>
        </w:tabs>
        <w:spacing w:line="249" w:lineRule="auto" w:before="130" w:after="0"/>
        <w:ind w:left="1074" w:right="1274" w:firstLine="340"/>
        <w:jc w:val="both"/>
        <w:rPr>
          <w:sz w:val="20"/>
        </w:rPr>
      </w:pPr>
      <w:r>
        <w:rPr>
          <w:sz w:val="20"/>
        </w:rPr>
        <w:t>Permita a un cliente almacenar la información dirigida a él personalmente, de modo que pueda acceder a ella posteriormente para consulta, durante un período de tiempo adecuado para los fines a los que la información esté destinada, y</w:t>
      </w:r>
      <w:r>
        <w:rPr>
          <w:spacing w:val="-21"/>
          <w:sz w:val="20"/>
        </w:rPr>
        <w:t> </w:t>
      </w:r>
      <w:r>
        <w:rPr>
          <w:sz w:val="20"/>
        </w:rPr>
        <w:t>que</w:t>
      </w:r>
    </w:p>
    <w:p>
      <w:pPr>
        <w:pStyle w:val="ListParagraph"/>
        <w:numPr>
          <w:ilvl w:val="0"/>
          <w:numId w:val="224"/>
        </w:numPr>
        <w:tabs>
          <w:tab w:pos="1648" w:val="left" w:leader="none"/>
        </w:tabs>
        <w:spacing w:line="240" w:lineRule="auto" w:before="2" w:after="0"/>
        <w:ind w:left="1647" w:right="0" w:hanging="234"/>
        <w:jc w:val="both"/>
        <w:rPr>
          <w:sz w:val="20"/>
        </w:rPr>
      </w:pPr>
      <w:r>
        <w:rPr>
          <w:sz w:val="20"/>
        </w:rPr>
        <w:t>permita la reproducción sin cambios de la información</w:t>
      </w:r>
      <w:r>
        <w:rPr>
          <w:spacing w:val="-9"/>
          <w:sz w:val="20"/>
        </w:rPr>
        <w:t> </w:t>
      </w:r>
      <w:r>
        <w:rPr>
          <w:sz w:val="20"/>
        </w:rPr>
        <w:t>almacenada.</w:t>
      </w:r>
    </w:p>
    <w:p>
      <w:pPr>
        <w:pStyle w:val="ListParagraph"/>
        <w:numPr>
          <w:ilvl w:val="0"/>
          <w:numId w:val="220"/>
        </w:numPr>
        <w:tabs>
          <w:tab w:pos="1755" w:val="left" w:leader="none"/>
        </w:tabs>
        <w:spacing w:line="249" w:lineRule="auto" w:before="130" w:after="0"/>
        <w:ind w:left="1074" w:right="1272" w:firstLine="340"/>
        <w:jc w:val="both"/>
        <w:rPr>
          <w:sz w:val="20"/>
        </w:rPr>
      </w:pPr>
      <w:r>
        <w:rPr>
          <w:sz w:val="20"/>
        </w:rPr>
        <w:t>«Honorabilidad comercial y profesional»: Cualidad aplicable a aquellas personas que hayan venido observando una trayectoria personal de respeto a las leyes mercantiles u otras que regulen la actividad económica y la vida de los negocios, así como a las buenas prácticas comerciales, financieras y de seguros. Dicha condición será atribuible a aquellas personas que no tengan antecedentes penales por haber cometido infracciones penales relativas al ejercicio de actividades financieras, y que no hayan sido sancionadas en el ámbito administrativo en materia aseguradora, bancaria, de mercado de valores, Hacienda Pública, Seguridad Social, defensa de la competencia, movimiento de capitales, transacciones económicas con el exterior, blanqueo de capitales y financiación del terrorismo y protección de consumidores y usuarios por la comisión de infracciones tipificadas como muy graves o</w:t>
      </w:r>
      <w:r>
        <w:rPr>
          <w:spacing w:val="-3"/>
          <w:sz w:val="20"/>
        </w:rPr>
        <w:t> </w:t>
      </w:r>
      <w:r>
        <w:rPr>
          <w:sz w:val="20"/>
        </w:rPr>
        <w:t>graves.</w:t>
      </w:r>
    </w:p>
    <w:p>
      <w:pPr>
        <w:pStyle w:val="BodyText"/>
        <w:spacing w:line="249" w:lineRule="auto" w:before="9"/>
        <w:ind w:right="1272"/>
      </w:pPr>
      <w:r>
        <w:rPr/>
        <w:t>Se considerarán circunstancias que no permiten cumplir el requisito de honorabilidad la inhabilitación para el ejercicio de cargos públicos o de administración y dirección de entidades financieras, así como la declarada conforme a la Ley 22/2003, de 9 de julio, Concursal, mientras no haya concluido el periodo de inhabilitación fijado, o el estado de quebrado o concursado no rehabilitado en el caso de procedimientos concursales anteriores a la entrada en vigor del real</w:t>
      </w:r>
      <w:r>
        <w:rPr>
          <w:spacing w:val="-7"/>
        </w:rPr>
        <w:t> </w:t>
      </w:r>
      <w:r>
        <w:rPr/>
        <w:t>decreto-ley.</w:t>
      </w:r>
    </w:p>
    <w:p>
      <w:pPr>
        <w:pStyle w:val="ListParagraph"/>
        <w:numPr>
          <w:ilvl w:val="0"/>
          <w:numId w:val="220"/>
        </w:numPr>
        <w:tabs>
          <w:tab w:pos="1822" w:val="left" w:leader="none"/>
        </w:tabs>
        <w:spacing w:line="249" w:lineRule="auto" w:before="5" w:after="0"/>
        <w:ind w:left="1074" w:right="1274" w:firstLine="339"/>
        <w:jc w:val="both"/>
        <w:rPr>
          <w:sz w:val="20"/>
        </w:rPr>
      </w:pPr>
      <w:r>
        <w:rPr>
          <w:sz w:val="20"/>
        </w:rPr>
        <w:t>«Cargos de administración»: Los administradores o miembros de los órganos colegiados de administración de los distribuidores de</w:t>
      </w:r>
      <w:r>
        <w:rPr>
          <w:spacing w:val="-10"/>
          <w:sz w:val="20"/>
        </w:rPr>
        <w:t> </w:t>
      </w:r>
      <w:r>
        <w:rPr>
          <w:sz w:val="20"/>
        </w:rPr>
        <w:t>seguros.</w:t>
      </w:r>
    </w:p>
    <w:p>
      <w:pPr>
        <w:pStyle w:val="ListParagraph"/>
        <w:numPr>
          <w:ilvl w:val="0"/>
          <w:numId w:val="220"/>
        </w:numPr>
        <w:tabs>
          <w:tab w:pos="1770" w:val="left" w:leader="none"/>
        </w:tabs>
        <w:spacing w:line="249" w:lineRule="auto" w:before="2" w:after="0"/>
        <w:ind w:left="1074" w:right="1273" w:firstLine="340"/>
        <w:jc w:val="both"/>
        <w:rPr>
          <w:sz w:val="20"/>
        </w:rPr>
      </w:pPr>
      <w:r>
        <w:rPr>
          <w:sz w:val="20"/>
        </w:rPr>
        <w:t>«Órgano de dirección responsable de la actividad de distribución»: Aquel integrado por las personas que desarrollen, en el seno del distribuidor de seguros, persona jurídica, las más altas funciones de dirección ejecutiva de la actividad de distribución de seguros bajo la dependencia directa o indirecta de su órgano de administración, de comisiones ejecutivas o de consejeros delegados de</w:t>
      </w:r>
      <w:r>
        <w:rPr>
          <w:spacing w:val="-4"/>
          <w:sz w:val="20"/>
        </w:rPr>
        <w:t> </w:t>
      </w:r>
      <w:r>
        <w:rPr>
          <w:sz w:val="20"/>
        </w:rPr>
        <w:t>aquel.</w:t>
      </w:r>
    </w:p>
    <w:p>
      <w:pPr>
        <w:pStyle w:val="ListParagraph"/>
        <w:numPr>
          <w:ilvl w:val="0"/>
          <w:numId w:val="220"/>
        </w:numPr>
        <w:tabs>
          <w:tab w:pos="1753" w:val="left" w:leader="none"/>
        </w:tabs>
        <w:spacing w:line="249" w:lineRule="auto" w:before="4" w:after="0"/>
        <w:ind w:left="1074" w:right="1273" w:firstLine="340"/>
        <w:jc w:val="both"/>
        <w:rPr>
          <w:sz w:val="20"/>
        </w:rPr>
      </w:pPr>
      <w:r>
        <w:rPr>
          <w:sz w:val="20"/>
        </w:rPr>
        <w:t>«Normas sobre distribución de seguros y de reaseguros»: Aquellas comprendidas en este real decreto-ley y en las disposiciones que lo desarrollen y, en general, las que figuren en leyes y disposiciones administrativas de carácter general que contengan preceptos específicamente referidos a la distribución de seguros y de reaseguros y de obligada observancia para quienes realicen o pretendan realizar dicha</w:t>
      </w:r>
      <w:r>
        <w:rPr>
          <w:spacing w:val="-14"/>
          <w:sz w:val="20"/>
        </w:rPr>
        <w:t> </w:t>
      </w:r>
      <w:r>
        <w:rPr>
          <w:sz w:val="20"/>
        </w:rPr>
        <w:t>actividad.</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20"/>
        </w:numPr>
        <w:tabs>
          <w:tab w:pos="1799" w:val="left" w:leader="none"/>
        </w:tabs>
        <w:spacing w:line="249" w:lineRule="auto" w:before="127" w:after="0"/>
        <w:ind w:left="1074" w:right="1273" w:firstLine="340"/>
        <w:jc w:val="both"/>
        <w:rPr>
          <w:sz w:val="20"/>
        </w:rPr>
      </w:pPr>
      <w:r>
        <w:rPr>
          <w:sz w:val="20"/>
        </w:rPr>
        <w:t>«Clientes profesionales»: Aquellos a los que se refiere el artículo 205 del texto refundido de la Ley del Mercado de Valores, aprobado por el Real Decreto Legislativo 4/2015, de 23 de</w:t>
      </w:r>
      <w:r>
        <w:rPr>
          <w:spacing w:val="-5"/>
          <w:sz w:val="20"/>
        </w:rPr>
        <w:t> </w:t>
      </w:r>
      <w:r>
        <w:rPr>
          <w:sz w:val="20"/>
        </w:rPr>
        <w:t>octubre.</w:t>
      </w:r>
    </w:p>
    <w:p>
      <w:pPr>
        <w:pStyle w:val="ListParagraph"/>
        <w:numPr>
          <w:ilvl w:val="0"/>
          <w:numId w:val="220"/>
        </w:numPr>
        <w:tabs>
          <w:tab w:pos="1754" w:val="left" w:leader="none"/>
        </w:tabs>
        <w:spacing w:line="249" w:lineRule="auto" w:before="2" w:after="0"/>
        <w:ind w:left="1074" w:right="1273" w:firstLine="340"/>
        <w:jc w:val="both"/>
        <w:rPr>
          <w:sz w:val="20"/>
        </w:rPr>
      </w:pPr>
      <w:r>
        <w:rPr>
          <w:sz w:val="20"/>
        </w:rPr>
        <w:t>«Venta vinculada»: Toda oferta o venta de un paquete constituido por un contrato de seguro y otros productos o servicios financieros diferenciados cuando el contrato de seguro no se ofrezca al cliente por</w:t>
      </w:r>
      <w:r>
        <w:rPr>
          <w:spacing w:val="-5"/>
          <w:sz w:val="20"/>
        </w:rPr>
        <w:t> </w:t>
      </w:r>
      <w:r>
        <w:rPr>
          <w:sz w:val="20"/>
        </w:rPr>
        <w:t>separado.</w:t>
      </w:r>
    </w:p>
    <w:p>
      <w:pPr>
        <w:pStyle w:val="ListParagraph"/>
        <w:numPr>
          <w:ilvl w:val="0"/>
          <w:numId w:val="220"/>
        </w:numPr>
        <w:tabs>
          <w:tab w:pos="1766" w:val="left" w:leader="none"/>
        </w:tabs>
        <w:spacing w:line="249" w:lineRule="auto" w:before="3" w:after="0"/>
        <w:ind w:left="1074" w:right="1273" w:firstLine="340"/>
        <w:jc w:val="both"/>
        <w:rPr>
          <w:sz w:val="20"/>
        </w:rPr>
      </w:pPr>
      <w:r>
        <w:rPr>
          <w:sz w:val="20"/>
        </w:rPr>
        <w:t>«Venta combinada»: Toda oferta o venta de un paquete constituido por un contrato de seguro y otros productos o servicios financieros diferenciados, cuando el contrato de seguro se ofrezca también al cliente por</w:t>
      </w:r>
      <w:r>
        <w:rPr>
          <w:spacing w:val="-4"/>
          <w:sz w:val="20"/>
        </w:rPr>
        <w:t> </w:t>
      </w:r>
      <w:r>
        <w:rPr>
          <w:sz w:val="20"/>
        </w:rPr>
        <w:t>separado.</w:t>
      </w:r>
    </w:p>
    <w:p>
      <w:pPr>
        <w:pStyle w:val="BodyText"/>
        <w:spacing w:before="4"/>
        <w:ind w:left="0" w:firstLine="0"/>
        <w:jc w:val="left"/>
      </w:pPr>
    </w:p>
    <w:p>
      <w:pPr>
        <w:spacing w:before="1"/>
        <w:ind w:left="1074" w:right="0" w:firstLine="0"/>
        <w:jc w:val="both"/>
        <w:rPr>
          <w:i/>
          <w:sz w:val="20"/>
        </w:rPr>
      </w:pPr>
      <w:bookmarkStart w:name="Artículo 129. Ámbito objetivo de aplicac" w:id="214"/>
      <w:bookmarkEnd w:id="214"/>
      <w:r>
        <w:rPr/>
      </w:r>
      <w:r>
        <w:rPr>
          <w:b/>
          <w:sz w:val="20"/>
        </w:rPr>
        <w:t>Artículo 129. </w:t>
      </w:r>
      <w:r>
        <w:rPr>
          <w:i/>
          <w:sz w:val="20"/>
        </w:rPr>
        <w:t>Ámbito objetivo de aplicación.</w:t>
      </w:r>
    </w:p>
    <w:p>
      <w:pPr>
        <w:pStyle w:val="ListParagraph"/>
        <w:numPr>
          <w:ilvl w:val="0"/>
          <w:numId w:val="225"/>
        </w:numPr>
        <w:tabs>
          <w:tab w:pos="1648" w:val="left" w:leader="none"/>
        </w:tabs>
        <w:spacing w:line="249" w:lineRule="auto" w:before="117" w:after="0"/>
        <w:ind w:left="1074" w:right="1272" w:firstLine="340"/>
        <w:jc w:val="both"/>
        <w:rPr>
          <w:sz w:val="20"/>
        </w:rPr>
      </w:pPr>
      <w:r>
        <w:rPr>
          <w:sz w:val="20"/>
        </w:rPr>
        <w:t>Se entenderá por distribución de seguros toda actividad de asesoramiento, propuesta o realización de trabajo previo a la celebración de un contrato de seguro, de celebración de estos contratos, o de asistencia en la gestión y ejecución de dichos contratos, incluyendo la asistencia en casos de siniestro. También se entenderán incluidas la aportación de información relativa a uno o varios contratos de seguro de acuerdo con los criterios elegidos por los clientes a través de un sitio web o de otros medios, y la elaboración de una clasificación de productos de seguro, incluidos precios y comparaciones de productos, o un descuento sobre el precio del seguro, cuando el cliente pueda celebrar el contrato de seguro directa o indirectamente utilizando un sitio web u otros</w:t>
      </w:r>
      <w:r>
        <w:rPr>
          <w:spacing w:val="-14"/>
          <w:sz w:val="20"/>
        </w:rPr>
        <w:t> </w:t>
      </w:r>
      <w:r>
        <w:rPr>
          <w:sz w:val="20"/>
        </w:rPr>
        <w:t>medios.</w:t>
      </w:r>
    </w:p>
    <w:p>
      <w:pPr>
        <w:pStyle w:val="ListParagraph"/>
        <w:numPr>
          <w:ilvl w:val="0"/>
          <w:numId w:val="225"/>
        </w:numPr>
        <w:tabs>
          <w:tab w:pos="1715" w:val="left" w:leader="none"/>
        </w:tabs>
        <w:spacing w:line="249" w:lineRule="auto" w:before="8" w:after="0"/>
        <w:ind w:left="1074" w:right="1272" w:firstLine="340"/>
        <w:jc w:val="both"/>
        <w:rPr>
          <w:sz w:val="20"/>
        </w:rPr>
      </w:pPr>
      <w:r>
        <w:rPr>
          <w:sz w:val="20"/>
        </w:rPr>
        <w:t>Se entenderá por distribución de reaseguros toda actividad de asesoramiento, propuesta o realización de trabajo previo a la celebración de contratos de reaseguro, de celebración de esos contratos, o de asistencia en la gestión y ejecución de dichos contratos, en particular en caso de siniestro. También se incluirá dicha actividad cuando la desarrolle una entidad de reaseguros sin la intervención de un mediador de</w:t>
      </w:r>
      <w:r>
        <w:rPr>
          <w:spacing w:val="-16"/>
          <w:sz w:val="20"/>
        </w:rPr>
        <w:t> </w:t>
      </w:r>
      <w:r>
        <w:rPr>
          <w:sz w:val="20"/>
        </w:rPr>
        <w:t>reaseguros.</w:t>
      </w:r>
    </w:p>
    <w:p>
      <w:pPr>
        <w:pStyle w:val="ListParagraph"/>
        <w:numPr>
          <w:ilvl w:val="0"/>
          <w:numId w:val="225"/>
        </w:numPr>
        <w:tabs>
          <w:tab w:pos="1637" w:val="left" w:leader="none"/>
        </w:tabs>
        <w:spacing w:line="240" w:lineRule="auto" w:before="4" w:after="0"/>
        <w:ind w:left="1636" w:right="0" w:hanging="223"/>
        <w:jc w:val="both"/>
        <w:rPr>
          <w:sz w:val="20"/>
        </w:rPr>
      </w:pPr>
      <w:r>
        <w:rPr>
          <w:sz w:val="20"/>
        </w:rPr>
        <w:t>No se considerarán actividades de distribución de seguros o reaseguros</w:t>
      </w:r>
      <w:r>
        <w:rPr>
          <w:spacing w:val="-14"/>
          <w:sz w:val="20"/>
        </w:rPr>
        <w:t> </w:t>
      </w:r>
      <w:r>
        <w:rPr>
          <w:sz w:val="20"/>
        </w:rPr>
        <w:t>privados:</w:t>
      </w:r>
    </w:p>
    <w:p>
      <w:pPr>
        <w:pStyle w:val="ListParagraph"/>
        <w:numPr>
          <w:ilvl w:val="0"/>
          <w:numId w:val="226"/>
        </w:numPr>
        <w:tabs>
          <w:tab w:pos="1679" w:val="left" w:leader="none"/>
        </w:tabs>
        <w:spacing w:line="249" w:lineRule="auto" w:before="130" w:after="0"/>
        <w:ind w:left="1074" w:right="1275" w:firstLine="340"/>
        <w:jc w:val="both"/>
        <w:rPr>
          <w:sz w:val="20"/>
        </w:rPr>
      </w:pPr>
      <w:r>
        <w:rPr>
          <w:sz w:val="20"/>
        </w:rPr>
        <w:t>Las actividades de información prestadas con carácter accesorio en el contexto de otra actividad</w:t>
      </w:r>
      <w:r>
        <w:rPr>
          <w:spacing w:val="-3"/>
          <w:sz w:val="20"/>
        </w:rPr>
        <w:t> </w:t>
      </w:r>
      <w:r>
        <w:rPr>
          <w:sz w:val="20"/>
        </w:rPr>
        <w:t>profesional:</w:t>
      </w:r>
    </w:p>
    <w:p>
      <w:pPr>
        <w:pStyle w:val="ListParagraph"/>
        <w:numPr>
          <w:ilvl w:val="0"/>
          <w:numId w:val="227"/>
        </w:numPr>
        <w:tabs>
          <w:tab w:pos="1583" w:val="left" w:leader="none"/>
        </w:tabs>
        <w:spacing w:line="249" w:lineRule="auto" w:before="121" w:after="0"/>
        <w:ind w:left="1074" w:right="1276" w:firstLine="340"/>
        <w:jc w:val="left"/>
        <w:rPr>
          <w:sz w:val="20"/>
        </w:rPr>
      </w:pPr>
      <w:r>
        <w:rPr>
          <w:sz w:val="20"/>
        </w:rPr>
        <w:t>º si el proveedor no efectúa ninguna acción adicional para ayudar a celebrar o a ejecutar un contrato de</w:t>
      </w:r>
      <w:r>
        <w:rPr>
          <w:spacing w:val="-4"/>
          <w:sz w:val="20"/>
        </w:rPr>
        <w:t> </w:t>
      </w:r>
      <w:r>
        <w:rPr>
          <w:sz w:val="20"/>
        </w:rPr>
        <w:t>seguro;</w:t>
      </w:r>
    </w:p>
    <w:p>
      <w:pPr>
        <w:pStyle w:val="ListParagraph"/>
        <w:numPr>
          <w:ilvl w:val="0"/>
          <w:numId w:val="227"/>
        </w:numPr>
        <w:tabs>
          <w:tab w:pos="1583" w:val="left" w:leader="none"/>
        </w:tabs>
        <w:spacing w:line="249" w:lineRule="auto" w:before="2" w:after="0"/>
        <w:ind w:left="1074" w:right="1272" w:firstLine="340"/>
        <w:jc w:val="left"/>
        <w:rPr>
          <w:sz w:val="20"/>
        </w:rPr>
      </w:pPr>
      <w:r>
        <w:rPr>
          <w:sz w:val="20"/>
        </w:rPr>
        <w:t>º si la finalidad de esa actividad no consiste en ayudar al cliente en la celebración o ejecución de algún contrato de</w:t>
      </w:r>
      <w:r>
        <w:rPr>
          <w:spacing w:val="-5"/>
          <w:sz w:val="20"/>
        </w:rPr>
        <w:t> </w:t>
      </w:r>
      <w:r>
        <w:rPr>
          <w:sz w:val="20"/>
        </w:rPr>
        <w:t>reaseguro.</w:t>
      </w:r>
    </w:p>
    <w:p>
      <w:pPr>
        <w:pStyle w:val="ListParagraph"/>
        <w:numPr>
          <w:ilvl w:val="0"/>
          <w:numId w:val="226"/>
        </w:numPr>
        <w:tabs>
          <w:tab w:pos="1716" w:val="left" w:leader="none"/>
        </w:tabs>
        <w:spacing w:line="249" w:lineRule="auto" w:before="122" w:after="0"/>
        <w:ind w:left="1074" w:right="1274" w:firstLine="340"/>
        <w:jc w:val="both"/>
        <w:rPr>
          <w:sz w:val="20"/>
        </w:rPr>
      </w:pPr>
      <w:r>
        <w:rPr>
          <w:sz w:val="20"/>
        </w:rPr>
        <w:t>La gestión de siniestros de una entidad aseguradora o reaseguradora, a título profesional, y el peritaje y la liquidación de</w:t>
      </w:r>
      <w:r>
        <w:rPr>
          <w:spacing w:val="-10"/>
          <w:sz w:val="20"/>
        </w:rPr>
        <w:t> </w:t>
      </w:r>
      <w:r>
        <w:rPr>
          <w:sz w:val="20"/>
        </w:rPr>
        <w:t>siniestros.</w:t>
      </w:r>
    </w:p>
    <w:p>
      <w:pPr>
        <w:pStyle w:val="ListParagraph"/>
        <w:numPr>
          <w:ilvl w:val="0"/>
          <w:numId w:val="226"/>
        </w:numPr>
        <w:tabs>
          <w:tab w:pos="1684" w:val="left" w:leader="none"/>
        </w:tabs>
        <w:spacing w:line="249" w:lineRule="auto" w:before="1" w:after="0"/>
        <w:ind w:left="1074" w:right="1273" w:firstLine="340"/>
        <w:jc w:val="both"/>
        <w:rPr>
          <w:sz w:val="20"/>
        </w:rPr>
      </w:pPr>
      <w:r>
        <w:rPr>
          <w:sz w:val="20"/>
        </w:rPr>
        <w:t>El mero suministro de datos y de información sobre tomadores potenciales a los mediadores de seguros o reaseguros, o a las entidades aseguradoras o reaseguradoras, si el proveedor no efectúa ninguna acción adicional para ayudar a celebrar un contrato de seguro o de</w:t>
      </w:r>
      <w:r>
        <w:rPr>
          <w:spacing w:val="-3"/>
          <w:sz w:val="20"/>
        </w:rPr>
        <w:t> </w:t>
      </w:r>
      <w:r>
        <w:rPr>
          <w:sz w:val="20"/>
        </w:rPr>
        <w:t>reaseguro.</w:t>
      </w:r>
    </w:p>
    <w:p>
      <w:pPr>
        <w:pStyle w:val="ListParagraph"/>
        <w:numPr>
          <w:ilvl w:val="0"/>
          <w:numId w:val="226"/>
        </w:numPr>
        <w:tabs>
          <w:tab w:pos="1666" w:val="left" w:leader="none"/>
        </w:tabs>
        <w:spacing w:line="249" w:lineRule="auto" w:before="4" w:after="0"/>
        <w:ind w:left="1074" w:right="1272" w:firstLine="340"/>
        <w:jc w:val="both"/>
        <w:rPr>
          <w:sz w:val="20"/>
        </w:rPr>
      </w:pPr>
      <w:r>
        <w:rPr>
          <w:sz w:val="20"/>
        </w:rPr>
        <w:t>El mero suministro de información sobre productos de seguro o reaseguro, sobre un mediador de seguros o reaseguros, o sobre una entidad aseguradora o reaseguradora a tomadores potenciales, si el proveedor no efectúa ninguna acción adicional para ayudar a celebrar un contrato de seguro o de</w:t>
      </w:r>
      <w:r>
        <w:rPr>
          <w:spacing w:val="-5"/>
          <w:sz w:val="20"/>
        </w:rPr>
        <w:t> </w:t>
      </w:r>
      <w:r>
        <w:rPr>
          <w:sz w:val="20"/>
        </w:rPr>
        <w:t>reaseguro.</w:t>
      </w:r>
    </w:p>
    <w:p>
      <w:pPr>
        <w:pStyle w:val="ListParagraph"/>
        <w:numPr>
          <w:ilvl w:val="0"/>
          <w:numId w:val="226"/>
        </w:numPr>
        <w:tabs>
          <w:tab w:pos="1676" w:val="left" w:leader="none"/>
        </w:tabs>
        <w:spacing w:line="249" w:lineRule="auto" w:before="3" w:after="0"/>
        <w:ind w:left="1074" w:right="1276" w:firstLine="340"/>
        <w:jc w:val="both"/>
        <w:rPr>
          <w:sz w:val="20"/>
        </w:rPr>
      </w:pPr>
      <w:r>
        <w:rPr>
          <w:sz w:val="20"/>
        </w:rPr>
        <w:t>La actuación de las entidades aseguradoras como abridoras en las operaciones de coaseguro.</w:t>
      </w:r>
    </w:p>
    <w:p>
      <w:pPr>
        <w:pStyle w:val="ListParagraph"/>
        <w:numPr>
          <w:ilvl w:val="0"/>
          <w:numId w:val="228"/>
        </w:numPr>
        <w:tabs>
          <w:tab w:pos="1684" w:val="left" w:leader="none"/>
        </w:tabs>
        <w:spacing w:line="249" w:lineRule="auto" w:before="121" w:after="0"/>
        <w:ind w:left="1074" w:right="1273" w:firstLine="340"/>
        <w:jc w:val="both"/>
        <w:rPr>
          <w:sz w:val="20"/>
        </w:rPr>
      </w:pPr>
      <w:r>
        <w:rPr>
          <w:sz w:val="20"/>
        </w:rPr>
        <w:t>El título I del libro segundo del real decreto-ley no se aplicará a sitios web que, gestionados por autoridades públicas o asociaciones de consumidores, no tengan por objeto la celebración de contratos de seguros, limitándose a comparar los productos de seguros disponibles en el</w:t>
      </w:r>
      <w:r>
        <w:rPr>
          <w:spacing w:val="-4"/>
          <w:sz w:val="20"/>
        </w:rPr>
        <w:t> </w:t>
      </w:r>
      <w:r>
        <w:rPr>
          <w:sz w:val="20"/>
        </w:rPr>
        <w:t>mercado.</w:t>
      </w:r>
    </w:p>
    <w:p>
      <w:pPr>
        <w:pStyle w:val="ListParagraph"/>
        <w:numPr>
          <w:ilvl w:val="0"/>
          <w:numId w:val="228"/>
        </w:numPr>
        <w:tabs>
          <w:tab w:pos="1680" w:val="left" w:leader="none"/>
        </w:tabs>
        <w:spacing w:line="249" w:lineRule="auto" w:before="4" w:after="0"/>
        <w:ind w:left="1074" w:right="1273" w:firstLine="340"/>
        <w:jc w:val="both"/>
        <w:rPr>
          <w:sz w:val="20"/>
        </w:rPr>
      </w:pPr>
      <w:r>
        <w:rPr>
          <w:sz w:val="20"/>
        </w:rPr>
        <w:t>Las actividades de distribución se ajustarán a lo dispuesto en el título I del Libro segundo del real</w:t>
      </w:r>
      <w:r>
        <w:rPr>
          <w:spacing w:val="-2"/>
          <w:sz w:val="20"/>
        </w:rPr>
        <w:t> </w:t>
      </w:r>
      <w:r>
        <w:rPr>
          <w:sz w:val="20"/>
        </w:rPr>
        <w:t>decreto-ley:</w:t>
      </w:r>
    </w:p>
    <w:p>
      <w:pPr>
        <w:pStyle w:val="ListParagraph"/>
        <w:numPr>
          <w:ilvl w:val="0"/>
          <w:numId w:val="229"/>
        </w:numPr>
        <w:tabs>
          <w:tab w:pos="1671" w:val="left" w:leader="none"/>
        </w:tabs>
        <w:spacing w:line="249" w:lineRule="auto" w:before="121" w:after="0"/>
        <w:ind w:left="1074" w:right="1274" w:firstLine="340"/>
        <w:jc w:val="both"/>
        <w:rPr>
          <w:sz w:val="20"/>
        </w:rPr>
      </w:pPr>
      <w:r>
        <w:rPr>
          <w:sz w:val="20"/>
        </w:rPr>
        <w:t>Cuando sean realizadas por distribuidores de seguros y de reaseguros residentes o domiciliados en</w:t>
      </w:r>
      <w:r>
        <w:rPr>
          <w:spacing w:val="-3"/>
          <w:sz w:val="20"/>
        </w:rPr>
        <w:t> </w:t>
      </w:r>
      <w:r>
        <w:rPr>
          <w:sz w:val="20"/>
        </w:rPr>
        <w:t>España.</w:t>
      </w:r>
    </w:p>
    <w:p>
      <w:pPr>
        <w:pStyle w:val="ListParagraph"/>
        <w:numPr>
          <w:ilvl w:val="0"/>
          <w:numId w:val="229"/>
        </w:numPr>
        <w:tabs>
          <w:tab w:pos="1682" w:val="left" w:leader="none"/>
        </w:tabs>
        <w:spacing w:line="249" w:lineRule="auto" w:before="2" w:after="0"/>
        <w:ind w:left="1074" w:right="1273" w:firstLine="340"/>
        <w:jc w:val="both"/>
        <w:rPr>
          <w:sz w:val="20"/>
        </w:rPr>
      </w:pPr>
      <w:r>
        <w:rPr>
          <w:sz w:val="20"/>
        </w:rPr>
        <w:t>Cuando sean realizadas en España por distribuidores de seguros y de reaseguros domiciliados en el territorio de cualquiera de los restantes Estados miembros de la Unión Europea.</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228"/>
        </w:numPr>
        <w:tabs>
          <w:tab w:pos="1651" w:val="left" w:leader="none"/>
        </w:tabs>
        <w:spacing w:line="249" w:lineRule="auto" w:before="126" w:after="0"/>
        <w:ind w:left="1074" w:right="1273" w:firstLine="340"/>
        <w:jc w:val="both"/>
        <w:rPr>
          <w:sz w:val="20"/>
        </w:rPr>
      </w:pPr>
      <w:r>
        <w:rPr>
          <w:sz w:val="20"/>
        </w:rPr>
        <w:t>El título I no se aplicará a las actividades de distribución de seguros y reaseguros en relación con riesgos y compromisos localizados fuera de la Unión Europea, ni a las actividades de distribución de seguros o de reaseguros ejercidas en terceros</w:t>
      </w:r>
      <w:r>
        <w:rPr>
          <w:spacing w:val="-25"/>
          <w:sz w:val="20"/>
        </w:rPr>
        <w:t> </w:t>
      </w:r>
      <w:r>
        <w:rPr>
          <w:sz w:val="20"/>
        </w:rPr>
        <w:t>países.</w:t>
      </w:r>
    </w:p>
    <w:p>
      <w:pPr>
        <w:pStyle w:val="BodyText"/>
        <w:spacing w:before="5"/>
        <w:ind w:left="0" w:firstLine="0"/>
        <w:jc w:val="left"/>
      </w:pPr>
    </w:p>
    <w:p>
      <w:pPr>
        <w:spacing w:before="0"/>
        <w:ind w:left="1074" w:right="0" w:firstLine="0"/>
        <w:jc w:val="both"/>
        <w:rPr>
          <w:i/>
          <w:sz w:val="20"/>
        </w:rPr>
      </w:pPr>
      <w:bookmarkStart w:name="Artículo 130. Ámbito subjetivo de aplica" w:id="215"/>
      <w:bookmarkEnd w:id="215"/>
      <w:r>
        <w:rPr/>
      </w:r>
      <w:r>
        <w:rPr>
          <w:b/>
          <w:sz w:val="20"/>
        </w:rPr>
        <w:t>Artículo 130. </w:t>
      </w:r>
      <w:r>
        <w:rPr>
          <w:i/>
          <w:sz w:val="20"/>
        </w:rPr>
        <w:t>Ámbito subjetivo de aplicación.</w:t>
      </w:r>
    </w:p>
    <w:p>
      <w:pPr>
        <w:pStyle w:val="ListParagraph"/>
        <w:numPr>
          <w:ilvl w:val="0"/>
          <w:numId w:val="230"/>
        </w:numPr>
        <w:tabs>
          <w:tab w:pos="1637" w:val="left" w:leader="none"/>
        </w:tabs>
        <w:spacing w:line="240" w:lineRule="auto" w:before="118" w:after="0"/>
        <w:ind w:left="1636" w:right="0" w:hanging="223"/>
        <w:jc w:val="left"/>
        <w:rPr>
          <w:sz w:val="20"/>
        </w:rPr>
      </w:pPr>
      <w:r>
        <w:rPr>
          <w:sz w:val="20"/>
        </w:rPr>
        <w:t>Los preceptos del título I serán de aplicación</w:t>
      </w:r>
      <w:r>
        <w:rPr>
          <w:spacing w:val="-7"/>
          <w:sz w:val="20"/>
        </w:rPr>
        <w:t> </w:t>
      </w:r>
      <w:r>
        <w:rPr>
          <w:sz w:val="20"/>
        </w:rPr>
        <w:t>a:</w:t>
      </w:r>
    </w:p>
    <w:p>
      <w:pPr>
        <w:pStyle w:val="ListParagraph"/>
        <w:numPr>
          <w:ilvl w:val="0"/>
          <w:numId w:val="231"/>
        </w:numPr>
        <w:tabs>
          <w:tab w:pos="1662" w:val="left" w:leader="none"/>
        </w:tabs>
        <w:spacing w:line="249" w:lineRule="auto" w:before="130" w:after="0"/>
        <w:ind w:left="1074" w:right="1275" w:firstLine="340"/>
        <w:jc w:val="both"/>
        <w:rPr>
          <w:sz w:val="20"/>
        </w:rPr>
      </w:pPr>
      <w:r>
        <w:rPr>
          <w:sz w:val="20"/>
        </w:rPr>
        <w:t>Las personas físicas y jurídicas que deseen acceder a las actividades de distribución de seguros o de reaseguros definidas en el artículo 129, y ejerzan las</w:t>
      </w:r>
      <w:r>
        <w:rPr>
          <w:spacing w:val="-21"/>
          <w:sz w:val="20"/>
        </w:rPr>
        <w:t> </w:t>
      </w:r>
      <w:r>
        <w:rPr>
          <w:sz w:val="20"/>
        </w:rPr>
        <w:t>mismas.</w:t>
      </w:r>
    </w:p>
    <w:p>
      <w:pPr>
        <w:pStyle w:val="ListParagraph"/>
        <w:numPr>
          <w:ilvl w:val="0"/>
          <w:numId w:val="231"/>
        </w:numPr>
        <w:tabs>
          <w:tab w:pos="1774" w:val="left" w:leader="none"/>
        </w:tabs>
        <w:spacing w:line="249" w:lineRule="auto" w:before="1" w:after="0"/>
        <w:ind w:left="1074" w:right="1273" w:firstLine="340"/>
        <w:jc w:val="both"/>
        <w:rPr>
          <w:sz w:val="20"/>
        </w:rPr>
      </w:pPr>
      <w:r>
        <w:rPr>
          <w:sz w:val="20"/>
        </w:rPr>
        <w:t>Quienes bajo cualquier título desempeñen cargos de administración, sean responsables de la actividad de distribución o formen parte de los órganos de dirección de personas jurídicas que desarrollen las actividades de distribución de seguros o de reaseguros; las entidades que suscriban los documentos previstos en el título I o en sus disposiciones complementarias de desarrollo y aquellas personas para quienes legalmente se establezca alguna prohibición o mandato en relación con su ámbito de</w:t>
      </w:r>
      <w:r>
        <w:rPr>
          <w:spacing w:val="-26"/>
          <w:sz w:val="20"/>
        </w:rPr>
        <w:t> </w:t>
      </w:r>
      <w:r>
        <w:rPr>
          <w:sz w:val="20"/>
        </w:rPr>
        <w:t>aplicación.</w:t>
      </w:r>
    </w:p>
    <w:p>
      <w:pPr>
        <w:pStyle w:val="ListParagraph"/>
        <w:numPr>
          <w:ilvl w:val="0"/>
          <w:numId w:val="230"/>
        </w:numPr>
        <w:tabs>
          <w:tab w:pos="1661" w:val="left" w:leader="none"/>
        </w:tabs>
        <w:spacing w:line="249" w:lineRule="auto" w:before="125" w:after="0"/>
        <w:ind w:left="1074" w:right="1272" w:firstLine="340"/>
        <w:jc w:val="both"/>
        <w:rPr>
          <w:sz w:val="20"/>
        </w:rPr>
      </w:pPr>
      <w:r>
        <w:rPr>
          <w:sz w:val="20"/>
        </w:rPr>
        <w:t>El título I no se aplicará a los mediadores de seguros complementarios que ejerzan actividades de distribución de seguros cuando concurran todas las circunstancias</w:t>
      </w:r>
      <w:r>
        <w:rPr>
          <w:spacing w:val="-27"/>
          <w:sz w:val="20"/>
        </w:rPr>
        <w:t> </w:t>
      </w:r>
      <w:r>
        <w:rPr>
          <w:sz w:val="20"/>
        </w:rPr>
        <w:t>siguientes:</w:t>
      </w:r>
    </w:p>
    <w:p>
      <w:pPr>
        <w:pStyle w:val="ListParagraph"/>
        <w:numPr>
          <w:ilvl w:val="0"/>
          <w:numId w:val="232"/>
        </w:numPr>
        <w:tabs>
          <w:tab w:pos="1689" w:val="left" w:leader="none"/>
        </w:tabs>
        <w:spacing w:line="249" w:lineRule="auto" w:before="122" w:after="0"/>
        <w:ind w:left="1074" w:right="1272" w:firstLine="340"/>
        <w:jc w:val="both"/>
        <w:rPr>
          <w:sz w:val="20"/>
        </w:rPr>
      </w:pPr>
      <w:r>
        <w:rPr>
          <w:sz w:val="20"/>
        </w:rPr>
        <w:t>Que el seguro sea complementario del bien o del servicio suministrado por algún proveedor, cuando dicho seguro</w:t>
      </w:r>
      <w:r>
        <w:rPr>
          <w:spacing w:val="-3"/>
          <w:sz w:val="20"/>
        </w:rPr>
        <w:t> </w:t>
      </w:r>
      <w:r>
        <w:rPr>
          <w:sz w:val="20"/>
        </w:rPr>
        <w:t>cubra:</w:t>
      </w:r>
    </w:p>
    <w:p>
      <w:pPr>
        <w:pStyle w:val="ListParagraph"/>
        <w:numPr>
          <w:ilvl w:val="0"/>
          <w:numId w:val="233"/>
        </w:numPr>
        <w:tabs>
          <w:tab w:pos="1583" w:val="left" w:leader="none"/>
        </w:tabs>
        <w:spacing w:line="249" w:lineRule="auto" w:before="122" w:after="0"/>
        <w:ind w:left="1074" w:right="1276" w:firstLine="340"/>
        <w:jc w:val="both"/>
        <w:rPr>
          <w:sz w:val="20"/>
        </w:rPr>
      </w:pPr>
      <w:r>
        <w:rPr>
          <w:sz w:val="20"/>
        </w:rPr>
        <w:t>º El riesgo de avería, pérdida o daño del bien o la no utilización del servicio suministrado por dicho proveedor,</w:t>
      </w:r>
      <w:r>
        <w:rPr>
          <w:spacing w:val="-4"/>
          <w:sz w:val="20"/>
        </w:rPr>
        <w:t> </w:t>
      </w:r>
      <w:r>
        <w:rPr>
          <w:sz w:val="20"/>
        </w:rPr>
        <w:t>o</w:t>
      </w:r>
    </w:p>
    <w:p>
      <w:pPr>
        <w:pStyle w:val="ListParagraph"/>
        <w:numPr>
          <w:ilvl w:val="0"/>
          <w:numId w:val="233"/>
        </w:numPr>
        <w:tabs>
          <w:tab w:pos="1583" w:val="left" w:leader="none"/>
        </w:tabs>
        <w:spacing w:line="249" w:lineRule="auto" w:before="1" w:after="0"/>
        <w:ind w:left="1074" w:right="1274" w:firstLine="340"/>
        <w:jc w:val="both"/>
        <w:rPr>
          <w:sz w:val="20"/>
        </w:rPr>
      </w:pPr>
      <w:r>
        <w:rPr>
          <w:sz w:val="20"/>
        </w:rPr>
        <w:t>º los daños al equipaje o la pérdida de este y demás riesgos relacionados con el viaje contratado con dicho proveedor;</w:t>
      </w:r>
      <w:r>
        <w:rPr>
          <w:spacing w:val="-3"/>
          <w:sz w:val="20"/>
        </w:rPr>
        <w:t> </w:t>
      </w:r>
      <w:r>
        <w:rPr>
          <w:sz w:val="20"/>
        </w:rPr>
        <w:t>y</w:t>
      </w:r>
    </w:p>
    <w:p>
      <w:pPr>
        <w:pStyle w:val="ListParagraph"/>
        <w:numPr>
          <w:ilvl w:val="0"/>
          <w:numId w:val="232"/>
        </w:numPr>
        <w:tabs>
          <w:tab w:pos="1661" w:val="left" w:leader="none"/>
        </w:tabs>
        <w:spacing w:line="249" w:lineRule="auto" w:before="122" w:after="0"/>
        <w:ind w:left="1074" w:right="1274" w:firstLine="340"/>
        <w:jc w:val="both"/>
        <w:rPr>
          <w:sz w:val="20"/>
        </w:rPr>
      </w:pPr>
      <w:r>
        <w:rPr>
          <w:sz w:val="20"/>
        </w:rPr>
        <w:t>que el prorrateo anual del importe de la prima abonada por el producto de seguro no supere los 600 euros, o que el importe de la prima abonada por persona no supere los 200 euros, cuando la duración del servicio a que se refiere la letra a) sea inferior o igual a tres meses.</w:t>
      </w:r>
    </w:p>
    <w:p>
      <w:pPr>
        <w:pStyle w:val="ListParagraph"/>
        <w:numPr>
          <w:ilvl w:val="0"/>
          <w:numId w:val="233"/>
        </w:numPr>
        <w:tabs>
          <w:tab w:pos="1678" w:val="left" w:leader="none"/>
        </w:tabs>
        <w:spacing w:line="249" w:lineRule="auto" w:before="123" w:after="0"/>
        <w:ind w:left="1074" w:right="1273" w:firstLine="340"/>
        <w:jc w:val="both"/>
        <w:rPr>
          <w:sz w:val="20"/>
        </w:rPr>
      </w:pPr>
      <w:r>
        <w:rPr>
          <w:sz w:val="20"/>
        </w:rPr>
        <w:t>No obstante lo dispuesto en el apartado 2, cuando la actividad de distribución se ejerza a través de un mediador de seguros complementarios que esté exento de la aplicación del título I en virtud de lo dispuesto en el mencionado apartado, la entidad aseguradora o, en su caso, el mediador de seguros por cuenta de quien actúe, deberá garantizar lo</w:t>
      </w:r>
      <w:r>
        <w:rPr>
          <w:spacing w:val="-3"/>
          <w:sz w:val="20"/>
        </w:rPr>
        <w:t> </w:t>
      </w:r>
      <w:r>
        <w:rPr>
          <w:sz w:val="20"/>
        </w:rPr>
        <w:t>siguiente:</w:t>
      </w:r>
    </w:p>
    <w:p>
      <w:pPr>
        <w:pStyle w:val="ListParagraph"/>
        <w:numPr>
          <w:ilvl w:val="0"/>
          <w:numId w:val="234"/>
        </w:numPr>
        <w:tabs>
          <w:tab w:pos="1649" w:val="left" w:leader="none"/>
        </w:tabs>
        <w:spacing w:line="249" w:lineRule="auto" w:before="124" w:after="0"/>
        <w:ind w:left="1074" w:right="1272" w:firstLine="340"/>
        <w:jc w:val="both"/>
        <w:rPr>
          <w:sz w:val="20"/>
        </w:rPr>
      </w:pPr>
      <w:r>
        <w:rPr>
          <w:sz w:val="20"/>
        </w:rPr>
        <w:t>Que el cliente disponga, antes de la celebración del contrato, de la información relativa a su identidad y dirección, así como a los procedimientos a que se refiere la sección 4.ª del capítulo III, previstos para la presentación de reclamaciones y quejas por parte de los clientes;</w:t>
      </w:r>
    </w:p>
    <w:p>
      <w:pPr>
        <w:pStyle w:val="ListParagraph"/>
        <w:numPr>
          <w:ilvl w:val="0"/>
          <w:numId w:val="234"/>
        </w:numPr>
        <w:tabs>
          <w:tab w:pos="1668" w:val="left" w:leader="none"/>
        </w:tabs>
        <w:spacing w:line="249" w:lineRule="auto" w:before="4" w:after="0"/>
        <w:ind w:left="1074" w:right="1273" w:firstLine="340"/>
        <w:jc w:val="both"/>
        <w:rPr>
          <w:sz w:val="20"/>
        </w:rPr>
      </w:pPr>
      <w:r>
        <w:rPr>
          <w:sz w:val="20"/>
        </w:rPr>
        <w:t>Que se hayan establecido mecanismos adecuados y proporcionados para cumplir lo dispuesto en los artículos 172 y 184 y para tener en cuenta las exigencias y necesidades del cliente antes de proponerle un</w:t>
      </w:r>
      <w:r>
        <w:rPr>
          <w:spacing w:val="-5"/>
          <w:sz w:val="20"/>
        </w:rPr>
        <w:t> </w:t>
      </w:r>
      <w:r>
        <w:rPr>
          <w:sz w:val="20"/>
        </w:rPr>
        <w:t>contrato;</w:t>
      </w:r>
    </w:p>
    <w:p>
      <w:pPr>
        <w:pStyle w:val="ListParagraph"/>
        <w:numPr>
          <w:ilvl w:val="0"/>
          <w:numId w:val="234"/>
        </w:numPr>
        <w:tabs>
          <w:tab w:pos="1667" w:val="left" w:leader="none"/>
        </w:tabs>
        <w:spacing w:line="249" w:lineRule="auto" w:before="2" w:after="0"/>
        <w:ind w:left="1074" w:right="1273" w:firstLine="340"/>
        <w:jc w:val="both"/>
        <w:rPr>
          <w:sz w:val="20"/>
        </w:rPr>
      </w:pPr>
      <w:r>
        <w:rPr>
          <w:sz w:val="20"/>
        </w:rPr>
        <w:t>Que el documento de información sobre el producto de seguro, a que se refiere el artículo 176.4, se haya facilitado al cliente antes de la celebración del</w:t>
      </w:r>
      <w:r>
        <w:rPr>
          <w:spacing w:val="-16"/>
          <w:sz w:val="20"/>
        </w:rPr>
        <w:t> </w:t>
      </w:r>
      <w:r>
        <w:rPr>
          <w:sz w:val="20"/>
        </w:rPr>
        <w:t>contrato.</w:t>
      </w:r>
    </w:p>
    <w:p>
      <w:pPr>
        <w:pStyle w:val="BodyText"/>
        <w:spacing w:before="4"/>
        <w:ind w:left="0" w:firstLine="0"/>
        <w:jc w:val="left"/>
      </w:pPr>
    </w:p>
    <w:p>
      <w:pPr>
        <w:spacing w:before="0"/>
        <w:ind w:left="1074" w:right="0" w:firstLine="0"/>
        <w:jc w:val="both"/>
        <w:rPr>
          <w:i/>
          <w:sz w:val="20"/>
        </w:rPr>
      </w:pPr>
      <w:bookmarkStart w:name="Artículo 131. Obligación de registro." w:id="216"/>
      <w:bookmarkEnd w:id="216"/>
      <w:r>
        <w:rPr/>
      </w:r>
      <w:r>
        <w:rPr>
          <w:b/>
          <w:sz w:val="20"/>
        </w:rPr>
        <w:t>Artículo 131. </w:t>
      </w:r>
      <w:r>
        <w:rPr>
          <w:i/>
          <w:sz w:val="20"/>
        </w:rPr>
        <w:t>Obligación de registro.</w:t>
      </w:r>
    </w:p>
    <w:p>
      <w:pPr>
        <w:pStyle w:val="ListParagraph"/>
        <w:numPr>
          <w:ilvl w:val="0"/>
          <w:numId w:val="235"/>
        </w:numPr>
        <w:tabs>
          <w:tab w:pos="1700" w:val="left" w:leader="none"/>
        </w:tabs>
        <w:spacing w:line="249" w:lineRule="auto" w:before="118" w:after="0"/>
        <w:ind w:left="1074" w:right="1273" w:firstLine="340"/>
        <w:jc w:val="both"/>
        <w:rPr>
          <w:sz w:val="20"/>
        </w:rPr>
      </w:pPr>
      <w:r>
        <w:rPr>
          <w:sz w:val="20"/>
        </w:rPr>
        <w:t>Los mediadores de seguros, los mediadores de seguros complementarios y los corredores de reaseguros deberán inscribirse en el registro administrativo de distribuidores de seguros y reaseguros, previsto en el artículo 133, para poder iniciar y desarrollar la actividad de distribución de seguros o</w:t>
      </w:r>
      <w:r>
        <w:rPr>
          <w:spacing w:val="-7"/>
          <w:sz w:val="20"/>
        </w:rPr>
        <w:t> </w:t>
      </w:r>
      <w:r>
        <w:rPr>
          <w:sz w:val="20"/>
        </w:rPr>
        <w:t>reaseguros.</w:t>
      </w:r>
    </w:p>
    <w:p>
      <w:pPr>
        <w:pStyle w:val="BodyText"/>
        <w:spacing w:line="249" w:lineRule="auto" w:before="3"/>
        <w:ind w:right="1273"/>
      </w:pPr>
      <w:r>
        <w:rPr/>
        <w:t>Las entidades aseguradoras y reaseguradoras, en su condición de distribuidores de seguros o reaseguros, no deberán inscribirse en el registro recogido en el artículo 133, bastando con su inscripción en el regulado en el artículo 40 de la Ley 20/2015, de 14 de julio, y en su normativa de desarrollo, sin perjuicio de las obligaciones de registro de las personas relacionadas con las actividades de distribución de seguros a que se refiere el artículo 133.1.</w:t>
      </w:r>
    </w:p>
    <w:p>
      <w:pPr>
        <w:pStyle w:val="ListParagraph"/>
        <w:numPr>
          <w:ilvl w:val="0"/>
          <w:numId w:val="235"/>
        </w:numPr>
        <w:tabs>
          <w:tab w:pos="1645" w:val="left" w:leader="none"/>
        </w:tabs>
        <w:spacing w:line="249" w:lineRule="auto" w:before="4" w:after="0"/>
        <w:ind w:left="1074" w:right="1273" w:firstLine="340"/>
        <w:jc w:val="both"/>
        <w:rPr>
          <w:sz w:val="20"/>
        </w:rPr>
      </w:pPr>
      <w:r>
        <w:rPr>
          <w:sz w:val="20"/>
        </w:rPr>
        <w:t>Excepto en los supuestos previstos en el artículo 130.2, las entidades aseguradoras y reaseguradoras</w:t>
      </w:r>
      <w:r>
        <w:rPr>
          <w:spacing w:val="11"/>
          <w:sz w:val="20"/>
        </w:rPr>
        <w:t> </w:t>
      </w:r>
      <w:r>
        <w:rPr>
          <w:sz w:val="20"/>
        </w:rPr>
        <w:t>no</w:t>
      </w:r>
      <w:r>
        <w:rPr>
          <w:spacing w:val="12"/>
          <w:sz w:val="20"/>
        </w:rPr>
        <w:t> </w:t>
      </w:r>
      <w:r>
        <w:rPr>
          <w:sz w:val="20"/>
        </w:rPr>
        <w:t>podrán</w:t>
      </w:r>
      <w:r>
        <w:rPr>
          <w:spacing w:val="12"/>
          <w:sz w:val="20"/>
        </w:rPr>
        <w:t> </w:t>
      </w:r>
      <w:r>
        <w:rPr>
          <w:sz w:val="20"/>
        </w:rPr>
        <w:t>aceptar</w:t>
      </w:r>
      <w:r>
        <w:rPr>
          <w:spacing w:val="12"/>
          <w:sz w:val="20"/>
        </w:rPr>
        <w:t> </w:t>
      </w:r>
      <w:r>
        <w:rPr>
          <w:sz w:val="20"/>
        </w:rPr>
        <w:t>los</w:t>
      </w:r>
      <w:r>
        <w:rPr>
          <w:spacing w:val="11"/>
          <w:sz w:val="20"/>
        </w:rPr>
        <w:t> </w:t>
      </w:r>
      <w:r>
        <w:rPr>
          <w:sz w:val="20"/>
        </w:rPr>
        <w:t>servicios</w:t>
      </w:r>
      <w:r>
        <w:rPr>
          <w:spacing w:val="12"/>
          <w:sz w:val="20"/>
        </w:rPr>
        <w:t> </w:t>
      </w:r>
      <w:r>
        <w:rPr>
          <w:sz w:val="20"/>
        </w:rPr>
        <w:t>de</w:t>
      </w:r>
      <w:r>
        <w:rPr>
          <w:spacing w:val="12"/>
          <w:sz w:val="20"/>
        </w:rPr>
        <w:t> </w:t>
      </w:r>
      <w:r>
        <w:rPr>
          <w:sz w:val="20"/>
        </w:rPr>
        <w:t>distribución</w:t>
      </w:r>
      <w:r>
        <w:rPr>
          <w:spacing w:val="12"/>
          <w:sz w:val="20"/>
        </w:rPr>
        <w:t> </w:t>
      </w:r>
      <w:r>
        <w:rPr>
          <w:sz w:val="20"/>
        </w:rPr>
        <w:t>de</w:t>
      </w:r>
      <w:r>
        <w:rPr>
          <w:spacing w:val="11"/>
          <w:sz w:val="20"/>
        </w:rPr>
        <w:t> </w:t>
      </w:r>
      <w:r>
        <w:rPr>
          <w:sz w:val="20"/>
        </w:rPr>
        <w:t>seguros</w:t>
      </w:r>
      <w:r>
        <w:rPr>
          <w:spacing w:val="12"/>
          <w:sz w:val="20"/>
        </w:rPr>
        <w:t> </w:t>
      </w:r>
      <w:r>
        <w:rPr>
          <w:sz w:val="20"/>
        </w:rPr>
        <w:t>y</w:t>
      </w:r>
      <w:r>
        <w:rPr>
          <w:spacing w:val="12"/>
          <w:sz w:val="20"/>
        </w:rPr>
        <w:t> </w:t>
      </w:r>
      <w:r>
        <w:rPr>
          <w:sz w:val="20"/>
        </w:rPr>
        <w:t>de</w:t>
      </w:r>
      <w:r>
        <w:rPr>
          <w:spacing w:val="12"/>
          <w:sz w:val="20"/>
        </w:rPr>
        <w:t> </w:t>
      </w:r>
      <w:r>
        <w:rPr>
          <w:sz w:val="20"/>
        </w:rPr>
        <w:t>reaseguros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proporcionados por mediadores de seguros o de reaseguros que no estén inscritos en un registro admisible con arreglo a la normativa de un Estado miembro de la Unión Europea</w:t>
      </w:r>
    </w:p>
    <w:p>
      <w:pPr>
        <w:pStyle w:val="BodyText"/>
        <w:ind w:left="0" w:firstLine="0"/>
        <w:jc w:val="left"/>
        <w:rPr>
          <w:sz w:val="30"/>
        </w:rPr>
      </w:pPr>
    </w:p>
    <w:p>
      <w:pPr>
        <w:pStyle w:val="BodyText"/>
        <w:spacing w:before="0"/>
        <w:ind w:left="2929" w:right="3127" w:firstLine="0"/>
        <w:jc w:val="center"/>
      </w:pPr>
      <w:bookmarkStart w:name="CAPÍTULO II. Órganos de supervisión y co" w:id="217"/>
      <w:bookmarkEnd w:id="217"/>
      <w:r>
        <w:rPr/>
      </w:r>
      <w:bookmarkStart w:name="_bookmark42" w:id="218"/>
      <w:bookmarkEnd w:id="218"/>
      <w:r>
        <w:rPr/>
      </w:r>
      <w:r>
        <w:rPr/>
        <w:t>CAPÍTULO II</w:t>
      </w:r>
    </w:p>
    <w:p>
      <w:pPr>
        <w:pStyle w:val="Heading1"/>
        <w:spacing w:before="124"/>
        <w:ind w:left="2929"/>
      </w:pPr>
      <w:r>
        <w:rPr/>
        <w:t>Órganos de supervisión y competencias</w:t>
      </w:r>
    </w:p>
    <w:p>
      <w:pPr>
        <w:pStyle w:val="BodyText"/>
        <w:spacing w:before="6"/>
        <w:ind w:left="0" w:firstLine="0"/>
        <w:jc w:val="left"/>
        <w:rPr>
          <w:b/>
        </w:rPr>
      </w:pPr>
    </w:p>
    <w:p>
      <w:pPr>
        <w:spacing w:before="0"/>
        <w:ind w:left="1074" w:right="0" w:firstLine="0"/>
        <w:jc w:val="both"/>
        <w:rPr>
          <w:i/>
          <w:sz w:val="20"/>
        </w:rPr>
      </w:pPr>
      <w:bookmarkStart w:name="Artículo 132. Distribución de competenci" w:id="219"/>
      <w:bookmarkEnd w:id="219"/>
      <w:r>
        <w:rPr/>
      </w:r>
      <w:r>
        <w:rPr>
          <w:b/>
          <w:sz w:val="20"/>
        </w:rPr>
        <w:t>Artículo 132. </w:t>
      </w:r>
      <w:r>
        <w:rPr>
          <w:i/>
          <w:sz w:val="20"/>
        </w:rPr>
        <w:t>Distribución de competencias.</w:t>
      </w:r>
    </w:p>
    <w:p>
      <w:pPr>
        <w:pStyle w:val="ListParagraph"/>
        <w:numPr>
          <w:ilvl w:val="0"/>
          <w:numId w:val="236"/>
        </w:numPr>
        <w:tabs>
          <w:tab w:pos="1663" w:val="left" w:leader="none"/>
        </w:tabs>
        <w:spacing w:line="249" w:lineRule="auto" w:before="118" w:after="0"/>
        <w:ind w:left="1074" w:right="1269" w:firstLine="340"/>
        <w:jc w:val="both"/>
        <w:rPr>
          <w:sz w:val="20"/>
        </w:rPr>
      </w:pPr>
      <w:r>
        <w:rPr>
          <w:sz w:val="20"/>
        </w:rPr>
        <w:t>Las competencias de la Administración General del Estado en la supervisión de las actividades de distribución de seguros y reaseguros privados se ejercerán por la persona titular del Ministerio de Asuntos Económicos y Transformación Digital, y por la Dirección General de Seguros y Fondos de Pensiones en los términos fijados por el título I, sin perjuicio de las funciones que correspondan a las Comunidades Autónomas en el ámbito de sus competencias.</w:t>
      </w:r>
    </w:p>
    <w:p>
      <w:pPr>
        <w:pStyle w:val="ListParagraph"/>
        <w:numPr>
          <w:ilvl w:val="0"/>
          <w:numId w:val="236"/>
        </w:numPr>
        <w:tabs>
          <w:tab w:pos="1659" w:val="left" w:leader="none"/>
        </w:tabs>
        <w:spacing w:line="249" w:lineRule="auto" w:before="5" w:after="0"/>
        <w:ind w:left="1074" w:right="1272" w:firstLine="340"/>
        <w:jc w:val="both"/>
        <w:rPr>
          <w:sz w:val="20"/>
        </w:rPr>
      </w:pPr>
      <w:r>
        <w:rPr>
          <w:sz w:val="20"/>
        </w:rPr>
        <w:t>Las Comunidades Autónomas que con arreglo a sus Estatutos de Autonomía hayan asumido competencias en la ordenación de seguros las tendrán respecto de los agentes de seguros vinculados, operadores de banca-seguros vinculados, los corredores de seguros, corredores de reaseguros y colegios de mediadores de seguros, cuyo domicilio y ámbito de operaciones se limiten al territorio de la Comunidad Autónoma. Dichas competencias se ejercerán con arreglo a los siguientes</w:t>
      </w:r>
      <w:r>
        <w:rPr>
          <w:spacing w:val="-6"/>
          <w:sz w:val="20"/>
        </w:rPr>
        <w:t> </w:t>
      </w:r>
      <w:r>
        <w:rPr>
          <w:sz w:val="20"/>
        </w:rPr>
        <w:t>criterios:</w:t>
      </w:r>
    </w:p>
    <w:p>
      <w:pPr>
        <w:pStyle w:val="ListParagraph"/>
        <w:numPr>
          <w:ilvl w:val="0"/>
          <w:numId w:val="237"/>
        </w:numPr>
        <w:tabs>
          <w:tab w:pos="1657" w:val="left" w:leader="none"/>
        </w:tabs>
        <w:spacing w:line="249" w:lineRule="auto" w:before="125" w:after="0"/>
        <w:ind w:left="1074" w:right="1272" w:firstLine="340"/>
        <w:jc w:val="both"/>
        <w:rPr>
          <w:sz w:val="20"/>
        </w:rPr>
      </w:pPr>
      <w:r>
        <w:rPr>
          <w:sz w:val="20"/>
        </w:rPr>
        <w:t>En el ámbito de competencias normativas, les corresponde el desarrollo legislativo de las bases de ordenación y supervisión de la actividad de distribución de los seguros y reaseguros privados, contenidas en el título I y en las disposiciones reglamentarias básicas que las complementen. Además, tendrán competencia exclusiva en la regulación de su organización y</w:t>
      </w:r>
      <w:r>
        <w:rPr>
          <w:spacing w:val="-2"/>
          <w:sz w:val="20"/>
        </w:rPr>
        <w:t> </w:t>
      </w:r>
      <w:r>
        <w:rPr>
          <w:sz w:val="20"/>
        </w:rPr>
        <w:t>funcionamiento.</w:t>
      </w:r>
    </w:p>
    <w:p>
      <w:pPr>
        <w:pStyle w:val="ListParagraph"/>
        <w:numPr>
          <w:ilvl w:val="0"/>
          <w:numId w:val="237"/>
        </w:numPr>
        <w:tabs>
          <w:tab w:pos="1680" w:val="left" w:leader="none"/>
        </w:tabs>
        <w:spacing w:line="249" w:lineRule="auto" w:before="4" w:after="0"/>
        <w:ind w:left="1074" w:right="1270" w:firstLine="340"/>
        <w:jc w:val="both"/>
        <w:rPr>
          <w:sz w:val="20"/>
        </w:rPr>
      </w:pPr>
      <w:r>
        <w:rPr>
          <w:sz w:val="20"/>
        </w:rPr>
        <w:t>En el ámbito de competencias de ejecución, les corresponden las de ordenación y supervisión de los agentes de seguros vinculados, operadores de banca seguros vinculados, corredores de seguros, y corredores de reaseguros que se otorgan a la Administración General del Estado en el título I, entendiéndose hechas al órgano autonómico competente las referencias que en ella se contienen al Ministerio de Asuntos Económicos y Transformación Digital y a la Dirección General de Seguros y Fondos de Pensiones, excepto las reguladas en la sección 5.ª del capítulo III y en el capítulo</w:t>
      </w:r>
      <w:r>
        <w:rPr>
          <w:spacing w:val="-10"/>
          <w:sz w:val="20"/>
        </w:rPr>
        <w:t> </w:t>
      </w:r>
      <w:r>
        <w:rPr>
          <w:sz w:val="20"/>
        </w:rPr>
        <w:t>IV.</w:t>
      </w:r>
    </w:p>
    <w:p>
      <w:pPr>
        <w:pStyle w:val="ListParagraph"/>
        <w:numPr>
          <w:ilvl w:val="0"/>
          <w:numId w:val="236"/>
        </w:numPr>
        <w:tabs>
          <w:tab w:pos="1640" w:val="left" w:leader="none"/>
        </w:tabs>
        <w:spacing w:line="249" w:lineRule="auto" w:before="126" w:after="0"/>
        <w:ind w:left="1074" w:right="1273" w:firstLine="340"/>
        <w:jc w:val="both"/>
        <w:rPr>
          <w:sz w:val="20"/>
        </w:rPr>
      </w:pPr>
      <w:r>
        <w:rPr>
          <w:sz w:val="20"/>
        </w:rPr>
        <w:t>En relación con los agentes de seguros exclusivos y los operadores de banca-seguros exclusivos, corresponde a las Comunidades Autónomas ejercer las competencias sobre ellos, siempre que la entidad aseguradora para la que prestan sus servicios esté sometida al control y supervisión de la referida Comunidad Autónoma conforme a lo previsto en el artículo 19 de la Ley 20/2015, de 14 de</w:t>
      </w:r>
      <w:r>
        <w:rPr>
          <w:spacing w:val="-12"/>
          <w:sz w:val="20"/>
        </w:rPr>
        <w:t> </w:t>
      </w:r>
      <w:r>
        <w:rPr>
          <w:sz w:val="20"/>
        </w:rPr>
        <w:t>julio.</w:t>
      </w:r>
    </w:p>
    <w:p>
      <w:pPr>
        <w:pStyle w:val="ListParagraph"/>
        <w:numPr>
          <w:ilvl w:val="0"/>
          <w:numId w:val="236"/>
        </w:numPr>
        <w:tabs>
          <w:tab w:pos="1650" w:val="left" w:leader="none"/>
        </w:tabs>
        <w:spacing w:line="249" w:lineRule="auto" w:before="4" w:after="0"/>
        <w:ind w:left="1074" w:right="1271" w:firstLine="340"/>
        <w:jc w:val="both"/>
        <w:rPr>
          <w:sz w:val="20"/>
        </w:rPr>
      </w:pPr>
      <w:r>
        <w:rPr>
          <w:sz w:val="20"/>
        </w:rPr>
        <w:t>La Dirección General de Seguros y Fondos de Pensiones y los órganos competentes de las Comunidades Autónomas mantendrán la necesaria cooperación a los efectos de homogeneizar la información documental y coordinar sus actividades de</w:t>
      </w:r>
      <w:r>
        <w:rPr>
          <w:spacing w:val="-22"/>
          <w:sz w:val="20"/>
        </w:rPr>
        <w:t> </w:t>
      </w:r>
      <w:r>
        <w:rPr>
          <w:sz w:val="20"/>
        </w:rPr>
        <w:t>supervisión.</w:t>
      </w:r>
    </w:p>
    <w:p>
      <w:pPr>
        <w:pStyle w:val="BodyText"/>
        <w:spacing w:line="249" w:lineRule="auto"/>
        <w:ind w:right="1271"/>
      </w:pPr>
      <w:r>
        <w:rPr/>
        <w:t>A estos efectos, los órganos competentes de las Comunidades Autónomas facilitarán a la Dirección General de Seguros y Fondos de Pensiones el acceso mediante medios electrónicos a la información relativa a sus registros administrativos, que deberá estar actualizada, y le remitirán, con una periodicidad anual, la información estadístico contable a que se refiere el artículo 187. La Dirección General de Seguros y Fondos de Pensiones establecerá la información o datos mínimos que necesariamente deberán transmitirle las Comunidades</w:t>
      </w:r>
      <w:r>
        <w:rPr>
          <w:spacing w:val="-2"/>
        </w:rPr>
        <w:t> </w:t>
      </w:r>
      <w:r>
        <w:rPr/>
        <w:t>Autónomas.</w:t>
      </w:r>
    </w:p>
    <w:p>
      <w:pPr>
        <w:pStyle w:val="ListParagraph"/>
        <w:numPr>
          <w:ilvl w:val="0"/>
          <w:numId w:val="236"/>
        </w:numPr>
        <w:tabs>
          <w:tab w:pos="1642" w:val="left" w:leader="none"/>
        </w:tabs>
        <w:spacing w:line="249" w:lineRule="auto" w:before="6" w:after="0"/>
        <w:ind w:left="1074" w:right="1275" w:firstLine="340"/>
        <w:jc w:val="both"/>
        <w:rPr>
          <w:sz w:val="20"/>
        </w:rPr>
      </w:pPr>
      <w:r>
        <w:rPr>
          <w:sz w:val="20"/>
        </w:rPr>
        <w:t>Lo dispuesto en este artículo se entiende sin perjuicio de lo dispuesto en el artículo 19 de la Ley 20/2015, de 14 de julio, en relación con la distribución de competencias en la ordenación y supervisión de entidades aseguradoras y</w:t>
      </w:r>
      <w:r>
        <w:rPr>
          <w:spacing w:val="-9"/>
          <w:sz w:val="20"/>
        </w:rPr>
        <w:t> </w:t>
      </w:r>
      <w:r>
        <w:rPr>
          <w:sz w:val="20"/>
        </w:rPr>
        <w:t>reaseguradoras.</w:t>
      </w:r>
    </w:p>
    <w:p>
      <w:pPr>
        <w:pStyle w:val="ListParagraph"/>
        <w:numPr>
          <w:ilvl w:val="0"/>
          <w:numId w:val="236"/>
        </w:numPr>
        <w:tabs>
          <w:tab w:pos="1671" w:val="left" w:leader="none"/>
        </w:tabs>
        <w:spacing w:line="249" w:lineRule="auto" w:before="3" w:after="0"/>
        <w:ind w:left="1074" w:right="1272" w:firstLine="340"/>
        <w:jc w:val="both"/>
        <w:rPr>
          <w:sz w:val="20"/>
        </w:rPr>
      </w:pPr>
      <w:r>
        <w:rPr>
          <w:sz w:val="20"/>
        </w:rPr>
        <w:t>La Dirección General de Seguros y Fondos de Pensiones informará a la Comisión Europea</w:t>
      </w:r>
      <w:r>
        <w:rPr>
          <w:spacing w:val="-3"/>
          <w:sz w:val="20"/>
        </w:rPr>
        <w:t> </w:t>
      </w:r>
      <w:r>
        <w:rPr>
          <w:sz w:val="20"/>
        </w:rPr>
        <w:t>del</w:t>
      </w:r>
      <w:r>
        <w:rPr>
          <w:spacing w:val="-4"/>
          <w:sz w:val="20"/>
        </w:rPr>
        <w:t> </w:t>
      </w:r>
      <w:r>
        <w:rPr>
          <w:sz w:val="20"/>
        </w:rPr>
        <w:t>reparto</w:t>
      </w:r>
      <w:r>
        <w:rPr>
          <w:spacing w:val="-3"/>
          <w:sz w:val="20"/>
        </w:rPr>
        <w:t> </w:t>
      </w:r>
      <w:r>
        <w:rPr>
          <w:sz w:val="20"/>
        </w:rPr>
        <w:t>de</w:t>
      </w:r>
      <w:r>
        <w:rPr>
          <w:spacing w:val="-4"/>
          <w:sz w:val="20"/>
        </w:rPr>
        <w:t> </w:t>
      </w:r>
      <w:r>
        <w:rPr>
          <w:sz w:val="20"/>
        </w:rPr>
        <w:t>competencias</w:t>
      </w:r>
      <w:r>
        <w:rPr>
          <w:spacing w:val="-2"/>
          <w:sz w:val="20"/>
        </w:rPr>
        <w:t> </w:t>
      </w:r>
      <w:r>
        <w:rPr>
          <w:sz w:val="20"/>
        </w:rPr>
        <w:t>establecido</w:t>
      </w:r>
      <w:r>
        <w:rPr>
          <w:spacing w:val="-4"/>
          <w:sz w:val="20"/>
        </w:rPr>
        <w:t> </w:t>
      </w:r>
      <w:r>
        <w:rPr>
          <w:sz w:val="20"/>
        </w:rPr>
        <w:t>con</w:t>
      </w:r>
      <w:r>
        <w:rPr>
          <w:spacing w:val="-3"/>
          <w:sz w:val="20"/>
        </w:rPr>
        <w:t> </w:t>
      </w:r>
      <w:r>
        <w:rPr>
          <w:sz w:val="20"/>
        </w:rPr>
        <w:t>arreglo</w:t>
      </w:r>
      <w:r>
        <w:rPr>
          <w:spacing w:val="-4"/>
          <w:sz w:val="20"/>
        </w:rPr>
        <w:t> </w:t>
      </w:r>
      <w:r>
        <w:rPr>
          <w:sz w:val="20"/>
        </w:rPr>
        <w:t>a</w:t>
      </w:r>
      <w:r>
        <w:rPr>
          <w:spacing w:val="-3"/>
          <w:sz w:val="20"/>
        </w:rPr>
        <w:t> </w:t>
      </w:r>
      <w:r>
        <w:rPr>
          <w:sz w:val="20"/>
        </w:rPr>
        <w:t>lo</w:t>
      </w:r>
      <w:r>
        <w:rPr>
          <w:spacing w:val="-4"/>
          <w:sz w:val="20"/>
        </w:rPr>
        <w:t> </w:t>
      </w:r>
      <w:r>
        <w:rPr>
          <w:sz w:val="20"/>
        </w:rPr>
        <w:t>dispuesto</w:t>
      </w:r>
      <w:r>
        <w:rPr>
          <w:spacing w:val="-4"/>
          <w:sz w:val="20"/>
        </w:rPr>
        <w:t> </w:t>
      </w:r>
      <w:r>
        <w:rPr>
          <w:sz w:val="20"/>
        </w:rPr>
        <w:t>en</w:t>
      </w:r>
      <w:r>
        <w:rPr>
          <w:spacing w:val="-3"/>
          <w:sz w:val="20"/>
        </w:rPr>
        <w:t> </w:t>
      </w:r>
      <w:r>
        <w:rPr>
          <w:sz w:val="20"/>
        </w:rPr>
        <w:t>este</w:t>
      </w:r>
      <w:r>
        <w:rPr>
          <w:spacing w:val="-4"/>
          <w:sz w:val="20"/>
        </w:rPr>
        <w:t> </w:t>
      </w:r>
      <w:r>
        <w:rPr>
          <w:sz w:val="20"/>
        </w:rPr>
        <w:t>artículo.</w:t>
      </w:r>
    </w:p>
    <w:p>
      <w:pPr>
        <w:pStyle w:val="BodyText"/>
        <w:spacing w:before="4"/>
        <w:ind w:left="0" w:firstLine="0"/>
        <w:jc w:val="left"/>
      </w:pPr>
    </w:p>
    <w:p>
      <w:pPr>
        <w:spacing w:before="0"/>
        <w:ind w:left="1074" w:right="0" w:firstLine="0"/>
        <w:jc w:val="both"/>
        <w:rPr>
          <w:i/>
          <w:sz w:val="20"/>
        </w:rPr>
      </w:pPr>
      <w:bookmarkStart w:name="Artículo 133. Registro administrativo de" w:id="220"/>
      <w:bookmarkEnd w:id="220"/>
      <w:r>
        <w:rPr/>
      </w:r>
      <w:r>
        <w:rPr>
          <w:b/>
          <w:sz w:val="20"/>
        </w:rPr>
        <w:t>Artículo 133. </w:t>
      </w:r>
      <w:r>
        <w:rPr>
          <w:i/>
          <w:sz w:val="20"/>
        </w:rPr>
        <w:t>Registro administrativo de distribuidores de seguros y reaseguros.</w:t>
      </w:r>
    </w:p>
    <w:p>
      <w:pPr>
        <w:pStyle w:val="ListParagraph"/>
        <w:numPr>
          <w:ilvl w:val="0"/>
          <w:numId w:val="238"/>
        </w:numPr>
        <w:tabs>
          <w:tab w:pos="1665" w:val="left" w:leader="none"/>
        </w:tabs>
        <w:spacing w:line="249" w:lineRule="auto" w:before="117" w:after="0"/>
        <w:ind w:left="1074" w:right="1273" w:firstLine="340"/>
        <w:jc w:val="both"/>
        <w:rPr>
          <w:sz w:val="20"/>
        </w:rPr>
      </w:pPr>
      <w:r>
        <w:rPr>
          <w:sz w:val="20"/>
        </w:rPr>
        <w:t>La Dirección General de Seguros y Fondos de Pensiones o, en su caso, el órgano competente de la Comunidad Autónoma, llevará el registro administrativo de</w:t>
      </w:r>
      <w:r>
        <w:rPr>
          <w:spacing w:val="34"/>
          <w:sz w:val="20"/>
        </w:rPr>
        <w:t> </w:t>
      </w:r>
      <w:r>
        <w:rPr>
          <w:sz w:val="20"/>
        </w:rPr>
        <w:t>distribuidores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hanging="1"/>
      </w:pPr>
      <w:r>
        <w:rPr/>
        <w:t>de seguros y reaseguros, en el que deberán inscribirse, con carácter previo al inicio de sus actividades, los mediadores de seguros, los mediadores de seguros complementarios y los corredores de reaseguros residentes o domiciliados en España sujetos al título I.</w:t>
      </w:r>
    </w:p>
    <w:p>
      <w:pPr>
        <w:pStyle w:val="BodyText"/>
        <w:spacing w:line="249" w:lineRule="auto"/>
        <w:ind w:right="1271"/>
      </w:pPr>
      <w:r>
        <w:rPr/>
        <w:t>En el caso de mediadores de seguros, mediadores de seguros complementarios y corredores de reaseguros, personas jurídicas, se inscribirá, además de a los cargos de administración, a la persona responsable de la actividad de distribución y, en su caso, a las personas que formen parte del órgano de dirección responsable de las actividades de distribución.</w:t>
      </w:r>
    </w:p>
    <w:p>
      <w:pPr>
        <w:pStyle w:val="BodyText"/>
        <w:spacing w:line="249" w:lineRule="auto" w:before="4"/>
        <w:ind w:right="1272"/>
      </w:pPr>
      <w:r>
        <w:rPr/>
        <w:t>En el caso de entidades aseguradoras y reaseguradoras, se deberá inscribir a la persona responsable de la actividad de distribución y, en su caso, a las personas que formen parte del órgano de dirección responsable de las actividades de</w:t>
      </w:r>
      <w:r>
        <w:rPr>
          <w:spacing w:val="-17"/>
        </w:rPr>
        <w:t> </w:t>
      </w:r>
      <w:r>
        <w:rPr/>
        <w:t>distribución.</w:t>
      </w:r>
    </w:p>
    <w:p>
      <w:pPr>
        <w:pStyle w:val="BodyText"/>
        <w:spacing w:line="249" w:lineRule="auto" w:before="3"/>
        <w:ind w:right="1273"/>
      </w:pPr>
      <w:r>
        <w:rPr/>
        <w:t>También serán inscritos, a efectos meramente informativos, los mediadores de seguros y de reaseguros domiciliados en otros Estados miembros que actúen en España en régimen de derecho de establecimiento o en régimen de libre prestación de</w:t>
      </w:r>
      <w:r>
        <w:rPr>
          <w:spacing w:val="-21"/>
        </w:rPr>
        <w:t> </w:t>
      </w:r>
      <w:r>
        <w:rPr/>
        <w:t>servicios.</w:t>
      </w:r>
    </w:p>
    <w:p>
      <w:pPr>
        <w:pStyle w:val="ListParagraph"/>
        <w:numPr>
          <w:ilvl w:val="0"/>
          <w:numId w:val="238"/>
        </w:numPr>
        <w:tabs>
          <w:tab w:pos="1638" w:val="left" w:leader="none"/>
        </w:tabs>
        <w:spacing w:line="249" w:lineRule="auto" w:before="2" w:after="0"/>
        <w:ind w:left="1074" w:right="1273" w:firstLine="340"/>
        <w:jc w:val="both"/>
        <w:rPr>
          <w:sz w:val="20"/>
        </w:rPr>
      </w:pPr>
      <w:r>
        <w:rPr>
          <w:sz w:val="20"/>
        </w:rPr>
        <w:t>El registro administrativo, que expresará las circunstancias que reglamentariamente se determinen, será público y de acceso gratuito mediante el uso de medios electrónicos. Los interesados podrán acceder a los datos inscritos, teniendo en cuenta que el acceso a datos de carácter personal se regirá por lo dispuesto en la normativa vigente en materia de protección de datos de carácter personal, en la Ley 19/2013, de 9 de diciembre, de transparencia, acceso a la información pública y buen gobierno y demás leyes que resulten de</w:t>
      </w:r>
      <w:r>
        <w:rPr>
          <w:spacing w:val="-2"/>
          <w:sz w:val="20"/>
        </w:rPr>
        <w:t> </w:t>
      </w:r>
      <w:r>
        <w:rPr>
          <w:sz w:val="20"/>
        </w:rPr>
        <w:t>aplicación.</w:t>
      </w:r>
    </w:p>
    <w:p>
      <w:pPr>
        <w:pStyle w:val="ListParagraph"/>
        <w:numPr>
          <w:ilvl w:val="0"/>
          <w:numId w:val="238"/>
        </w:numPr>
        <w:tabs>
          <w:tab w:pos="1652" w:val="left" w:leader="none"/>
        </w:tabs>
        <w:spacing w:line="249" w:lineRule="auto" w:before="6" w:after="0"/>
        <w:ind w:left="1074" w:right="1272" w:firstLine="340"/>
        <w:jc w:val="both"/>
        <w:rPr>
          <w:sz w:val="20"/>
        </w:rPr>
      </w:pPr>
      <w:r>
        <w:rPr>
          <w:sz w:val="20"/>
        </w:rPr>
        <w:t>Las entidades aseguradoras, los mediadores de seguros, los mediadores de seguros complementarios y los corredores de reaseguros, deberán facilitar la documentación e información necesarias para permitir la gestión actualizada del registro</w:t>
      </w:r>
      <w:r>
        <w:rPr>
          <w:spacing w:val="-33"/>
          <w:sz w:val="20"/>
        </w:rPr>
        <w:t> </w:t>
      </w:r>
      <w:r>
        <w:rPr>
          <w:sz w:val="20"/>
        </w:rPr>
        <w:t>administrativo.</w:t>
      </w:r>
    </w:p>
    <w:p>
      <w:pPr>
        <w:pStyle w:val="BodyText"/>
        <w:spacing w:line="249" w:lineRule="auto"/>
        <w:ind w:right="1274"/>
      </w:pPr>
      <w:r>
        <w:rPr/>
        <w:t>La información deberá ser remitida a través de medios electrónicos, de acuerdo a los procedimientos y en la forma que determine el Ministerio de Asuntos Económicos y Transformación Digital.</w:t>
      </w:r>
    </w:p>
    <w:p>
      <w:pPr>
        <w:pStyle w:val="ListParagraph"/>
        <w:numPr>
          <w:ilvl w:val="0"/>
          <w:numId w:val="238"/>
        </w:numPr>
        <w:tabs>
          <w:tab w:pos="1684" w:val="left" w:leader="none"/>
        </w:tabs>
        <w:spacing w:line="249" w:lineRule="auto" w:before="3" w:after="0"/>
        <w:ind w:left="1074" w:right="1272" w:firstLine="340"/>
        <w:jc w:val="both"/>
        <w:rPr>
          <w:sz w:val="20"/>
        </w:rPr>
      </w:pPr>
      <w:r>
        <w:rPr>
          <w:sz w:val="20"/>
        </w:rPr>
        <w:t>Las Comunidades Autónomas que hayan asumido competencias de ordenación y supervisión conforme al artículo 132.2 llevarán el correspondiente registro administrativo de distribuidores de seguros y reaseguros. Cada inscripción que se practique en dicho registro se comunicará de forma telemática a la Dirección General de Seguros y Fondos de Pensiones.</w:t>
      </w:r>
    </w:p>
    <w:p>
      <w:pPr>
        <w:pStyle w:val="ListParagraph"/>
        <w:numPr>
          <w:ilvl w:val="0"/>
          <w:numId w:val="238"/>
        </w:numPr>
        <w:tabs>
          <w:tab w:pos="1649" w:val="left" w:leader="none"/>
        </w:tabs>
        <w:spacing w:line="249" w:lineRule="auto" w:before="4" w:after="0"/>
        <w:ind w:left="1074" w:right="1274" w:firstLine="340"/>
        <w:jc w:val="both"/>
        <w:rPr>
          <w:sz w:val="20"/>
        </w:rPr>
      </w:pPr>
      <w:r>
        <w:rPr>
          <w:sz w:val="20"/>
        </w:rPr>
        <w:t>La Dirección General de Seguros y Fondos de Pensiones establecerá un punto único de información que permitirá un acceso fácil y rápido que se nutrirá de la información actualizada procedente del registro a que se refiere este artículo, así como de la procedente de los registros administrativos que lleven las Comunidades</w:t>
      </w:r>
      <w:r>
        <w:rPr>
          <w:spacing w:val="-14"/>
          <w:sz w:val="20"/>
        </w:rPr>
        <w:t> </w:t>
      </w:r>
      <w:r>
        <w:rPr>
          <w:sz w:val="20"/>
        </w:rPr>
        <w:t>Autónomas.</w:t>
      </w:r>
    </w:p>
    <w:p>
      <w:pPr>
        <w:pStyle w:val="ListParagraph"/>
        <w:numPr>
          <w:ilvl w:val="0"/>
          <w:numId w:val="238"/>
        </w:numPr>
        <w:tabs>
          <w:tab w:pos="1710" w:val="left" w:leader="none"/>
        </w:tabs>
        <w:spacing w:line="249" w:lineRule="auto" w:before="3" w:after="0"/>
        <w:ind w:left="1074" w:right="1272" w:firstLine="340"/>
        <w:jc w:val="both"/>
        <w:rPr>
          <w:sz w:val="20"/>
        </w:rPr>
      </w:pPr>
      <w:r>
        <w:rPr>
          <w:sz w:val="20"/>
        </w:rPr>
        <w:t>Se denegará la inscripción de un mediador de seguros, mediador de seguros complementarios o corredor de reaseguros si las disposiciones de un tercer país, aplicables a una o varias personas físicas o jurídicas con las cuales el mediador posee vínculos estrechos, impiden el ejercicio efectivo de funciones de supervisión por parte de la Dirección General de Seguros y Fondos de</w:t>
      </w:r>
      <w:r>
        <w:rPr>
          <w:spacing w:val="-3"/>
          <w:sz w:val="20"/>
        </w:rPr>
        <w:t> </w:t>
      </w:r>
      <w:r>
        <w:rPr>
          <w:sz w:val="20"/>
        </w:rPr>
        <w:t>Pensiones.</w:t>
      </w:r>
    </w:p>
    <w:p>
      <w:pPr>
        <w:pStyle w:val="BodyText"/>
        <w:spacing w:before="5"/>
        <w:ind w:left="0" w:firstLine="0"/>
        <w:jc w:val="left"/>
        <w:rPr>
          <w:sz w:val="30"/>
        </w:rPr>
      </w:pPr>
    </w:p>
    <w:p>
      <w:pPr>
        <w:pStyle w:val="BodyText"/>
        <w:spacing w:before="0"/>
        <w:ind w:left="2929" w:right="3127" w:firstLine="0"/>
        <w:jc w:val="center"/>
      </w:pPr>
      <w:bookmarkStart w:name="CAPÍTULO III. De las actividades de los " w:id="221"/>
      <w:bookmarkEnd w:id="221"/>
      <w:r>
        <w:rPr/>
      </w:r>
      <w:bookmarkStart w:name="_bookmark43" w:id="222"/>
      <w:bookmarkEnd w:id="222"/>
      <w:r>
        <w:rPr/>
      </w:r>
      <w:r>
        <w:rPr/>
        <w:t>CAPÍTULO III</w:t>
      </w:r>
    </w:p>
    <w:p>
      <w:pPr>
        <w:pStyle w:val="Heading1"/>
        <w:spacing w:line="249" w:lineRule="auto" w:before="124"/>
        <w:ind w:right="1611"/>
      </w:pPr>
      <w:r>
        <w:rPr/>
        <w:t>De las actividades de los distribuidores de seguros y de reaseguros residentes o domiciliados en España</w:t>
      </w:r>
    </w:p>
    <w:p>
      <w:pPr>
        <w:pStyle w:val="BodyText"/>
        <w:spacing w:before="9"/>
        <w:ind w:left="0" w:firstLine="0"/>
        <w:jc w:val="left"/>
        <w:rPr>
          <w:b/>
          <w:sz w:val="19"/>
        </w:rPr>
      </w:pPr>
    </w:p>
    <w:p>
      <w:pPr>
        <w:pStyle w:val="Heading2"/>
        <w:spacing w:before="1"/>
        <w:ind w:left="2930"/>
        <w:rPr>
          <w:i/>
        </w:rPr>
      </w:pPr>
      <w:bookmarkStart w:name="Sección 1.ª De los distribuidores de seg" w:id="223"/>
      <w:bookmarkEnd w:id="223"/>
      <w:r>
        <w:rPr>
          <w:b w:val="0"/>
          <w:i w:val="0"/>
        </w:rPr>
      </w:r>
      <w:bookmarkStart w:name="_bookmark44" w:id="224"/>
      <w:bookmarkEnd w:id="224"/>
      <w:r>
        <w:rPr>
          <w:b w:val="0"/>
          <w:i w:val="0"/>
        </w:rPr>
      </w:r>
      <w:r>
        <w:rPr>
          <w:i/>
        </w:rPr>
        <w:t>Sección 1.ª De los distribuidores de seguros</w:t>
      </w:r>
    </w:p>
    <w:p>
      <w:pPr>
        <w:pStyle w:val="BodyText"/>
        <w:spacing w:before="0"/>
        <w:ind w:left="0" w:firstLine="0"/>
        <w:jc w:val="left"/>
        <w:rPr>
          <w:b/>
          <w:i/>
          <w:sz w:val="22"/>
        </w:rPr>
      </w:pPr>
    </w:p>
    <w:p>
      <w:pPr>
        <w:pStyle w:val="BodyText"/>
        <w:spacing w:before="153"/>
        <w:ind w:left="2929" w:right="3127" w:firstLine="0"/>
        <w:jc w:val="center"/>
      </w:pPr>
      <w:bookmarkStart w:name="Subsección 1.ª Clasificación" w:id="225"/>
      <w:bookmarkEnd w:id="225"/>
      <w:r>
        <w:rPr/>
      </w:r>
      <w:bookmarkStart w:name="_bookmark45" w:id="226"/>
      <w:bookmarkEnd w:id="226"/>
      <w:r>
        <w:rPr/>
      </w:r>
      <w:r>
        <w:rPr/>
        <w:t>Subsección 1.ª Clasificación</w:t>
      </w:r>
    </w:p>
    <w:p>
      <w:pPr>
        <w:pStyle w:val="BodyText"/>
        <w:spacing w:before="5"/>
        <w:ind w:left="0" w:firstLine="0"/>
        <w:jc w:val="left"/>
        <w:rPr>
          <w:sz w:val="30"/>
        </w:rPr>
      </w:pPr>
    </w:p>
    <w:p>
      <w:pPr>
        <w:spacing w:before="1"/>
        <w:ind w:left="1074" w:right="0" w:firstLine="0"/>
        <w:jc w:val="both"/>
        <w:rPr>
          <w:i/>
          <w:sz w:val="20"/>
        </w:rPr>
      </w:pPr>
      <w:bookmarkStart w:name="Artículo 134. Clases de distribuidores d" w:id="227"/>
      <w:bookmarkEnd w:id="227"/>
      <w:r>
        <w:rPr/>
      </w:r>
      <w:r>
        <w:rPr>
          <w:b/>
          <w:sz w:val="20"/>
        </w:rPr>
        <w:t>Artículo 134. </w:t>
      </w:r>
      <w:r>
        <w:rPr>
          <w:i/>
          <w:sz w:val="20"/>
        </w:rPr>
        <w:t>Clases de distribuidores de seguros.</w:t>
      </w:r>
    </w:p>
    <w:p>
      <w:pPr>
        <w:pStyle w:val="ListParagraph"/>
        <w:numPr>
          <w:ilvl w:val="0"/>
          <w:numId w:val="239"/>
        </w:numPr>
        <w:tabs>
          <w:tab w:pos="1637" w:val="left" w:leader="none"/>
        </w:tabs>
        <w:spacing w:line="240" w:lineRule="auto" w:before="117" w:after="0"/>
        <w:ind w:left="1636" w:right="0" w:hanging="223"/>
        <w:jc w:val="left"/>
        <w:rPr>
          <w:sz w:val="20"/>
        </w:rPr>
      </w:pPr>
      <w:r>
        <w:rPr>
          <w:sz w:val="20"/>
        </w:rPr>
        <w:t>Tienen la consideración de distribuidores de</w:t>
      </w:r>
      <w:r>
        <w:rPr>
          <w:spacing w:val="-6"/>
          <w:sz w:val="20"/>
        </w:rPr>
        <w:t> </w:t>
      </w:r>
      <w:r>
        <w:rPr>
          <w:sz w:val="20"/>
        </w:rPr>
        <w:t>seguros:</w:t>
      </w:r>
    </w:p>
    <w:p>
      <w:pPr>
        <w:pStyle w:val="ListParagraph"/>
        <w:numPr>
          <w:ilvl w:val="0"/>
          <w:numId w:val="240"/>
        </w:numPr>
        <w:tabs>
          <w:tab w:pos="1648" w:val="left" w:leader="none"/>
        </w:tabs>
        <w:spacing w:line="240" w:lineRule="auto" w:before="130" w:after="0"/>
        <w:ind w:left="1647" w:right="0" w:hanging="234"/>
        <w:jc w:val="left"/>
        <w:rPr>
          <w:sz w:val="20"/>
        </w:rPr>
      </w:pPr>
      <w:r>
        <w:rPr>
          <w:sz w:val="20"/>
        </w:rPr>
        <w:t>Las entidades</w:t>
      </w:r>
      <w:r>
        <w:rPr>
          <w:spacing w:val="-25"/>
          <w:sz w:val="20"/>
        </w:rPr>
        <w:t> </w:t>
      </w:r>
      <w:r>
        <w:rPr>
          <w:sz w:val="20"/>
        </w:rPr>
        <w:t>aseguradoras.</w:t>
      </w:r>
    </w:p>
    <w:p>
      <w:pPr>
        <w:pStyle w:val="ListParagraph"/>
        <w:numPr>
          <w:ilvl w:val="0"/>
          <w:numId w:val="240"/>
        </w:numPr>
        <w:tabs>
          <w:tab w:pos="1648" w:val="left" w:leader="none"/>
        </w:tabs>
        <w:spacing w:line="240" w:lineRule="auto" w:before="10" w:after="0"/>
        <w:ind w:left="1647" w:right="0" w:hanging="234"/>
        <w:jc w:val="left"/>
        <w:rPr>
          <w:sz w:val="20"/>
        </w:rPr>
      </w:pPr>
      <w:r>
        <w:rPr>
          <w:sz w:val="20"/>
        </w:rPr>
        <w:t>Los mediadores de</w:t>
      </w:r>
      <w:r>
        <w:rPr>
          <w:spacing w:val="-5"/>
          <w:sz w:val="20"/>
        </w:rPr>
        <w:t> </w:t>
      </w:r>
      <w:r>
        <w:rPr>
          <w:sz w:val="20"/>
        </w:rPr>
        <w:t>seguros.</w:t>
      </w:r>
    </w:p>
    <w:p>
      <w:pPr>
        <w:pStyle w:val="ListParagraph"/>
        <w:numPr>
          <w:ilvl w:val="0"/>
          <w:numId w:val="240"/>
        </w:numPr>
        <w:tabs>
          <w:tab w:pos="1637" w:val="left" w:leader="none"/>
        </w:tabs>
        <w:spacing w:line="240" w:lineRule="auto" w:before="10" w:after="0"/>
        <w:ind w:left="1636" w:right="0" w:hanging="223"/>
        <w:jc w:val="left"/>
        <w:rPr>
          <w:sz w:val="20"/>
        </w:rPr>
      </w:pPr>
      <w:r>
        <w:rPr>
          <w:sz w:val="20"/>
        </w:rPr>
        <w:t>Los mediadores de seguros</w:t>
      </w:r>
      <w:r>
        <w:rPr>
          <w:spacing w:val="-3"/>
          <w:sz w:val="20"/>
        </w:rPr>
        <w:t> </w:t>
      </w:r>
      <w:r>
        <w:rPr>
          <w:sz w:val="20"/>
        </w:rPr>
        <w:t>complementarios.</w:t>
      </w:r>
    </w:p>
    <w:p>
      <w:pPr>
        <w:spacing w:after="0" w:line="240"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239"/>
        </w:numPr>
        <w:tabs>
          <w:tab w:pos="1680" w:val="left" w:leader="none"/>
        </w:tabs>
        <w:spacing w:line="249" w:lineRule="auto" w:before="126" w:after="0"/>
        <w:ind w:left="1074" w:right="1273" w:firstLine="340"/>
        <w:jc w:val="both"/>
        <w:rPr>
          <w:sz w:val="20"/>
        </w:rPr>
      </w:pPr>
      <w:r>
        <w:rPr>
          <w:sz w:val="20"/>
        </w:rPr>
        <w:t>A efectos de lo dispuesto en el título I, se aplicará a los mediadores de seguros complementarios no excluidos del ámbito de aplicación del título I en virtud de lo dispuesto en el artículo 130.2, el régimen jurídico de los mediadores de seguros, con las excepciones previstas en el título</w:t>
      </w:r>
      <w:r>
        <w:rPr>
          <w:spacing w:val="-4"/>
          <w:sz w:val="20"/>
        </w:rPr>
        <w:t> </w:t>
      </w:r>
      <w:r>
        <w:rPr>
          <w:sz w:val="20"/>
        </w:rPr>
        <w:t>I.</w:t>
      </w:r>
    </w:p>
    <w:p>
      <w:pPr>
        <w:pStyle w:val="ListParagraph"/>
        <w:numPr>
          <w:ilvl w:val="0"/>
          <w:numId w:val="239"/>
        </w:numPr>
        <w:tabs>
          <w:tab w:pos="1713" w:val="left" w:leader="none"/>
        </w:tabs>
        <w:spacing w:line="249" w:lineRule="auto" w:before="3" w:after="0"/>
        <w:ind w:left="1074" w:right="1272" w:firstLine="340"/>
        <w:jc w:val="both"/>
        <w:rPr>
          <w:sz w:val="20"/>
        </w:rPr>
      </w:pPr>
      <w:r>
        <w:rPr>
          <w:sz w:val="20"/>
        </w:rPr>
        <w:t>Los mediadores de seguros que se sirvan de sitios web u otras técnicas de comunicación a distancia para ofertar o comparar productos de seguro deberán elaborar políticas escritas que garanticen su transparencia, debiendo estar a disposición de la Dirección General de Seguros y Fondos de Pensiones para su supervisión. Dichas políticas escritas incluirán, al menos, la información que se detalla a continuación, la cual deberá incluirse de forma destacada en la página web del</w:t>
      </w:r>
      <w:r>
        <w:rPr>
          <w:spacing w:val="-15"/>
          <w:sz w:val="20"/>
        </w:rPr>
        <w:t> </w:t>
      </w:r>
      <w:r>
        <w:rPr>
          <w:sz w:val="20"/>
        </w:rPr>
        <w:t>distribuidor:</w:t>
      </w:r>
    </w:p>
    <w:p>
      <w:pPr>
        <w:pStyle w:val="ListParagraph"/>
        <w:numPr>
          <w:ilvl w:val="0"/>
          <w:numId w:val="241"/>
        </w:numPr>
        <w:tabs>
          <w:tab w:pos="1667" w:val="left" w:leader="none"/>
        </w:tabs>
        <w:spacing w:line="249" w:lineRule="auto" w:before="125" w:after="0"/>
        <w:ind w:left="1074" w:right="1274" w:firstLine="340"/>
        <w:jc w:val="left"/>
        <w:rPr>
          <w:sz w:val="20"/>
        </w:rPr>
      </w:pPr>
      <w:r>
        <w:rPr>
          <w:sz w:val="20"/>
        </w:rPr>
        <w:t>En su caso, los criterios utilizados para la selección y comparación de los productos de las entidades</w:t>
      </w:r>
      <w:r>
        <w:rPr>
          <w:spacing w:val="-4"/>
          <w:sz w:val="20"/>
        </w:rPr>
        <w:t> </w:t>
      </w:r>
      <w:r>
        <w:rPr>
          <w:sz w:val="20"/>
        </w:rPr>
        <w:t>aseguradoras.</w:t>
      </w:r>
    </w:p>
    <w:p>
      <w:pPr>
        <w:pStyle w:val="ListParagraph"/>
        <w:numPr>
          <w:ilvl w:val="0"/>
          <w:numId w:val="241"/>
        </w:numPr>
        <w:tabs>
          <w:tab w:pos="1721" w:val="left" w:leader="none"/>
        </w:tabs>
        <w:spacing w:line="249" w:lineRule="auto" w:before="2" w:after="0"/>
        <w:ind w:left="1074" w:right="1276" w:firstLine="340"/>
        <w:jc w:val="left"/>
        <w:rPr>
          <w:sz w:val="20"/>
        </w:rPr>
      </w:pPr>
      <w:r>
        <w:rPr>
          <w:sz w:val="20"/>
        </w:rPr>
        <w:t>Las entidades aseguradoras sobre las que se ofrecen productos y la relación contractual con el</w:t>
      </w:r>
      <w:r>
        <w:rPr>
          <w:spacing w:val="-2"/>
          <w:sz w:val="20"/>
        </w:rPr>
        <w:t> </w:t>
      </w:r>
      <w:r>
        <w:rPr>
          <w:sz w:val="20"/>
        </w:rPr>
        <w:t>mediador.</w:t>
      </w:r>
    </w:p>
    <w:p>
      <w:pPr>
        <w:pStyle w:val="ListParagraph"/>
        <w:numPr>
          <w:ilvl w:val="0"/>
          <w:numId w:val="241"/>
        </w:numPr>
        <w:tabs>
          <w:tab w:pos="1650" w:val="left" w:leader="none"/>
        </w:tabs>
        <w:spacing w:line="249" w:lineRule="auto" w:before="2" w:after="0"/>
        <w:ind w:left="1074" w:right="1275" w:firstLine="340"/>
        <w:jc w:val="left"/>
        <w:rPr>
          <w:sz w:val="20"/>
        </w:rPr>
      </w:pPr>
      <w:r>
        <w:rPr>
          <w:sz w:val="20"/>
        </w:rPr>
        <w:t>Si la relación con las entidades aseguradoras es o no remunerada y la naturaleza de la</w:t>
      </w:r>
      <w:r>
        <w:rPr>
          <w:spacing w:val="-1"/>
          <w:sz w:val="20"/>
        </w:rPr>
        <w:t> </w:t>
      </w:r>
      <w:r>
        <w:rPr>
          <w:sz w:val="20"/>
        </w:rPr>
        <w:t>remuneración.</w:t>
      </w:r>
    </w:p>
    <w:p>
      <w:pPr>
        <w:pStyle w:val="ListParagraph"/>
        <w:numPr>
          <w:ilvl w:val="0"/>
          <w:numId w:val="241"/>
        </w:numPr>
        <w:tabs>
          <w:tab w:pos="1648" w:val="left" w:leader="none"/>
        </w:tabs>
        <w:spacing w:line="240" w:lineRule="auto" w:before="1" w:after="0"/>
        <w:ind w:left="1647" w:right="0" w:hanging="234"/>
        <w:jc w:val="left"/>
        <w:rPr>
          <w:sz w:val="20"/>
        </w:rPr>
      </w:pPr>
      <w:r>
        <w:rPr>
          <w:sz w:val="20"/>
        </w:rPr>
        <w:t>Si</w:t>
      </w:r>
      <w:r>
        <w:rPr>
          <w:spacing w:val="-3"/>
          <w:sz w:val="20"/>
        </w:rPr>
        <w:t> </w:t>
      </w:r>
      <w:r>
        <w:rPr>
          <w:sz w:val="20"/>
        </w:rPr>
        <w:t>el</w:t>
      </w:r>
      <w:r>
        <w:rPr>
          <w:spacing w:val="-4"/>
          <w:sz w:val="20"/>
        </w:rPr>
        <w:t> </w:t>
      </w:r>
      <w:r>
        <w:rPr>
          <w:sz w:val="20"/>
        </w:rPr>
        <w:t>precio</w:t>
      </w:r>
      <w:r>
        <w:rPr>
          <w:spacing w:val="-3"/>
          <w:sz w:val="20"/>
        </w:rPr>
        <w:t> </w:t>
      </w:r>
      <w:r>
        <w:rPr>
          <w:sz w:val="20"/>
        </w:rPr>
        <w:t>del</w:t>
      </w:r>
      <w:r>
        <w:rPr>
          <w:spacing w:val="-3"/>
          <w:sz w:val="20"/>
        </w:rPr>
        <w:t> </w:t>
      </w:r>
      <w:r>
        <w:rPr>
          <w:sz w:val="20"/>
        </w:rPr>
        <w:t>seguro</w:t>
      </w:r>
      <w:r>
        <w:rPr>
          <w:spacing w:val="-3"/>
          <w:sz w:val="20"/>
        </w:rPr>
        <w:t> </w:t>
      </w:r>
      <w:r>
        <w:rPr>
          <w:sz w:val="20"/>
        </w:rPr>
        <w:t>que</w:t>
      </w:r>
      <w:r>
        <w:rPr>
          <w:spacing w:val="-4"/>
          <w:sz w:val="20"/>
        </w:rPr>
        <w:t> </w:t>
      </w:r>
      <w:r>
        <w:rPr>
          <w:sz w:val="20"/>
        </w:rPr>
        <w:t>figura</w:t>
      </w:r>
      <w:r>
        <w:rPr>
          <w:spacing w:val="-2"/>
          <w:sz w:val="20"/>
        </w:rPr>
        <w:t> </w:t>
      </w:r>
      <w:r>
        <w:rPr>
          <w:sz w:val="20"/>
        </w:rPr>
        <w:t>al</w:t>
      </w:r>
      <w:r>
        <w:rPr>
          <w:spacing w:val="-4"/>
          <w:sz w:val="20"/>
        </w:rPr>
        <w:t> </w:t>
      </w:r>
      <w:r>
        <w:rPr>
          <w:sz w:val="20"/>
        </w:rPr>
        <w:t>final</w:t>
      </w:r>
      <w:r>
        <w:rPr>
          <w:spacing w:val="-2"/>
          <w:sz w:val="20"/>
        </w:rPr>
        <w:t> </w:t>
      </w:r>
      <w:r>
        <w:rPr>
          <w:sz w:val="20"/>
        </w:rPr>
        <w:t>del</w:t>
      </w:r>
      <w:r>
        <w:rPr>
          <w:spacing w:val="-4"/>
          <w:sz w:val="20"/>
        </w:rPr>
        <w:t> </w:t>
      </w:r>
      <w:r>
        <w:rPr>
          <w:sz w:val="20"/>
        </w:rPr>
        <w:t>proceso</w:t>
      </w:r>
      <w:r>
        <w:rPr>
          <w:spacing w:val="-3"/>
          <w:sz w:val="20"/>
        </w:rPr>
        <w:t> </w:t>
      </w:r>
      <w:r>
        <w:rPr>
          <w:sz w:val="20"/>
        </w:rPr>
        <w:t>está</w:t>
      </w:r>
      <w:r>
        <w:rPr>
          <w:spacing w:val="-4"/>
          <w:sz w:val="20"/>
        </w:rPr>
        <w:t> </w:t>
      </w:r>
      <w:r>
        <w:rPr>
          <w:sz w:val="20"/>
        </w:rPr>
        <w:t>o</w:t>
      </w:r>
      <w:r>
        <w:rPr>
          <w:spacing w:val="-3"/>
          <w:sz w:val="20"/>
        </w:rPr>
        <w:t> </w:t>
      </w:r>
      <w:r>
        <w:rPr>
          <w:sz w:val="20"/>
        </w:rPr>
        <w:t>no</w:t>
      </w:r>
      <w:r>
        <w:rPr>
          <w:spacing w:val="-3"/>
          <w:sz w:val="20"/>
        </w:rPr>
        <w:t> </w:t>
      </w:r>
      <w:r>
        <w:rPr>
          <w:sz w:val="20"/>
        </w:rPr>
        <w:t>garantizado.</w:t>
      </w:r>
    </w:p>
    <w:p>
      <w:pPr>
        <w:pStyle w:val="ListParagraph"/>
        <w:numPr>
          <w:ilvl w:val="0"/>
          <w:numId w:val="241"/>
        </w:numPr>
        <w:tabs>
          <w:tab w:pos="1648" w:val="left" w:leader="none"/>
        </w:tabs>
        <w:spacing w:line="240" w:lineRule="auto" w:before="10" w:after="0"/>
        <w:ind w:left="1647" w:right="0" w:hanging="234"/>
        <w:jc w:val="left"/>
        <w:rPr>
          <w:sz w:val="20"/>
        </w:rPr>
      </w:pPr>
      <w:r>
        <w:rPr>
          <w:sz w:val="20"/>
        </w:rPr>
        <w:t>La</w:t>
      </w:r>
      <w:r>
        <w:rPr>
          <w:spacing w:val="-5"/>
          <w:sz w:val="20"/>
        </w:rPr>
        <w:t> </w:t>
      </w:r>
      <w:r>
        <w:rPr>
          <w:sz w:val="20"/>
        </w:rPr>
        <w:t>frecuencia</w:t>
      </w:r>
      <w:r>
        <w:rPr>
          <w:spacing w:val="-5"/>
          <w:sz w:val="20"/>
        </w:rPr>
        <w:t> </w:t>
      </w:r>
      <w:r>
        <w:rPr>
          <w:sz w:val="20"/>
        </w:rPr>
        <w:t>con</w:t>
      </w:r>
      <w:r>
        <w:rPr>
          <w:spacing w:val="-4"/>
          <w:sz w:val="20"/>
        </w:rPr>
        <w:t> </w:t>
      </w:r>
      <w:r>
        <w:rPr>
          <w:sz w:val="20"/>
        </w:rPr>
        <w:t>la</w:t>
      </w:r>
      <w:r>
        <w:rPr>
          <w:spacing w:val="-5"/>
          <w:sz w:val="20"/>
        </w:rPr>
        <w:t> </w:t>
      </w:r>
      <w:r>
        <w:rPr>
          <w:sz w:val="20"/>
        </w:rPr>
        <w:t>que</w:t>
      </w:r>
      <w:r>
        <w:rPr>
          <w:spacing w:val="-5"/>
          <w:sz w:val="20"/>
        </w:rPr>
        <w:t> </w:t>
      </w:r>
      <w:r>
        <w:rPr>
          <w:sz w:val="20"/>
        </w:rPr>
        <w:t>la</w:t>
      </w:r>
      <w:r>
        <w:rPr>
          <w:spacing w:val="-5"/>
          <w:sz w:val="20"/>
        </w:rPr>
        <w:t> </w:t>
      </w:r>
      <w:r>
        <w:rPr>
          <w:sz w:val="20"/>
        </w:rPr>
        <w:t>información</w:t>
      </w:r>
      <w:r>
        <w:rPr>
          <w:spacing w:val="-5"/>
          <w:sz w:val="20"/>
        </w:rPr>
        <w:t> </w:t>
      </w:r>
      <w:r>
        <w:rPr>
          <w:sz w:val="20"/>
        </w:rPr>
        <w:t>de</w:t>
      </w:r>
      <w:r>
        <w:rPr>
          <w:spacing w:val="-5"/>
          <w:sz w:val="20"/>
        </w:rPr>
        <w:t> </w:t>
      </w:r>
      <w:r>
        <w:rPr>
          <w:sz w:val="20"/>
        </w:rPr>
        <w:t>los</w:t>
      </w:r>
      <w:r>
        <w:rPr>
          <w:spacing w:val="-5"/>
          <w:sz w:val="20"/>
        </w:rPr>
        <w:t> </w:t>
      </w:r>
      <w:r>
        <w:rPr>
          <w:sz w:val="20"/>
        </w:rPr>
        <w:t>distribuidores</w:t>
      </w:r>
      <w:r>
        <w:rPr>
          <w:spacing w:val="-5"/>
          <w:sz w:val="20"/>
        </w:rPr>
        <w:t> </w:t>
      </w:r>
      <w:r>
        <w:rPr>
          <w:sz w:val="20"/>
        </w:rPr>
        <w:t>es</w:t>
      </w:r>
      <w:r>
        <w:rPr>
          <w:spacing w:val="-4"/>
          <w:sz w:val="20"/>
        </w:rPr>
        <w:t> </w:t>
      </w:r>
      <w:r>
        <w:rPr>
          <w:sz w:val="20"/>
        </w:rPr>
        <w:t>actualizada.</w:t>
      </w:r>
    </w:p>
    <w:p>
      <w:pPr>
        <w:pStyle w:val="BodyText"/>
        <w:spacing w:line="249" w:lineRule="auto" w:before="130"/>
        <w:ind w:right="1272"/>
      </w:pPr>
      <w:r>
        <w:rPr/>
        <w:t>Junto a la información anterior, los mediadores deberán indicar la titularidad y condición de los sitios web, de tal manera que los usuarios puedan ejercer con la máxima garantía los derechos de asistencia y defensa de sus intereses y, en especial, utilizar las instancias de reclamación interna.</w:t>
      </w:r>
    </w:p>
    <w:p>
      <w:pPr>
        <w:pStyle w:val="BodyText"/>
        <w:spacing w:before="6"/>
        <w:ind w:left="0" w:firstLine="0"/>
        <w:jc w:val="left"/>
      </w:pPr>
    </w:p>
    <w:p>
      <w:pPr>
        <w:spacing w:before="0"/>
        <w:ind w:left="1074" w:right="0" w:firstLine="0"/>
        <w:jc w:val="both"/>
        <w:rPr>
          <w:i/>
          <w:sz w:val="20"/>
        </w:rPr>
      </w:pPr>
      <w:bookmarkStart w:name="Artículo 135. Clases de mediadores de se" w:id="228"/>
      <w:bookmarkEnd w:id="228"/>
      <w:r>
        <w:rPr/>
      </w:r>
      <w:r>
        <w:rPr>
          <w:b/>
          <w:sz w:val="20"/>
        </w:rPr>
        <w:t>Artículo 135. </w:t>
      </w:r>
      <w:r>
        <w:rPr>
          <w:i/>
          <w:sz w:val="20"/>
        </w:rPr>
        <w:t>Clases de mediadores de seguros.</w:t>
      </w:r>
    </w:p>
    <w:p>
      <w:pPr>
        <w:pStyle w:val="ListParagraph"/>
        <w:numPr>
          <w:ilvl w:val="0"/>
          <w:numId w:val="242"/>
        </w:numPr>
        <w:tabs>
          <w:tab w:pos="1637" w:val="left" w:leader="none"/>
        </w:tabs>
        <w:spacing w:line="240" w:lineRule="auto" w:before="118" w:after="0"/>
        <w:ind w:left="1636" w:right="0" w:hanging="223"/>
        <w:jc w:val="left"/>
        <w:rPr>
          <w:sz w:val="20"/>
        </w:rPr>
      </w:pPr>
      <w:r>
        <w:rPr>
          <w:sz w:val="20"/>
        </w:rPr>
        <w:t>Los mediadores de seguros se clasifican</w:t>
      </w:r>
      <w:r>
        <w:rPr>
          <w:spacing w:val="-3"/>
          <w:sz w:val="20"/>
        </w:rPr>
        <w:t> </w:t>
      </w:r>
      <w:r>
        <w:rPr>
          <w:sz w:val="20"/>
        </w:rPr>
        <w:t>en:</w:t>
      </w:r>
    </w:p>
    <w:p>
      <w:pPr>
        <w:pStyle w:val="ListParagraph"/>
        <w:numPr>
          <w:ilvl w:val="0"/>
          <w:numId w:val="243"/>
        </w:numPr>
        <w:tabs>
          <w:tab w:pos="1648" w:val="left" w:leader="none"/>
        </w:tabs>
        <w:spacing w:line="240" w:lineRule="auto" w:before="130" w:after="0"/>
        <w:ind w:left="1647" w:right="0" w:hanging="234"/>
        <w:jc w:val="left"/>
        <w:rPr>
          <w:sz w:val="20"/>
        </w:rPr>
      </w:pPr>
      <w:r>
        <w:rPr>
          <w:sz w:val="20"/>
        </w:rPr>
        <w:t>Agentes de</w:t>
      </w:r>
      <w:r>
        <w:rPr>
          <w:spacing w:val="-2"/>
          <w:sz w:val="20"/>
        </w:rPr>
        <w:t> </w:t>
      </w:r>
      <w:r>
        <w:rPr>
          <w:sz w:val="20"/>
        </w:rPr>
        <w:t>seguros.</w:t>
      </w:r>
    </w:p>
    <w:p>
      <w:pPr>
        <w:pStyle w:val="ListParagraph"/>
        <w:numPr>
          <w:ilvl w:val="0"/>
          <w:numId w:val="243"/>
        </w:numPr>
        <w:tabs>
          <w:tab w:pos="1648" w:val="left" w:leader="none"/>
        </w:tabs>
        <w:spacing w:line="240" w:lineRule="auto" w:before="10" w:after="0"/>
        <w:ind w:left="1647" w:right="0" w:hanging="234"/>
        <w:jc w:val="left"/>
        <w:rPr>
          <w:sz w:val="20"/>
        </w:rPr>
      </w:pPr>
      <w:r>
        <w:rPr>
          <w:sz w:val="20"/>
        </w:rPr>
        <w:t>Corredores de</w:t>
      </w:r>
      <w:r>
        <w:rPr>
          <w:spacing w:val="-3"/>
          <w:sz w:val="20"/>
        </w:rPr>
        <w:t> </w:t>
      </w:r>
      <w:r>
        <w:rPr>
          <w:sz w:val="20"/>
        </w:rPr>
        <w:t>seguros.</w:t>
      </w:r>
    </w:p>
    <w:p>
      <w:pPr>
        <w:pStyle w:val="BodyText"/>
        <w:spacing w:line="249" w:lineRule="auto" w:before="130"/>
        <w:ind w:right="1272"/>
      </w:pPr>
      <w:r>
        <w:rPr/>
        <w:t>Los agentes de seguros y los corredores de seguros podrán ser personas físicas o jurídicas.</w:t>
      </w:r>
    </w:p>
    <w:p>
      <w:pPr>
        <w:pStyle w:val="ListParagraph"/>
        <w:numPr>
          <w:ilvl w:val="0"/>
          <w:numId w:val="242"/>
        </w:numPr>
        <w:tabs>
          <w:tab w:pos="1648" w:val="left" w:leader="none"/>
        </w:tabs>
        <w:spacing w:line="249" w:lineRule="auto" w:before="1" w:after="0"/>
        <w:ind w:left="1074" w:right="1272" w:firstLine="340"/>
        <w:jc w:val="both"/>
        <w:rPr>
          <w:sz w:val="20"/>
        </w:rPr>
      </w:pPr>
      <w:r>
        <w:rPr>
          <w:sz w:val="20"/>
        </w:rPr>
        <w:t>La condición de agente de seguros y de corredor de seguros son incompatibles entre sí, en cuanto a su ejercicio simultáneo por las mismas personas físicas o jurídicas. Sin perjuicio de lo anterior, cualquier mediador de seguros podrá solicitar la modificación de su inscripción en el registro administrativo de distribuidores de seguros y reaseguros previsto en el artículo 133, con la finalidad de ejercer la actividad de distribución de seguros mediante otra forma de mediación, previa acreditación del cumplimiento de los requisitos que sean exigidos para</w:t>
      </w:r>
      <w:r>
        <w:rPr>
          <w:spacing w:val="-3"/>
          <w:sz w:val="20"/>
        </w:rPr>
        <w:t> </w:t>
      </w:r>
      <w:r>
        <w:rPr>
          <w:sz w:val="20"/>
        </w:rPr>
        <w:t>ella.</w:t>
      </w:r>
    </w:p>
    <w:p>
      <w:pPr>
        <w:pStyle w:val="ListParagraph"/>
        <w:numPr>
          <w:ilvl w:val="0"/>
          <w:numId w:val="242"/>
        </w:numPr>
        <w:tabs>
          <w:tab w:pos="1732" w:val="left" w:leader="none"/>
        </w:tabs>
        <w:spacing w:line="249" w:lineRule="auto" w:before="6" w:after="0"/>
        <w:ind w:left="1074" w:right="1273" w:firstLine="340"/>
        <w:jc w:val="both"/>
        <w:rPr>
          <w:sz w:val="20"/>
        </w:rPr>
      </w:pPr>
      <w:r>
        <w:rPr>
          <w:sz w:val="20"/>
        </w:rPr>
        <w:t>Las denominaciones «agente de seguros», y «corredor de seguros» quedan reservadas a los mediadores de seguros definidos en el título</w:t>
      </w:r>
      <w:r>
        <w:rPr>
          <w:spacing w:val="-9"/>
          <w:sz w:val="20"/>
        </w:rPr>
        <w:t> </w:t>
      </w:r>
      <w:r>
        <w:rPr>
          <w:sz w:val="20"/>
        </w:rPr>
        <w:t>I.</w:t>
      </w:r>
    </w:p>
    <w:p>
      <w:pPr>
        <w:pStyle w:val="ListParagraph"/>
        <w:numPr>
          <w:ilvl w:val="0"/>
          <w:numId w:val="242"/>
        </w:numPr>
        <w:tabs>
          <w:tab w:pos="1642" w:val="left" w:leader="none"/>
        </w:tabs>
        <w:spacing w:line="249" w:lineRule="auto" w:before="2" w:after="0"/>
        <w:ind w:left="1074" w:right="1272" w:firstLine="340"/>
        <w:jc w:val="both"/>
        <w:rPr>
          <w:sz w:val="20"/>
        </w:rPr>
      </w:pPr>
      <w:r>
        <w:rPr>
          <w:sz w:val="20"/>
        </w:rPr>
        <w:t>Las entidades de crédito, los establecimientos financieros de crédito y, en su caso, las sociedades mercantiles controladas o participadas por las entidades de crédito o establecimientos financieros de crédito, cuando ejerzan la actividad de agente de seguros a través</w:t>
      </w:r>
      <w:r>
        <w:rPr>
          <w:spacing w:val="15"/>
          <w:sz w:val="20"/>
        </w:rPr>
        <w:t> </w:t>
      </w:r>
      <w:r>
        <w:rPr>
          <w:sz w:val="20"/>
        </w:rPr>
        <w:t>de</w:t>
      </w:r>
      <w:r>
        <w:rPr>
          <w:spacing w:val="16"/>
          <w:sz w:val="20"/>
        </w:rPr>
        <w:t> </w:t>
      </w:r>
      <w:r>
        <w:rPr>
          <w:sz w:val="20"/>
        </w:rPr>
        <w:t>las</w:t>
      </w:r>
      <w:r>
        <w:rPr>
          <w:spacing w:val="16"/>
          <w:sz w:val="20"/>
        </w:rPr>
        <w:t> </w:t>
      </w:r>
      <w:r>
        <w:rPr>
          <w:sz w:val="20"/>
        </w:rPr>
        <w:t>redes</w:t>
      </w:r>
      <w:r>
        <w:rPr>
          <w:spacing w:val="16"/>
          <w:sz w:val="20"/>
        </w:rPr>
        <w:t> </w:t>
      </w:r>
      <w:r>
        <w:rPr>
          <w:sz w:val="20"/>
        </w:rPr>
        <w:t>de</w:t>
      </w:r>
      <w:r>
        <w:rPr>
          <w:spacing w:val="15"/>
          <w:sz w:val="20"/>
        </w:rPr>
        <w:t> </w:t>
      </w:r>
      <w:r>
        <w:rPr>
          <w:sz w:val="20"/>
        </w:rPr>
        <w:t>distribución</w:t>
      </w:r>
      <w:r>
        <w:rPr>
          <w:spacing w:val="16"/>
          <w:sz w:val="20"/>
        </w:rPr>
        <w:t> </w:t>
      </w:r>
      <w:r>
        <w:rPr>
          <w:sz w:val="20"/>
        </w:rPr>
        <w:t>de</w:t>
      </w:r>
      <w:r>
        <w:rPr>
          <w:spacing w:val="16"/>
          <w:sz w:val="20"/>
        </w:rPr>
        <w:t> </w:t>
      </w:r>
      <w:r>
        <w:rPr>
          <w:sz w:val="20"/>
        </w:rPr>
        <w:t>cualquiera</w:t>
      </w:r>
      <w:r>
        <w:rPr>
          <w:spacing w:val="16"/>
          <w:sz w:val="20"/>
        </w:rPr>
        <w:t> </w:t>
      </w:r>
      <w:r>
        <w:rPr>
          <w:sz w:val="20"/>
        </w:rPr>
        <w:t>de</w:t>
      </w:r>
      <w:r>
        <w:rPr>
          <w:spacing w:val="16"/>
          <w:sz w:val="20"/>
        </w:rPr>
        <w:t> </w:t>
      </w:r>
      <w:r>
        <w:rPr>
          <w:sz w:val="20"/>
        </w:rPr>
        <w:t>ambas,</w:t>
      </w:r>
      <w:r>
        <w:rPr>
          <w:spacing w:val="15"/>
          <w:sz w:val="20"/>
        </w:rPr>
        <w:t> </w:t>
      </w:r>
      <w:r>
        <w:rPr>
          <w:sz w:val="20"/>
        </w:rPr>
        <w:t>adoptarán</w:t>
      </w:r>
      <w:r>
        <w:rPr>
          <w:spacing w:val="16"/>
          <w:sz w:val="20"/>
        </w:rPr>
        <w:t> </w:t>
      </w:r>
      <w:r>
        <w:rPr>
          <w:sz w:val="20"/>
        </w:rPr>
        <w:t>la</w:t>
      </w:r>
      <w:r>
        <w:rPr>
          <w:spacing w:val="16"/>
          <w:sz w:val="20"/>
        </w:rPr>
        <w:t> </w:t>
      </w:r>
      <w:r>
        <w:rPr>
          <w:sz w:val="20"/>
        </w:rPr>
        <w:t>denominación</w:t>
      </w:r>
      <w:r>
        <w:rPr>
          <w:spacing w:val="16"/>
          <w:sz w:val="20"/>
        </w:rPr>
        <w:t> </w:t>
      </w:r>
      <w:r>
        <w:rPr>
          <w:sz w:val="20"/>
        </w:rPr>
        <w:t>de</w:t>
      </w:r>
    </w:p>
    <w:p>
      <w:pPr>
        <w:pStyle w:val="BodyText"/>
        <w:spacing w:line="249" w:lineRule="auto" w:before="3"/>
        <w:ind w:right="1274" w:hanging="1"/>
      </w:pPr>
      <w:r>
        <w:rPr/>
        <w:t>«operador de banca-seguros», que quedará reservada a ellas, y se ajustarán al régimen específico regulado en los artículos 150 a</w:t>
      </w:r>
      <w:r>
        <w:rPr>
          <w:spacing w:val="-9"/>
        </w:rPr>
        <w:t> </w:t>
      </w:r>
      <w:r>
        <w:rPr/>
        <w:t>154.</w:t>
      </w:r>
    </w:p>
    <w:p>
      <w:pPr>
        <w:pStyle w:val="ListParagraph"/>
        <w:numPr>
          <w:ilvl w:val="0"/>
          <w:numId w:val="242"/>
        </w:numPr>
        <w:tabs>
          <w:tab w:pos="1658" w:val="left" w:leader="none"/>
        </w:tabs>
        <w:spacing w:line="249" w:lineRule="auto" w:before="2" w:after="0"/>
        <w:ind w:left="1074" w:right="1273" w:firstLine="340"/>
        <w:jc w:val="both"/>
        <w:rPr>
          <w:sz w:val="20"/>
        </w:rPr>
      </w:pPr>
      <w:r>
        <w:rPr>
          <w:sz w:val="20"/>
        </w:rPr>
        <w:t>Los mediadores de seguros mencionados en el apartado 1 podrán servirse de sitios web u otras técnicas de comunicación a distancia, mediante los que se proporcione al cliente información comparando precios o coberturas de un número determinado de productos de seguros de distintas</w:t>
      </w:r>
      <w:r>
        <w:rPr>
          <w:spacing w:val="-3"/>
          <w:sz w:val="20"/>
        </w:rPr>
        <w:t> </w:t>
      </w:r>
      <w:r>
        <w:rPr>
          <w:sz w:val="20"/>
        </w:rPr>
        <w:t>compañías.</w:t>
      </w:r>
    </w:p>
    <w:p>
      <w:pPr>
        <w:pStyle w:val="BodyText"/>
        <w:spacing w:before="5"/>
        <w:ind w:left="0" w:firstLine="0"/>
        <w:jc w:val="left"/>
      </w:pPr>
    </w:p>
    <w:p>
      <w:pPr>
        <w:spacing w:line="249" w:lineRule="auto" w:before="1"/>
        <w:ind w:left="1074" w:right="1273" w:firstLine="0"/>
        <w:jc w:val="both"/>
        <w:rPr>
          <w:i/>
          <w:sz w:val="20"/>
        </w:rPr>
      </w:pPr>
      <w:bookmarkStart w:name="Artículo 136. Obligaciones generales y p" w:id="229"/>
      <w:bookmarkEnd w:id="229"/>
      <w:r>
        <w:rPr/>
      </w:r>
      <w:r>
        <w:rPr>
          <w:b/>
          <w:sz w:val="20"/>
        </w:rPr>
        <w:t>Artículo 136. </w:t>
      </w:r>
      <w:r>
        <w:rPr>
          <w:i/>
          <w:sz w:val="20"/>
        </w:rPr>
        <w:t>Obligaciones generales y prohibiciones aplicables a los mediadores de </w:t>
      </w:r>
      <w:r>
        <w:rPr>
          <w:i/>
          <w:sz w:val="20"/>
        </w:rPr>
        <w:t>seguros.</w:t>
      </w:r>
    </w:p>
    <w:p>
      <w:pPr>
        <w:pStyle w:val="ListParagraph"/>
        <w:numPr>
          <w:ilvl w:val="0"/>
          <w:numId w:val="244"/>
        </w:numPr>
        <w:tabs>
          <w:tab w:pos="1663" w:val="left" w:leader="none"/>
        </w:tabs>
        <w:spacing w:line="249" w:lineRule="auto" w:before="109" w:after="0"/>
        <w:ind w:left="1074" w:right="1273" w:firstLine="340"/>
        <w:jc w:val="both"/>
        <w:rPr>
          <w:sz w:val="20"/>
        </w:rPr>
      </w:pPr>
      <w:r>
        <w:rPr>
          <w:sz w:val="20"/>
        </w:rPr>
        <w:t>No podrán ejercer como mediadores de seguros, ni por sí ni por medio de persona interpuesta, las personas que por disposición general o especial tengan prohibido el ejercicio del comercio. Igualmente, no podrá ejercerse la actividad de distribución de seguros, ni por  sí</w:t>
      </w:r>
      <w:r>
        <w:rPr>
          <w:spacing w:val="27"/>
          <w:sz w:val="20"/>
        </w:rPr>
        <w:t> </w:t>
      </w:r>
      <w:r>
        <w:rPr>
          <w:sz w:val="20"/>
        </w:rPr>
        <w:t>ni</w:t>
      </w:r>
      <w:r>
        <w:rPr>
          <w:spacing w:val="28"/>
          <w:sz w:val="20"/>
        </w:rPr>
        <w:t> </w:t>
      </w:r>
      <w:r>
        <w:rPr>
          <w:sz w:val="20"/>
        </w:rPr>
        <w:t>por</w:t>
      </w:r>
      <w:r>
        <w:rPr>
          <w:spacing w:val="28"/>
          <w:sz w:val="20"/>
        </w:rPr>
        <w:t> </w:t>
      </w:r>
      <w:r>
        <w:rPr>
          <w:sz w:val="20"/>
        </w:rPr>
        <w:t>medio</w:t>
      </w:r>
      <w:r>
        <w:rPr>
          <w:spacing w:val="28"/>
          <w:sz w:val="20"/>
        </w:rPr>
        <w:t> </w:t>
      </w:r>
      <w:r>
        <w:rPr>
          <w:sz w:val="20"/>
        </w:rPr>
        <w:t>de</w:t>
      </w:r>
      <w:r>
        <w:rPr>
          <w:spacing w:val="28"/>
          <w:sz w:val="20"/>
        </w:rPr>
        <w:t> </w:t>
      </w:r>
      <w:r>
        <w:rPr>
          <w:sz w:val="20"/>
        </w:rPr>
        <w:t>persona</w:t>
      </w:r>
      <w:r>
        <w:rPr>
          <w:spacing w:val="28"/>
          <w:sz w:val="20"/>
        </w:rPr>
        <w:t> </w:t>
      </w:r>
      <w:r>
        <w:rPr>
          <w:sz w:val="20"/>
        </w:rPr>
        <w:t>interpuesta,</w:t>
      </w:r>
      <w:r>
        <w:rPr>
          <w:spacing w:val="28"/>
          <w:sz w:val="20"/>
        </w:rPr>
        <w:t> </w:t>
      </w:r>
      <w:r>
        <w:rPr>
          <w:sz w:val="20"/>
        </w:rPr>
        <w:t>en</w:t>
      </w:r>
      <w:r>
        <w:rPr>
          <w:spacing w:val="28"/>
          <w:sz w:val="20"/>
        </w:rPr>
        <w:t> </w:t>
      </w:r>
      <w:r>
        <w:rPr>
          <w:sz w:val="20"/>
        </w:rPr>
        <w:t>relación</w:t>
      </w:r>
      <w:r>
        <w:rPr>
          <w:spacing w:val="28"/>
          <w:sz w:val="20"/>
        </w:rPr>
        <w:t> </w:t>
      </w:r>
      <w:r>
        <w:rPr>
          <w:sz w:val="20"/>
        </w:rPr>
        <w:t>con</w:t>
      </w:r>
      <w:r>
        <w:rPr>
          <w:spacing w:val="28"/>
          <w:sz w:val="20"/>
        </w:rPr>
        <w:t> </w:t>
      </w:r>
      <w:r>
        <w:rPr>
          <w:sz w:val="20"/>
        </w:rPr>
        <w:t>las</w:t>
      </w:r>
      <w:r>
        <w:rPr>
          <w:spacing w:val="28"/>
          <w:sz w:val="20"/>
        </w:rPr>
        <w:t> </w:t>
      </w:r>
      <w:r>
        <w:rPr>
          <w:sz w:val="20"/>
        </w:rPr>
        <w:t>personas</w:t>
      </w:r>
      <w:r>
        <w:rPr>
          <w:spacing w:val="28"/>
          <w:sz w:val="20"/>
        </w:rPr>
        <w:t> </w:t>
      </w:r>
      <w:r>
        <w:rPr>
          <w:sz w:val="20"/>
        </w:rPr>
        <w:t>o</w:t>
      </w:r>
      <w:r>
        <w:rPr>
          <w:spacing w:val="28"/>
          <w:sz w:val="20"/>
        </w:rPr>
        <w:t> </w:t>
      </w:r>
      <w:r>
        <w:rPr>
          <w:sz w:val="20"/>
        </w:rPr>
        <w:t>entidades</w:t>
      </w:r>
      <w:r>
        <w:rPr>
          <w:spacing w:val="28"/>
          <w:sz w:val="20"/>
        </w:rPr>
        <w:t> </w:t>
      </w:r>
      <w:r>
        <w:rPr>
          <w:sz w:val="20"/>
        </w:rPr>
        <w:t>que</w:t>
      </w:r>
      <w:r>
        <w:rPr>
          <w:spacing w:val="28"/>
          <w:sz w:val="20"/>
        </w:rPr>
        <w:t> </w:t>
      </w:r>
      <w:r>
        <w:rPr>
          <w:sz w:val="20"/>
        </w:rPr>
        <w:t>se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encuentren sujetas por vínculos de dependencia o sujeción especial con el mediador, por razón de las específicas competencias o facultades de dirección de este último, que puedan poner en concreto peligro la libertad de los interesados en la contratación de los seguros o en la elección de la entidad</w:t>
      </w:r>
      <w:r>
        <w:rPr>
          <w:spacing w:val="-8"/>
        </w:rPr>
        <w:t> </w:t>
      </w:r>
      <w:r>
        <w:rPr/>
        <w:t>aseguradora.</w:t>
      </w:r>
    </w:p>
    <w:p>
      <w:pPr>
        <w:pStyle w:val="ListParagraph"/>
        <w:numPr>
          <w:ilvl w:val="0"/>
          <w:numId w:val="244"/>
        </w:numPr>
        <w:tabs>
          <w:tab w:pos="1637" w:val="left" w:leader="none"/>
        </w:tabs>
        <w:spacing w:line="240" w:lineRule="auto" w:before="3" w:after="0"/>
        <w:ind w:left="1636" w:right="0" w:hanging="223"/>
        <w:jc w:val="both"/>
        <w:rPr>
          <w:sz w:val="20"/>
        </w:rPr>
      </w:pPr>
      <w:r>
        <w:rPr>
          <w:sz w:val="20"/>
        </w:rPr>
        <w:t>Son actividades prohibidas para los mediadores de</w:t>
      </w:r>
      <w:r>
        <w:rPr>
          <w:spacing w:val="-8"/>
          <w:sz w:val="20"/>
        </w:rPr>
        <w:t> </w:t>
      </w:r>
      <w:r>
        <w:rPr>
          <w:sz w:val="20"/>
        </w:rPr>
        <w:t>seguros:</w:t>
      </w:r>
    </w:p>
    <w:p>
      <w:pPr>
        <w:pStyle w:val="ListParagraph"/>
        <w:numPr>
          <w:ilvl w:val="0"/>
          <w:numId w:val="245"/>
        </w:numPr>
        <w:tabs>
          <w:tab w:pos="1676" w:val="left" w:leader="none"/>
        </w:tabs>
        <w:spacing w:line="249" w:lineRule="auto" w:before="130" w:after="0"/>
        <w:ind w:left="1074" w:right="1271" w:firstLine="340"/>
        <w:jc w:val="both"/>
        <w:rPr>
          <w:sz w:val="20"/>
        </w:rPr>
      </w:pPr>
      <w:r>
        <w:rPr>
          <w:sz w:val="20"/>
        </w:rPr>
        <w:t>Asumir directa o indirectamente la cobertura de cualquier clase de riesgo así como tomar a su cargo, en todo o en parte, la siniestralidad objeto del seguro, siendo nulo todo pacto en</w:t>
      </w:r>
      <w:r>
        <w:rPr>
          <w:spacing w:val="-3"/>
          <w:sz w:val="20"/>
        </w:rPr>
        <w:t> </w:t>
      </w:r>
      <w:r>
        <w:rPr>
          <w:sz w:val="20"/>
        </w:rPr>
        <w:t>contrario.</w:t>
      </w:r>
    </w:p>
    <w:p>
      <w:pPr>
        <w:pStyle w:val="ListParagraph"/>
        <w:numPr>
          <w:ilvl w:val="0"/>
          <w:numId w:val="245"/>
        </w:numPr>
        <w:tabs>
          <w:tab w:pos="1753" w:val="left" w:leader="none"/>
        </w:tabs>
        <w:spacing w:line="249" w:lineRule="auto" w:before="2" w:after="0"/>
        <w:ind w:left="1074" w:right="1275" w:firstLine="340"/>
        <w:jc w:val="both"/>
        <w:rPr>
          <w:sz w:val="20"/>
        </w:rPr>
      </w:pPr>
      <w:r>
        <w:rPr>
          <w:sz w:val="20"/>
        </w:rPr>
        <w:t>Realizar la actividad de distribución en favor de entidades aseguradoras y reaseguradoras que no cumplan los requisitos legalmente exigidos para operar en España, o que actúen transgrediendo los límites de la autorización</w:t>
      </w:r>
      <w:r>
        <w:rPr>
          <w:spacing w:val="-12"/>
          <w:sz w:val="20"/>
        </w:rPr>
        <w:t> </w:t>
      </w:r>
      <w:r>
        <w:rPr>
          <w:sz w:val="20"/>
        </w:rPr>
        <w:t>concedida.</w:t>
      </w:r>
    </w:p>
    <w:p>
      <w:pPr>
        <w:pStyle w:val="ListParagraph"/>
        <w:numPr>
          <w:ilvl w:val="0"/>
          <w:numId w:val="245"/>
        </w:numPr>
        <w:tabs>
          <w:tab w:pos="1643" w:val="left" w:leader="none"/>
        </w:tabs>
        <w:spacing w:line="249" w:lineRule="auto" w:before="3" w:after="0"/>
        <w:ind w:left="1074" w:right="1274" w:firstLine="340"/>
        <w:jc w:val="both"/>
        <w:rPr>
          <w:sz w:val="20"/>
        </w:rPr>
      </w:pPr>
      <w:r>
        <w:rPr>
          <w:sz w:val="20"/>
        </w:rPr>
        <w:t>Utilizar en la denominación social, en la publicidad o identificación de sus operaciones mercantiles, expresiones que estén reservadas a las entidades aseguradoras y reaseguradoras que puedan inducir a confusión con ellas, sin perjuicio de lo previsto en los artículos 144, 153 y</w:t>
      </w:r>
      <w:r>
        <w:rPr>
          <w:spacing w:val="-4"/>
          <w:sz w:val="20"/>
        </w:rPr>
        <w:t> </w:t>
      </w:r>
      <w:r>
        <w:rPr>
          <w:sz w:val="20"/>
        </w:rPr>
        <w:t>158.</w:t>
      </w:r>
    </w:p>
    <w:p>
      <w:pPr>
        <w:pStyle w:val="ListParagraph"/>
        <w:numPr>
          <w:ilvl w:val="0"/>
          <w:numId w:val="245"/>
        </w:numPr>
        <w:tabs>
          <w:tab w:pos="1695" w:val="left" w:leader="none"/>
        </w:tabs>
        <w:spacing w:line="249" w:lineRule="auto" w:before="3" w:after="0"/>
        <w:ind w:left="1074" w:right="1274" w:firstLine="340"/>
        <w:jc w:val="both"/>
        <w:rPr>
          <w:sz w:val="20"/>
        </w:rPr>
      </w:pPr>
      <w:r>
        <w:rPr>
          <w:sz w:val="20"/>
        </w:rPr>
        <w:t>Añadir recargos a los recibos de prima emitidos por las entidades aseguradoras, siendo nulo cualquier pacto en</w:t>
      </w:r>
      <w:r>
        <w:rPr>
          <w:spacing w:val="-4"/>
          <w:sz w:val="20"/>
        </w:rPr>
        <w:t> </w:t>
      </w:r>
      <w:r>
        <w:rPr>
          <w:sz w:val="20"/>
        </w:rPr>
        <w:t>contrario.</w:t>
      </w:r>
    </w:p>
    <w:p>
      <w:pPr>
        <w:pStyle w:val="ListParagraph"/>
        <w:numPr>
          <w:ilvl w:val="0"/>
          <w:numId w:val="245"/>
        </w:numPr>
        <w:tabs>
          <w:tab w:pos="1733" w:val="left" w:leader="none"/>
        </w:tabs>
        <w:spacing w:line="249" w:lineRule="auto" w:before="2" w:after="0"/>
        <w:ind w:left="1074" w:right="1272" w:firstLine="340"/>
        <w:jc w:val="both"/>
        <w:rPr>
          <w:sz w:val="20"/>
        </w:rPr>
      </w:pPr>
      <w:r>
        <w:rPr>
          <w:sz w:val="20"/>
        </w:rPr>
        <w:t>Celebrar o modificar en nombre de su cliente un contrato de seguro sin el consentimiento de</w:t>
      </w:r>
      <w:r>
        <w:rPr>
          <w:spacing w:val="-2"/>
          <w:sz w:val="20"/>
        </w:rPr>
        <w:t> </w:t>
      </w:r>
      <w:r>
        <w:rPr>
          <w:sz w:val="20"/>
        </w:rPr>
        <w:t>este.</w:t>
      </w:r>
    </w:p>
    <w:p>
      <w:pPr>
        <w:pStyle w:val="ListParagraph"/>
        <w:numPr>
          <w:ilvl w:val="0"/>
          <w:numId w:val="245"/>
        </w:numPr>
        <w:tabs>
          <w:tab w:pos="1593" w:val="left" w:leader="none"/>
        </w:tabs>
        <w:spacing w:line="240" w:lineRule="auto" w:before="1" w:after="0"/>
        <w:ind w:left="1592" w:right="0" w:hanging="179"/>
        <w:jc w:val="both"/>
        <w:rPr>
          <w:sz w:val="20"/>
        </w:rPr>
      </w:pPr>
      <w:r>
        <w:rPr>
          <w:sz w:val="20"/>
        </w:rPr>
        <w:t>Imponer directa o indirectamente la celebración de un contrato de</w:t>
      </w:r>
      <w:r>
        <w:rPr>
          <w:spacing w:val="-12"/>
          <w:sz w:val="20"/>
        </w:rPr>
        <w:t> </w:t>
      </w:r>
      <w:r>
        <w:rPr>
          <w:sz w:val="20"/>
        </w:rPr>
        <w:t>seguro.</w:t>
      </w:r>
    </w:p>
    <w:p>
      <w:pPr>
        <w:pStyle w:val="ListParagraph"/>
        <w:numPr>
          <w:ilvl w:val="0"/>
          <w:numId w:val="244"/>
        </w:numPr>
        <w:tabs>
          <w:tab w:pos="1658" w:val="left" w:leader="none"/>
        </w:tabs>
        <w:spacing w:line="249" w:lineRule="auto" w:before="130" w:after="0"/>
        <w:ind w:left="1074" w:right="1273" w:firstLine="340"/>
        <w:jc w:val="both"/>
        <w:rPr>
          <w:sz w:val="20"/>
        </w:rPr>
      </w:pPr>
      <w:r>
        <w:rPr>
          <w:sz w:val="20"/>
        </w:rPr>
        <w:t>El mediador de seguros se considerará, en todo caso, depositario de las cantidades recibidas de sus clientes en concepto de pago de las primas por contrato de seguro, así como de las cantidades entregadas por las entidades aseguradoras en concepto de indemnizaciones o reembolso de las primas destinadas a sus</w:t>
      </w:r>
      <w:r>
        <w:rPr>
          <w:spacing w:val="-13"/>
          <w:sz w:val="20"/>
        </w:rPr>
        <w:t> </w:t>
      </w:r>
      <w:r>
        <w:rPr>
          <w:sz w:val="20"/>
        </w:rPr>
        <w:t>clientes.</w:t>
      </w:r>
    </w:p>
    <w:p>
      <w:pPr>
        <w:pStyle w:val="ListParagraph"/>
        <w:numPr>
          <w:ilvl w:val="0"/>
          <w:numId w:val="244"/>
        </w:numPr>
        <w:tabs>
          <w:tab w:pos="1649" w:val="left" w:leader="none"/>
        </w:tabs>
        <w:spacing w:line="249" w:lineRule="auto" w:before="4" w:after="0"/>
        <w:ind w:left="1074" w:right="1271" w:firstLine="340"/>
        <w:jc w:val="both"/>
        <w:rPr>
          <w:sz w:val="20"/>
        </w:rPr>
      </w:pPr>
      <w:r>
        <w:rPr>
          <w:sz w:val="20"/>
        </w:rPr>
        <w:t>El mediador de seguros deberá acreditar que los fondos pertenecientes a los clientes son transferidos a través de cuentas de clientes completamente separadas del resto de recursos económicos del mediador, en las que únicamente se gestionen recursos económicos de</w:t>
      </w:r>
      <w:r>
        <w:rPr>
          <w:spacing w:val="-3"/>
          <w:sz w:val="20"/>
        </w:rPr>
        <w:t> </w:t>
      </w:r>
      <w:r>
        <w:rPr>
          <w:sz w:val="20"/>
        </w:rPr>
        <w:t>aquellos.</w:t>
      </w:r>
    </w:p>
    <w:p>
      <w:pPr>
        <w:pStyle w:val="BodyText"/>
        <w:spacing w:before="5"/>
        <w:ind w:left="0" w:firstLine="0"/>
        <w:jc w:val="left"/>
      </w:pPr>
    </w:p>
    <w:p>
      <w:pPr>
        <w:spacing w:before="1"/>
        <w:ind w:left="1074" w:right="0" w:firstLine="0"/>
        <w:jc w:val="both"/>
        <w:rPr>
          <w:i/>
          <w:sz w:val="20"/>
        </w:rPr>
      </w:pPr>
      <w:bookmarkStart w:name="Artículo 137. Colaboradores externos de " w:id="230"/>
      <w:bookmarkEnd w:id="230"/>
      <w:r>
        <w:rPr/>
      </w:r>
      <w:r>
        <w:rPr>
          <w:b/>
          <w:sz w:val="20"/>
        </w:rPr>
        <w:t>Artículo 137. </w:t>
      </w:r>
      <w:r>
        <w:rPr>
          <w:i/>
          <w:sz w:val="20"/>
        </w:rPr>
        <w:t>Colaboradores externos de los mediadores de seguros.</w:t>
      </w:r>
    </w:p>
    <w:p>
      <w:pPr>
        <w:pStyle w:val="ListParagraph"/>
        <w:numPr>
          <w:ilvl w:val="0"/>
          <w:numId w:val="246"/>
        </w:numPr>
        <w:tabs>
          <w:tab w:pos="1650" w:val="left" w:leader="none"/>
        </w:tabs>
        <w:spacing w:line="249" w:lineRule="auto" w:before="117" w:after="0"/>
        <w:ind w:left="1074" w:right="1273" w:firstLine="340"/>
        <w:jc w:val="both"/>
        <w:rPr>
          <w:sz w:val="20"/>
        </w:rPr>
      </w:pPr>
      <w:r>
        <w:rPr>
          <w:sz w:val="20"/>
        </w:rPr>
        <w:t>Los mediadores de seguros podrán celebrar contratos mercantiles con colaboradores externos que realicen actividades de distribución por cuenta de dichos mediadores. Los colaboradores externos no tendrán la condición de mediadores de seguros. En cualquier caso, la actividad de distribución ejercida a través de colaboradores externos no menoscabará el deber de proporcionar al cliente la totalidad de la información exigida por el título I.</w:t>
      </w:r>
    </w:p>
    <w:p>
      <w:pPr>
        <w:pStyle w:val="ListParagraph"/>
        <w:numPr>
          <w:ilvl w:val="0"/>
          <w:numId w:val="246"/>
        </w:numPr>
        <w:tabs>
          <w:tab w:pos="1664" w:val="left" w:leader="none"/>
        </w:tabs>
        <w:spacing w:line="249" w:lineRule="auto" w:before="5" w:after="0"/>
        <w:ind w:left="1074" w:right="1273" w:firstLine="340"/>
        <w:jc w:val="both"/>
        <w:rPr>
          <w:sz w:val="20"/>
        </w:rPr>
      </w:pPr>
      <w:r>
        <w:rPr>
          <w:sz w:val="20"/>
        </w:rPr>
        <w:t>Los colaboradores externos desarrollarán su actividad bajo la dirección, régimen de responsabilidad administrativa, civil profesional, y régimen de capacidad financiera del mediador para el que</w:t>
      </w:r>
      <w:r>
        <w:rPr>
          <w:spacing w:val="-4"/>
          <w:sz w:val="20"/>
        </w:rPr>
        <w:t> </w:t>
      </w:r>
      <w:r>
        <w:rPr>
          <w:sz w:val="20"/>
        </w:rPr>
        <w:t>actúen.</w:t>
      </w:r>
    </w:p>
    <w:p>
      <w:pPr>
        <w:pStyle w:val="ListParagraph"/>
        <w:numPr>
          <w:ilvl w:val="0"/>
          <w:numId w:val="246"/>
        </w:numPr>
        <w:tabs>
          <w:tab w:pos="1684" w:val="left" w:leader="none"/>
        </w:tabs>
        <w:spacing w:line="249" w:lineRule="auto" w:before="3" w:after="0"/>
        <w:ind w:left="1074" w:right="1274" w:firstLine="340"/>
        <w:jc w:val="both"/>
        <w:rPr>
          <w:sz w:val="20"/>
        </w:rPr>
      </w:pPr>
      <w:r>
        <w:rPr>
          <w:sz w:val="20"/>
        </w:rPr>
        <w:t>Los colaboradores externos deberán identificarse como tales e indicar también la identidad y datos registrales del mediador por cuenta del que</w:t>
      </w:r>
      <w:r>
        <w:rPr>
          <w:spacing w:val="-12"/>
          <w:sz w:val="20"/>
        </w:rPr>
        <w:t> </w:t>
      </w:r>
      <w:r>
        <w:rPr>
          <w:sz w:val="20"/>
        </w:rPr>
        <w:t>actúen.</w:t>
      </w:r>
    </w:p>
    <w:p>
      <w:pPr>
        <w:pStyle w:val="ListParagraph"/>
        <w:numPr>
          <w:ilvl w:val="0"/>
          <w:numId w:val="246"/>
        </w:numPr>
        <w:tabs>
          <w:tab w:pos="1707" w:val="left" w:leader="none"/>
        </w:tabs>
        <w:spacing w:line="249" w:lineRule="auto" w:before="1" w:after="0"/>
        <w:ind w:left="1074" w:right="1274" w:firstLine="340"/>
        <w:jc w:val="both"/>
        <w:rPr>
          <w:sz w:val="20"/>
        </w:rPr>
      </w:pPr>
      <w:r>
        <w:rPr>
          <w:sz w:val="20"/>
        </w:rPr>
        <w:t>Los mediadores de seguros llevarán un registro en el que anotarán los datos personales identificativos de sus colaboradores externos, con indicación de la fecha de alta y, en su caso, de baja, que quedará sometido al control de la Dirección General de Seguros y Fondos de</w:t>
      </w:r>
      <w:r>
        <w:rPr>
          <w:spacing w:val="-2"/>
          <w:sz w:val="20"/>
        </w:rPr>
        <w:t> </w:t>
      </w:r>
      <w:r>
        <w:rPr>
          <w:sz w:val="20"/>
        </w:rPr>
        <w:t>Pensiones.</w:t>
      </w:r>
    </w:p>
    <w:p>
      <w:pPr>
        <w:pStyle w:val="ListParagraph"/>
        <w:numPr>
          <w:ilvl w:val="0"/>
          <w:numId w:val="246"/>
        </w:numPr>
        <w:tabs>
          <w:tab w:pos="1691" w:val="left" w:leader="none"/>
        </w:tabs>
        <w:spacing w:line="249" w:lineRule="auto" w:before="3" w:after="0"/>
        <w:ind w:left="1074" w:right="1273" w:firstLine="340"/>
        <w:jc w:val="both"/>
        <w:rPr>
          <w:sz w:val="20"/>
        </w:rPr>
      </w:pPr>
      <w:r>
        <w:rPr>
          <w:sz w:val="20"/>
        </w:rPr>
        <w:t>Los colaboradores externos personas físicas, así como, en el caso de personas jurídicas, la persona responsable de la actividad de colaboración con la distribución de seguros o, en su caso, las personas que formen parte del órgano de dirección responsable de la actividad de colaboración con la distribución de seguros, y todas las personas que participen directamente en la actividad de distribución de seguros, deberán cumplir el requisito de honorabilidad comercial y profesional a que se refiere el artículo</w:t>
      </w:r>
      <w:r>
        <w:rPr>
          <w:spacing w:val="-21"/>
          <w:sz w:val="20"/>
        </w:rPr>
        <w:t> </w:t>
      </w:r>
      <w:r>
        <w:rPr>
          <w:sz w:val="20"/>
        </w:rPr>
        <w:t>128.</w:t>
      </w:r>
    </w:p>
    <w:p>
      <w:pPr>
        <w:pStyle w:val="BodyText"/>
        <w:spacing w:line="249" w:lineRule="auto" w:before="5"/>
        <w:ind w:right="1275"/>
      </w:pPr>
      <w:r>
        <w:rPr/>
        <w:t>Este requisito será igualmente aplicable a los administradores del colaborador externo, persona jurídica.</w:t>
      </w:r>
    </w:p>
    <w:p>
      <w:pPr>
        <w:pStyle w:val="ListParagraph"/>
        <w:numPr>
          <w:ilvl w:val="0"/>
          <w:numId w:val="246"/>
        </w:numPr>
        <w:tabs>
          <w:tab w:pos="1691" w:val="left" w:leader="none"/>
        </w:tabs>
        <w:spacing w:line="249" w:lineRule="auto" w:before="2" w:after="0"/>
        <w:ind w:left="1074" w:right="1274" w:firstLine="340"/>
        <w:jc w:val="both"/>
        <w:rPr>
          <w:sz w:val="20"/>
        </w:rPr>
      </w:pPr>
      <w:r>
        <w:rPr>
          <w:sz w:val="20"/>
        </w:rPr>
        <w:t>Los colaboradores externos personas físicas, así como, en el caso de personas jurídicas, la persona responsable de la actividad de colaboración con la distribución de seguros</w:t>
      </w:r>
      <w:r>
        <w:rPr>
          <w:spacing w:val="16"/>
          <w:sz w:val="20"/>
        </w:rPr>
        <w:t> </w:t>
      </w:r>
      <w:r>
        <w:rPr>
          <w:sz w:val="20"/>
        </w:rPr>
        <w:t>o,</w:t>
      </w:r>
      <w:r>
        <w:rPr>
          <w:spacing w:val="16"/>
          <w:sz w:val="20"/>
        </w:rPr>
        <w:t> </w:t>
      </w:r>
      <w:r>
        <w:rPr>
          <w:sz w:val="20"/>
        </w:rPr>
        <w:t>en</w:t>
      </w:r>
      <w:r>
        <w:rPr>
          <w:spacing w:val="17"/>
          <w:sz w:val="20"/>
        </w:rPr>
        <w:t> </w:t>
      </w:r>
      <w:r>
        <w:rPr>
          <w:sz w:val="20"/>
        </w:rPr>
        <w:t>su</w:t>
      </w:r>
      <w:r>
        <w:rPr>
          <w:spacing w:val="16"/>
          <w:sz w:val="20"/>
        </w:rPr>
        <w:t> </w:t>
      </w:r>
      <w:r>
        <w:rPr>
          <w:sz w:val="20"/>
        </w:rPr>
        <w:t>caso,</w:t>
      </w:r>
      <w:r>
        <w:rPr>
          <w:spacing w:val="16"/>
          <w:sz w:val="20"/>
        </w:rPr>
        <w:t> </w:t>
      </w:r>
      <w:r>
        <w:rPr>
          <w:sz w:val="20"/>
        </w:rPr>
        <w:t>al</w:t>
      </w:r>
      <w:r>
        <w:rPr>
          <w:spacing w:val="17"/>
          <w:sz w:val="20"/>
        </w:rPr>
        <w:t> </w:t>
      </w:r>
      <w:r>
        <w:rPr>
          <w:sz w:val="20"/>
        </w:rPr>
        <w:t>menos</w:t>
      </w:r>
      <w:r>
        <w:rPr>
          <w:spacing w:val="16"/>
          <w:sz w:val="20"/>
        </w:rPr>
        <w:t> </w:t>
      </w:r>
      <w:r>
        <w:rPr>
          <w:sz w:val="20"/>
        </w:rPr>
        <w:t>la</w:t>
      </w:r>
      <w:r>
        <w:rPr>
          <w:spacing w:val="16"/>
          <w:sz w:val="20"/>
        </w:rPr>
        <w:t> </w:t>
      </w:r>
      <w:r>
        <w:rPr>
          <w:sz w:val="20"/>
        </w:rPr>
        <w:t>mitad</w:t>
      </w:r>
      <w:r>
        <w:rPr>
          <w:spacing w:val="17"/>
          <w:sz w:val="20"/>
        </w:rPr>
        <w:t> </w:t>
      </w:r>
      <w:r>
        <w:rPr>
          <w:sz w:val="20"/>
        </w:rPr>
        <w:t>de</w:t>
      </w:r>
      <w:r>
        <w:rPr>
          <w:spacing w:val="16"/>
          <w:sz w:val="20"/>
        </w:rPr>
        <w:t> </w:t>
      </w:r>
      <w:r>
        <w:rPr>
          <w:sz w:val="20"/>
        </w:rPr>
        <w:t>las</w:t>
      </w:r>
      <w:r>
        <w:rPr>
          <w:spacing w:val="16"/>
          <w:sz w:val="20"/>
        </w:rPr>
        <w:t> </w:t>
      </w:r>
      <w:r>
        <w:rPr>
          <w:sz w:val="20"/>
        </w:rPr>
        <w:t>personas</w:t>
      </w:r>
      <w:r>
        <w:rPr>
          <w:spacing w:val="17"/>
          <w:sz w:val="20"/>
        </w:rPr>
        <w:t> </w:t>
      </w:r>
      <w:r>
        <w:rPr>
          <w:sz w:val="20"/>
        </w:rPr>
        <w:t>que</w:t>
      </w:r>
      <w:r>
        <w:rPr>
          <w:spacing w:val="16"/>
          <w:sz w:val="20"/>
        </w:rPr>
        <w:t> </w:t>
      </w:r>
      <w:r>
        <w:rPr>
          <w:sz w:val="20"/>
        </w:rPr>
        <w:t>formen</w:t>
      </w:r>
      <w:r>
        <w:rPr>
          <w:spacing w:val="16"/>
          <w:sz w:val="20"/>
        </w:rPr>
        <w:t> </w:t>
      </w:r>
      <w:r>
        <w:rPr>
          <w:sz w:val="20"/>
        </w:rPr>
        <w:t>parte</w:t>
      </w:r>
      <w:r>
        <w:rPr>
          <w:spacing w:val="17"/>
          <w:sz w:val="20"/>
        </w:rPr>
        <w:t> </w:t>
      </w:r>
      <w:r>
        <w:rPr>
          <w:sz w:val="20"/>
        </w:rPr>
        <w:t>del</w:t>
      </w:r>
      <w:r>
        <w:rPr>
          <w:spacing w:val="16"/>
          <w:sz w:val="20"/>
        </w:rPr>
        <w:t> </w:t>
      </w:r>
      <w:r>
        <w:rPr>
          <w:sz w:val="20"/>
        </w:rPr>
        <w:t>órgano</w:t>
      </w:r>
      <w:r>
        <w:rPr>
          <w:spacing w:val="17"/>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1" w:firstLine="0"/>
      </w:pPr>
      <w:r>
        <w:rPr/>
        <w:t>dirección responsable de la actividad de colaboración con la distribución de seguros, y todas las personas que participen directamente en la actividad de distribución de seguros, deberán poseer unos conocimientos y aptitudes apropiados mediante la superación de cursos de formación de acuerdo con lo previsto en el título I y en su normativa de desarrollo. La Dirección General de Seguros y Fondos de Pensiones establecerá mediante resolución las líneas generales y los principios básicos que, en cuanto a su contenido, organización y ejecución, habrán de cumplir los programas de formación inicial y continua de los colaboradores externos.</w:t>
      </w:r>
    </w:p>
    <w:p>
      <w:pPr>
        <w:pStyle w:val="ListParagraph"/>
        <w:numPr>
          <w:ilvl w:val="0"/>
          <w:numId w:val="246"/>
        </w:numPr>
        <w:tabs>
          <w:tab w:pos="1677" w:val="left" w:leader="none"/>
        </w:tabs>
        <w:spacing w:line="249" w:lineRule="auto" w:before="6" w:after="0"/>
        <w:ind w:left="1074" w:right="1272" w:firstLine="340"/>
        <w:jc w:val="both"/>
        <w:rPr>
          <w:sz w:val="20"/>
        </w:rPr>
      </w:pPr>
      <w:r>
        <w:rPr>
          <w:sz w:val="20"/>
        </w:rPr>
        <w:t>Los colaboradores externos de los mediadores de seguros, agentes de seguros o corredores de seguros, no podrán colaborar con otros mediadores de seguros de distinta clase.</w:t>
      </w:r>
    </w:p>
    <w:p>
      <w:pPr>
        <w:pStyle w:val="BodyText"/>
        <w:spacing w:before="4"/>
        <w:ind w:left="0" w:firstLine="0"/>
        <w:jc w:val="left"/>
        <w:rPr>
          <w:sz w:val="25"/>
        </w:rPr>
      </w:pPr>
    </w:p>
    <w:p>
      <w:pPr>
        <w:pStyle w:val="BodyText"/>
        <w:spacing w:line="249" w:lineRule="auto" w:before="0"/>
        <w:ind w:left="4601" w:right="1278" w:hanging="3187"/>
        <w:jc w:val="left"/>
      </w:pPr>
      <w:bookmarkStart w:name="Subsección 2.ª De la actividad de distri" w:id="231"/>
      <w:bookmarkEnd w:id="231"/>
      <w:r>
        <w:rPr/>
      </w:r>
      <w:bookmarkStart w:name="_bookmark46" w:id="232"/>
      <w:bookmarkEnd w:id="232"/>
      <w:r>
        <w:rPr/>
      </w:r>
      <w:r>
        <w:rPr/>
        <w:t>Subsección 2.ª De la actividad de distribución de seguros realizada por las entidades aseguradoras</w:t>
      </w:r>
    </w:p>
    <w:p>
      <w:pPr>
        <w:pStyle w:val="BodyText"/>
        <w:spacing w:before="9"/>
        <w:ind w:left="0" w:firstLine="0"/>
        <w:jc w:val="left"/>
        <w:rPr>
          <w:sz w:val="29"/>
        </w:rPr>
      </w:pPr>
    </w:p>
    <w:p>
      <w:pPr>
        <w:spacing w:line="249" w:lineRule="auto" w:before="0"/>
        <w:ind w:left="1074" w:right="1274" w:firstLine="0"/>
        <w:jc w:val="both"/>
        <w:rPr>
          <w:i/>
          <w:sz w:val="20"/>
        </w:rPr>
      </w:pPr>
      <w:bookmarkStart w:name="Artículo 138. Distribución de productos " w:id="233"/>
      <w:bookmarkEnd w:id="233"/>
      <w:r>
        <w:rPr/>
      </w:r>
      <w:r>
        <w:rPr>
          <w:b/>
          <w:sz w:val="20"/>
        </w:rPr>
        <w:t>Artículo 138. </w:t>
      </w:r>
      <w:r>
        <w:rPr>
          <w:i/>
          <w:sz w:val="20"/>
        </w:rPr>
        <w:t>Distribución de productos de seguros por empleados de entidades </w:t>
      </w:r>
      <w:r>
        <w:rPr>
          <w:i/>
          <w:sz w:val="20"/>
        </w:rPr>
        <w:t>aseguradoras.</w:t>
      </w:r>
    </w:p>
    <w:p>
      <w:pPr>
        <w:pStyle w:val="BodyText"/>
        <w:spacing w:line="249" w:lineRule="auto" w:before="109"/>
        <w:ind w:right="1274"/>
      </w:pPr>
      <w:r>
        <w:rPr/>
        <w:t>Los empleados que formen parte de las plantillas de entidades aseguradoras podrán promover la distribución de seguros a favor de estas, entendiéndose que los contratos resultantes han sido celebrados por las entidades aseguradoras a todos los efectos.</w:t>
      </w:r>
    </w:p>
    <w:p>
      <w:pPr>
        <w:pStyle w:val="BodyText"/>
        <w:spacing w:before="5"/>
        <w:ind w:left="0" w:firstLine="0"/>
        <w:jc w:val="left"/>
      </w:pPr>
    </w:p>
    <w:p>
      <w:pPr>
        <w:spacing w:line="249" w:lineRule="auto" w:before="0"/>
        <w:ind w:left="1074" w:right="1276" w:firstLine="0"/>
        <w:jc w:val="both"/>
        <w:rPr>
          <w:i/>
          <w:sz w:val="20"/>
        </w:rPr>
      </w:pPr>
      <w:bookmarkStart w:name="Artículo 139. Requisitos de los empleado" w:id="234"/>
      <w:bookmarkEnd w:id="234"/>
      <w:r>
        <w:rPr/>
      </w:r>
      <w:r>
        <w:rPr>
          <w:b/>
          <w:sz w:val="20"/>
        </w:rPr>
        <w:t>Artículo 139. </w:t>
      </w:r>
      <w:r>
        <w:rPr>
          <w:i/>
          <w:sz w:val="20"/>
        </w:rPr>
        <w:t>Requisitos de los empleados de entidades aseguradoras que participan en la </w:t>
      </w:r>
      <w:r>
        <w:rPr>
          <w:i/>
          <w:sz w:val="20"/>
        </w:rPr>
        <w:t>distribución de seguros.</w:t>
      </w:r>
    </w:p>
    <w:p>
      <w:pPr>
        <w:pStyle w:val="ListParagraph"/>
        <w:numPr>
          <w:ilvl w:val="0"/>
          <w:numId w:val="247"/>
        </w:numPr>
        <w:tabs>
          <w:tab w:pos="1678" w:val="left" w:leader="none"/>
        </w:tabs>
        <w:spacing w:line="249" w:lineRule="auto" w:before="109" w:after="0"/>
        <w:ind w:left="1074" w:right="1274" w:firstLine="340"/>
        <w:jc w:val="both"/>
        <w:rPr>
          <w:sz w:val="20"/>
        </w:rPr>
      </w:pPr>
      <w:r>
        <w:rPr>
          <w:sz w:val="20"/>
        </w:rPr>
        <w:t>Las entidades aseguradoras deberán garantizar que los empleados que participen directamente en actividades de distribución de seguros, la persona responsable de la actividad de distribución, o, en su caso, las personas que formen parte del órgano de dirección responsable de la actividad de distribución, cumplen el requisito de honorabilidad comercial y profesional en los términos definidos en el artículo</w:t>
      </w:r>
      <w:r>
        <w:rPr>
          <w:spacing w:val="-14"/>
          <w:sz w:val="20"/>
        </w:rPr>
        <w:t> </w:t>
      </w:r>
      <w:r>
        <w:rPr>
          <w:sz w:val="20"/>
        </w:rPr>
        <w:t>128.</w:t>
      </w:r>
    </w:p>
    <w:p>
      <w:pPr>
        <w:pStyle w:val="ListParagraph"/>
        <w:numPr>
          <w:ilvl w:val="0"/>
          <w:numId w:val="247"/>
        </w:numPr>
        <w:tabs>
          <w:tab w:pos="1678" w:val="left" w:leader="none"/>
        </w:tabs>
        <w:spacing w:line="249" w:lineRule="auto" w:before="4" w:after="0"/>
        <w:ind w:left="1074" w:right="1272" w:firstLine="340"/>
        <w:jc w:val="both"/>
        <w:rPr>
          <w:sz w:val="20"/>
        </w:rPr>
      </w:pPr>
      <w:r>
        <w:rPr>
          <w:sz w:val="20"/>
        </w:rPr>
        <w:t>Las entidades aseguradoras deberán garantizar que los empleados que participen directamente en actividades de distribución, la persona responsable de la actividad de distribución o, en su caso, al menos la mitad de las personas que formen parte del órgano de dirección responsable de la actividad de distribución, poseen unos conocimientos y aptitudes apropiados mediante la superación de cursos de formación, de acuerdo con lo previsto en el título I y en su normativa de</w:t>
      </w:r>
      <w:r>
        <w:rPr>
          <w:spacing w:val="-5"/>
          <w:sz w:val="20"/>
        </w:rPr>
        <w:t> </w:t>
      </w:r>
      <w:r>
        <w:rPr>
          <w:sz w:val="20"/>
        </w:rPr>
        <w:t>desarrollo.</w:t>
      </w:r>
    </w:p>
    <w:p>
      <w:pPr>
        <w:pStyle w:val="BodyText"/>
        <w:spacing w:line="249" w:lineRule="auto" w:before="5"/>
        <w:ind w:right="1273"/>
      </w:pPr>
      <w:r>
        <w:rPr/>
        <w:t>Asimismo, las entidades aseguradoras facilitarán a las personas a las que se refiere el párrafo anterior los medios necesarios para garantizar una formación continua adaptada a los productos distribuidos, a la función desempeñada y a la actividad realizada, estableciendo programas de formación en los que se indicarán, al menos, los requisitos que han de cumplir las personas a las que se destinen y los medios que se van a emplear para su ejecución. La documentación correspondiente a los programas de formación estará a disposición de la Dirección General de Seguros y Fondos de</w:t>
      </w:r>
      <w:r>
        <w:rPr>
          <w:spacing w:val="-11"/>
        </w:rPr>
        <w:t> </w:t>
      </w:r>
      <w:r>
        <w:rPr/>
        <w:t>Pensiones.</w:t>
      </w:r>
    </w:p>
    <w:p>
      <w:pPr>
        <w:pStyle w:val="ListParagraph"/>
        <w:numPr>
          <w:ilvl w:val="0"/>
          <w:numId w:val="247"/>
        </w:numPr>
        <w:tabs>
          <w:tab w:pos="1696" w:val="left" w:leader="none"/>
        </w:tabs>
        <w:spacing w:line="249" w:lineRule="auto" w:before="6" w:after="0"/>
        <w:ind w:left="1074" w:right="1271" w:firstLine="340"/>
        <w:jc w:val="both"/>
        <w:rPr>
          <w:sz w:val="20"/>
        </w:rPr>
      </w:pPr>
      <w:r>
        <w:rPr>
          <w:sz w:val="20"/>
        </w:rPr>
        <w:t>La Dirección General de Seguros y Fondos de Pensiones establecerá mediante resolución las líneas generales y los principios básicos que, en cuanto a su contenido, organización y ejecución, habrán de cumplir los cursos de formación inicial y continua de los empleados de entidades aseguradoras, de la persona responsable de la actividad de distribución, así como, en su caso, de las personas que formen parte del órgano de dirección responsable de la actividad de distribución. Tales cursos podrán ser impartidos por las entidades aseguradoras de acuerdo con lo previsto en el título I y en su normativa de desarrollo.</w:t>
      </w:r>
    </w:p>
    <w:p>
      <w:pPr>
        <w:pStyle w:val="ListParagraph"/>
        <w:numPr>
          <w:ilvl w:val="0"/>
          <w:numId w:val="247"/>
        </w:numPr>
        <w:tabs>
          <w:tab w:pos="1700" w:val="left" w:leader="none"/>
        </w:tabs>
        <w:spacing w:line="249" w:lineRule="auto" w:before="7" w:after="0"/>
        <w:ind w:left="1074" w:right="1271" w:firstLine="340"/>
        <w:jc w:val="both"/>
        <w:rPr>
          <w:sz w:val="20"/>
        </w:rPr>
      </w:pPr>
      <w:r>
        <w:rPr>
          <w:sz w:val="20"/>
        </w:rPr>
        <w:t>Para garantizar el cumplimiento de los requisitos previstos en este artículo, las entidades aseguradoras aprobarán, aplicarán y revisarán periódicamente sus políticas internas y los procedimientos internos adecuados. Asimismo, determinarán una función que garantice una correcta ejecución de las políticas y los procedimientos aprobados, debiendo tener a disposición de la Dirección General de Seguros y Fondos de Pensiones el nombre de la persona responsable de dicha</w:t>
      </w:r>
      <w:r>
        <w:rPr>
          <w:spacing w:val="-5"/>
          <w:sz w:val="20"/>
        </w:rPr>
        <w:t> </w:t>
      </w:r>
      <w:r>
        <w:rPr>
          <w:sz w:val="20"/>
        </w:rPr>
        <w:t>función.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47"/>
        </w:numPr>
        <w:tabs>
          <w:tab w:pos="1651" w:val="left" w:leader="none"/>
        </w:tabs>
        <w:spacing w:line="249" w:lineRule="auto" w:before="127" w:after="0"/>
        <w:ind w:left="1074" w:right="1273" w:firstLine="340"/>
        <w:jc w:val="both"/>
        <w:rPr>
          <w:sz w:val="20"/>
        </w:rPr>
      </w:pPr>
      <w:r>
        <w:rPr>
          <w:sz w:val="20"/>
        </w:rPr>
        <w:t>Las entidades aseguradoras deberán llevar un registro actualizado en el que consten inscritos los empleados que participen directamente en actividades de distribución de seguros, así como la persona responsable de la actividad de distribución o, en su caso, las personas que formen parte del órgano de dirección responsable de la actividad de distribución.</w:t>
      </w:r>
    </w:p>
    <w:p>
      <w:pPr>
        <w:pStyle w:val="BodyText"/>
        <w:spacing w:line="249" w:lineRule="auto" w:before="4"/>
        <w:ind w:right="1272"/>
      </w:pPr>
      <w:r>
        <w:rPr/>
        <w:t>Dicho registro quedará sometido al control de la Dirección General de Seguros y Fondos de Pensiones.</w:t>
      </w:r>
    </w:p>
    <w:p>
      <w:pPr>
        <w:pStyle w:val="ListParagraph"/>
        <w:numPr>
          <w:ilvl w:val="0"/>
          <w:numId w:val="247"/>
        </w:numPr>
        <w:tabs>
          <w:tab w:pos="1705" w:val="left" w:leader="none"/>
        </w:tabs>
        <w:spacing w:line="249" w:lineRule="auto" w:before="1" w:after="0"/>
        <w:ind w:left="1074" w:right="1271" w:firstLine="340"/>
        <w:jc w:val="both"/>
        <w:rPr>
          <w:sz w:val="20"/>
        </w:rPr>
      </w:pPr>
      <w:r>
        <w:rPr>
          <w:sz w:val="20"/>
        </w:rPr>
        <w:t>Los datos que, con arreglo a la disposición adicional octava del Real Decreto 1060/2015, de 20 de noviembre, de ordenación, supervisión y solvencia de las entidades aseguradoras y reaseguradoras, sean inscribibles en el registro administrativo previsto en el artículo 133, serán remitidos por cada entidad aseguradora a la Dirección General de Seguros y Fondos de Pensiones por vía telemática para su inscripción, en el plazo máximo de tres meses desde la presentación de la</w:t>
      </w:r>
      <w:r>
        <w:rPr>
          <w:spacing w:val="-8"/>
          <w:sz w:val="20"/>
        </w:rPr>
        <w:t> </w:t>
      </w:r>
      <w:r>
        <w:rPr>
          <w:sz w:val="20"/>
        </w:rPr>
        <w:t>solicitud.</w:t>
      </w:r>
    </w:p>
    <w:p>
      <w:pPr>
        <w:pStyle w:val="BodyText"/>
        <w:spacing w:line="249" w:lineRule="auto" w:before="5"/>
        <w:ind w:right="1273"/>
      </w:pPr>
      <w:r>
        <w:rPr/>
        <w:t>Las entidades aseguradoras deberán conservar y mantener actualizada la documentación acreditativa del cumplimiento de los requisitos establecidos en los apartados 1 y 2, y comunicarán a la Dirección General de Seguros y Fondos de Pensiones los cambios en la información facilitada de conformidad con este apartado, en un plazo máximo de  quince días hábiles desde el acuerdo de</w:t>
      </w:r>
      <w:r>
        <w:rPr>
          <w:spacing w:val="-10"/>
        </w:rPr>
        <w:t> </w:t>
      </w:r>
      <w:r>
        <w:rPr/>
        <w:t>modificación.</w:t>
      </w:r>
    </w:p>
    <w:p>
      <w:pPr>
        <w:pStyle w:val="BodyText"/>
        <w:spacing w:line="249" w:lineRule="auto" w:before="4"/>
        <w:ind w:right="1273"/>
      </w:pPr>
      <w:r>
        <w:rPr/>
        <w:t>La Dirección General de Seguros y Fondos de Pensiones determinará mediante resolución el contenido y la forma en que deberá remitirse esta información.</w:t>
      </w:r>
    </w:p>
    <w:p>
      <w:pPr>
        <w:pStyle w:val="BodyText"/>
        <w:spacing w:before="4"/>
        <w:ind w:left="0" w:firstLine="0"/>
        <w:jc w:val="left"/>
        <w:rPr>
          <w:sz w:val="25"/>
        </w:rPr>
      </w:pPr>
    </w:p>
    <w:p>
      <w:pPr>
        <w:pStyle w:val="BodyText"/>
        <w:spacing w:line="249" w:lineRule="auto" w:before="0"/>
        <w:ind w:left="4717" w:right="1647" w:hanging="3304"/>
        <w:jc w:val="left"/>
      </w:pPr>
      <w:bookmarkStart w:name="Subsección 3.ª De la actividad de distri" w:id="235"/>
      <w:bookmarkEnd w:id="235"/>
      <w:r>
        <w:rPr/>
      </w:r>
      <w:bookmarkStart w:name="_bookmark47" w:id="236"/>
      <w:bookmarkEnd w:id="236"/>
      <w:r>
        <w:rPr/>
      </w:r>
      <w:r>
        <w:rPr/>
        <w:t>Subsección 3.ª De la actividad de distribución de seguros realizada por los agentes de</w:t>
      </w:r>
      <w:r>
        <w:rPr>
          <w:spacing w:val="-2"/>
        </w:rPr>
        <w:t> </w:t>
      </w:r>
      <w:r>
        <w:rPr/>
        <w:t>seguros</w:t>
      </w:r>
    </w:p>
    <w:p>
      <w:pPr>
        <w:pStyle w:val="BodyText"/>
        <w:spacing w:before="8"/>
        <w:ind w:left="0" w:firstLine="0"/>
        <w:jc w:val="left"/>
        <w:rPr>
          <w:sz w:val="29"/>
        </w:rPr>
      </w:pPr>
    </w:p>
    <w:p>
      <w:pPr>
        <w:spacing w:before="0"/>
        <w:ind w:left="1074" w:right="0" w:firstLine="0"/>
        <w:jc w:val="both"/>
        <w:rPr>
          <w:i/>
          <w:sz w:val="20"/>
        </w:rPr>
      </w:pPr>
      <w:bookmarkStart w:name="Artículo 140. Concepto de agente de segu" w:id="237"/>
      <w:bookmarkEnd w:id="237"/>
      <w:r>
        <w:rPr/>
      </w:r>
      <w:r>
        <w:rPr>
          <w:b/>
          <w:sz w:val="20"/>
        </w:rPr>
        <w:t>Artículo 140. </w:t>
      </w:r>
      <w:r>
        <w:rPr>
          <w:i/>
          <w:sz w:val="20"/>
        </w:rPr>
        <w:t>Concepto de agente de seguros.</w:t>
      </w:r>
    </w:p>
    <w:p>
      <w:pPr>
        <w:pStyle w:val="BodyText"/>
        <w:spacing w:line="249" w:lineRule="auto" w:before="118"/>
        <w:ind w:right="1273"/>
      </w:pPr>
      <w:r>
        <w:rPr/>
        <w:t>Son agentes de seguros las personas físicas o jurídicas, distintas de una entidad aseguradora o de sus empleados, que mediante la celebración de un contrato de agencia con una o varias entidades aseguradoras, se comprometen frente a estas a realizar la actividad de distribución de seguros definida en el artículo 129.1, en los términos acordados en dicho</w:t>
      </w:r>
      <w:r>
        <w:rPr>
          <w:spacing w:val="-3"/>
        </w:rPr>
        <w:t> </w:t>
      </w:r>
      <w:r>
        <w:rPr/>
        <w:t>contrato.</w:t>
      </w:r>
    </w:p>
    <w:p>
      <w:pPr>
        <w:pStyle w:val="BodyText"/>
        <w:spacing w:before="6"/>
        <w:ind w:left="0" w:firstLine="0"/>
        <w:jc w:val="left"/>
      </w:pPr>
    </w:p>
    <w:p>
      <w:pPr>
        <w:spacing w:before="0"/>
        <w:ind w:left="1074" w:right="0" w:firstLine="0"/>
        <w:jc w:val="both"/>
        <w:rPr>
          <w:i/>
          <w:sz w:val="20"/>
        </w:rPr>
      </w:pPr>
      <w:bookmarkStart w:name="Artículo 141. Contrato de agencia de seg" w:id="238"/>
      <w:bookmarkEnd w:id="238"/>
      <w:r>
        <w:rPr/>
      </w:r>
      <w:r>
        <w:rPr>
          <w:b/>
          <w:sz w:val="20"/>
        </w:rPr>
        <w:t>Artículo 141. </w:t>
      </w:r>
      <w:r>
        <w:rPr>
          <w:i/>
          <w:sz w:val="20"/>
        </w:rPr>
        <w:t>Contrato de agencia de seguros.</w:t>
      </w:r>
    </w:p>
    <w:p>
      <w:pPr>
        <w:pStyle w:val="ListParagraph"/>
        <w:numPr>
          <w:ilvl w:val="0"/>
          <w:numId w:val="248"/>
        </w:numPr>
        <w:tabs>
          <w:tab w:pos="1660" w:val="left" w:leader="none"/>
        </w:tabs>
        <w:spacing w:line="249" w:lineRule="auto" w:before="118" w:after="0"/>
        <w:ind w:left="1074" w:right="1270" w:firstLine="340"/>
        <w:jc w:val="both"/>
        <w:rPr>
          <w:sz w:val="20"/>
        </w:rPr>
      </w:pPr>
      <w:r>
        <w:rPr>
          <w:sz w:val="20"/>
        </w:rPr>
        <w:t>El contrato de agencia de seguros tendrá siempre carácter mercantil, se formalizará por escrito y se entenderá celebrado en consideración a las personas</w:t>
      </w:r>
      <w:r>
        <w:rPr>
          <w:spacing w:val="-18"/>
          <w:sz w:val="20"/>
        </w:rPr>
        <w:t> </w:t>
      </w:r>
      <w:r>
        <w:rPr>
          <w:sz w:val="20"/>
        </w:rPr>
        <w:t>contratantes.</w:t>
      </w:r>
    </w:p>
    <w:p>
      <w:pPr>
        <w:pStyle w:val="ListParagraph"/>
        <w:numPr>
          <w:ilvl w:val="0"/>
          <w:numId w:val="248"/>
        </w:numPr>
        <w:tabs>
          <w:tab w:pos="1686" w:val="left" w:leader="none"/>
        </w:tabs>
        <w:spacing w:line="249" w:lineRule="auto" w:before="2" w:after="0"/>
        <w:ind w:left="1074" w:right="1273" w:firstLine="340"/>
        <w:jc w:val="both"/>
        <w:rPr>
          <w:sz w:val="20"/>
        </w:rPr>
      </w:pPr>
      <w:r>
        <w:rPr>
          <w:sz w:val="20"/>
        </w:rPr>
        <w:t>El contenido del contrato será el que las partes acuerden libremente y se regirá supletoriamente por la Ley 12/1992, de 27 de mayo, sobre contrato de</w:t>
      </w:r>
      <w:r>
        <w:rPr>
          <w:spacing w:val="-17"/>
          <w:sz w:val="20"/>
        </w:rPr>
        <w:t> </w:t>
      </w:r>
      <w:r>
        <w:rPr>
          <w:sz w:val="20"/>
        </w:rPr>
        <w:t>agencia.</w:t>
      </w:r>
    </w:p>
    <w:p>
      <w:pPr>
        <w:pStyle w:val="ListParagraph"/>
        <w:numPr>
          <w:ilvl w:val="0"/>
          <w:numId w:val="248"/>
        </w:numPr>
        <w:tabs>
          <w:tab w:pos="1642" w:val="left" w:leader="none"/>
        </w:tabs>
        <w:spacing w:line="249" w:lineRule="auto" w:before="1" w:after="0"/>
        <w:ind w:left="1074" w:right="1273" w:firstLine="340"/>
        <w:jc w:val="both"/>
        <w:rPr>
          <w:sz w:val="20"/>
        </w:rPr>
      </w:pPr>
      <w:r>
        <w:rPr>
          <w:sz w:val="20"/>
        </w:rPr>
        <w:t>El contrato de agencia de seguros será retribuido y especificará la comisión u otro tipo de remuneración que la entidad aseguradora abonará al agente de seguros por la distribución de los seguros durante la vigencia del contrato y, en su caso, una vez extinguido este.</w:t>
      </w:r>
    </w:p>
    <w:p>
      <w:pPr>
        <w:pStyle w:val="ListParagraph"/>
        <w:numPr>
          <w:ilvl w:val="0"/>
          <w:numId w:val="248"/>
        </w:numPr>
        <w:tabs>
          <w:tab w:pos="1665" w:val="left" w:leader="none"/>
        </w:tabs>
        <w:spacing w:line="249" w:lineRule="auto" w:before="4" w:after="0"/>
        <w:ind w:left="1074" w:right="1272" w:firstLine="340"/>
        <w:jc w:val="both"/>
        <w:rPr>
          <w:sz w:val="20"/>
        </w:rPr>
      </w:pPr>
      <w:r>
        <w:rPr>
          <w:sz w:val="20"/>
        </w:rPr>
        <w:t>Los agentes de seguros no podrán promover el cambio de entidad aseguradora en todo o en parte de la cartera de los contratos de seguros por ellos distribuidos. Tampoco podrán realizar, sin consentimiento de la entidad aseguradora, actos de disposición sobre su posición mediadora en dicha</w:t>
      </w:r>
      <w:r>
        <w:rPr>
          <w:spacing w:val="-4"/>
          <w:sz w:val="20"/>
        </w:rPr>
        <w:t> </w:t>
      </w:r>
      <w:r>
        <w:rPr>
          <w:sz w:val="20"/>
        </w:rPr>
        <w:t>cartera.</w:t>
      </w:r>
    </w:p>
    <w:p>
      <w:pPr>
        <w:pStyle w:val="ListParagraph"/>
        <w:numPr>
          <w:ilvl w:val="0"/>
          <w:numId w:val="248"/>
        </w:numPr>
        <w:tabs>
          <w:tab w:pos="1709" w:val="left" w:leader="none"/>
        </w:tabs>
        <w:spacing w:line="249" w:lineRule="auto" w:before="3" w:after="0"/>
        <w:ind w:left="1074" w:right="1271" w:firstLine="340"/>
        <w:jc w:val="both"/>
        <w:rPr>
          <w:sz w:val="20"/>
        </w:rPr>
      </w:pPr>
      <w:r>
        <w:rPr>
          <w:sz w:val="20"/>
        </w:rPr>
        <w:t>Producida la extinción del contrato de agencia, la entidad aseguradora deberá comunicar dicha circunstancia a quienes figurasen como tomadores de seguros en los contratos celebrados con la intervención del agente cesante y, en su caso, el cambio de la posición mediadora a favor de otro agente. El agente de seguros cesante podrá comunicar dicha circunstancia a quienes figurasen como tomadores de seguros en los contratos de seguros celebrados a través de su actividad de</w:t>
      </w:r>
      <w:r>
        <w:rPr>
          <w:spacing w:val="-7"/>
          <w:sz w:val="20"/>
        </w:rPr>
        <w:t> </w:t>
      </w:r>
      <w:r>
        <w:rPr>
          <w:sz w:val="20"/>
        </w:rPr>
        <w:t>distribución.</w:t>
      </w:r>
    </w:p>
    <w:p>
      <w:pPr>
        <w:pStyle w:val="ListParagraph"/>
        <w:numPr>
          <w:ilvl w:val="0"/>
          <w:numId w:val="248"/>
        </w:numPr>
        <w:tabs>
          <w:tab w:pos="1648" w:val="left" w:leader="none"/>
        </w:tabs>
        <w:spacing w:line="249" w:lineRule="auto" w:before="5" w:after="0"/>
        <w:ind w:left="1074" w:right="1272" w:firstLine="340"/>
        <w:jc w:val="both"/>
        <w:rPr>
          <w:sz w:val="20"/>
        </w:rPr>
      </w:pPr>
      <w:r>
        <w:rPr>
          <w:sz w:val="20"/>
        </w:rPr>
        <w:t>Los agentes de seguros podrán utilizar los servicios de colaboradores externos a que se refiere el artículo 137, con la finalidad de que colaboren con ellos en la distribución de productos de seguros en los términos que se acuerde con la entidad aseguradora en el contrato de agencia de</w:t>
      </w:r>
      <w:r>
        <w:rPr>
          <w:spacing w:val="-4"/>
          <w:sz w:val="20"/>
        </w:rPr>
        <w:t> </w:t>
      </w:r>
      <w:r>
        <w:rPr>
          <w:sz w:val="20"/>
        </w:rPr>
        <w:t>seguros.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42. Requisitos a efectos de ga" w:id="239"/>
      <w:bookmarkEnd w:id="239"/>
      <w:r>
        <w:rPr/>
      </w:r>
      <w:r>
        <w:rPr>
          <w:b/>
          <w:sz w:val="20"/>
        </w:rPr>
        <w:t>Artículo 142. </w:t>
      </w:r>
      <w:r>
        <w:rPr>
          <w:i/>
          <w:sz w:val="20"/>
        </w:rPr>
        <w:t>Requisitos a efectos de garantizar las obligaciones frente a terceros.</w:t>
      </w:r>
    </w:p>
    <w:p>
      <w:pPr>
        <w:pStyle w:val="ListParagraph"/>
        <w:numPr>
          <w:ilvl w:val="0"/>
          <w:numId w:val="249"/>
        </w:numPr>
        <w:tabs>
          <w:tab w:pos="1645" w:val="left" w:leader="none"/>
        </w:tabs>
        <w:spacing w:line="249" w:lineRule="auto" w:before="118" w:after="0"/>
        <w:ind w:left="1074" w:right="1274" w:firstLine="340"/>
        <w:jc w:val="both"/>
        <w:rPr>
          <w:sz w:val="20"/>
        </w:rPr>
      </w:pPr>
      <w:r>
        <w:rPr>
          <w:sz w:val="20"/>
        </w:rPr>
        <w:t>Los importes abonados por el cliente al agente de seguros se considerarán abonados a la entidad aseguradora, mientras que los importes abonados por la entidad aseguradora al agente no se considerarán abonados al cliente hasta que este los reciba</w:t>
      </w:r>
      <w:r>
        <w:rPr>
          <w:spacing w:val="-30"/>
          <w:sz w:val="20"/>
        </w:rPr>
        <w:t> </w:t>
      </w:r>
      <w:r>
        <w:rPr>
          <w:sz w:val="20"/>
        </w:rPr>
        <w:t>efectivamente.</w:t>
      </w:r>
    </w:p>
    <w:p>
      <w:pPr>
        <w:pStyle w:val="ListParagraph"/>
        <w:numPr>
          <w:ilvl w:val="0"/>
          <w:numId w:val="249"/>
        </w:numPr>
        <w:tabs>
          <w:tab w:pos="1637" w:val="left" w:leader="none"/>
        </w:tabs>
        <w:spacing w:line="240" w:lineRule="auto" w:before="2" w:after="0"/>
        <w:ind w:left="1636" w:right="0" w:hanging="223"/>
        <w:jc w:val="both"/>
        <w:rPr>
          <w:sz w:val="20"/>
        </w:rPr>
      </w:pPr>
      <w:r>
        <w:rPr>
          <w:sz w:val="20"/>
        </w:rPr>
        <w:t>Lo anterior se entiende sin perjuicio de lo dispuesto en el artículo</w:t>
      </w:r>
      <w:r>
        <w:rPr>
          <w:spacing w:val="-20"/>
          <w:sz w:val="20"/>
        </w:rPr>
        <w:t> </w:t>
      </w:r>
      <w:r>
        <w:rPr>
          <w:sz w:val="20"/>
        </w:rPr>
        <w:t>136.4.</w:t>
      </w:r>
    </w:p>
    <w:p>
      <w:pPr>
        <w:pStyle w:val="BodyText"/>
        <w:spacing w:before="1"/>
        <w:ind w:left="0" w:firstLine="0"/>
        <w:jc w:val="left"/>
        <w:rPr>
          <w:sz w:val="21"/>
        </w:rPr>
      </w:pPr>
    </w:p>
    <w:p>
      <w:pPr>
        <w:spacing w:before="0"/>
        <w:ind w:left="1074" w:right="0" w:firstLine="0"/>
        <w:jc w:val="both"/>
        <w:rPr>
          <w:i/>
          <w:sz w:val="20"/>
        </w:rPr>
      </w:pPr>
      <w:bookmarkStart w:name="Artículo 143. Responsabilidad civil prof" w:id="240"/>
      <w:bookmarkEnd w:id="240"/>
      <w:r>
        <w:rPr/>
      </w:r>
      <w:r>
        <w:rPr>
          <w:b/>
          <w:sz w:val="20"/>
        </w:rPr>
        <w:t>Artículo 143. </w:t>
      </w:r>
      <w:r>
        <w:rPr>
          <w:i/>
          <w:sz w:val="20"/>
        </w:rPr>
        <w:t>Responsabilidad civil profesional.</w:t>
      </w:r>
    </w:p>
    <w:p>
      <w:pPr>
        <w:pStyle w:val="ListParagraph"/>
        <w:numPr>
          <w:ilvl w:val="0"/>
          <w:numId w:val="250"/>
        </w:numPr>
        <w:tabs>
          <w:tab w:pos="1665" w:val="left" w:leader="none"/>
        </w:tabs>
        <w:spacing w:line="249" w:lineRule="auto" w:before="118" w:after="0"/>
        <w:ind w:left="1074" w:right="1273" w:firstLine="340"/>
        <w:jc w:val="both"/>
        <w:rPr>
          <w:sz w:val="20"/>
        </w:rPr>
      </w:pPr>
      <w:r>
        <w:rPr>
          <w:sz w:val="20"/>
        </w:rPr>
        <w:t>Sin perjuicio de la responsabilidad penal o de otra índole en que pudiera incurrir el agente de seguros en el ejercicio de su actividad de distribución de seguros, será imputada a la entidad aseguradora con la que hubiera celebrado un contrato de agencia de seguros la responsabilidad civil profesional derivada de su actuación y de la de sus colaboradores externos, todo ello de conformidad con lo dispuesto en los contratos de agencia</w:t>
      </w:r>
      <w:r>
        <w:rPr>
          <w:spacing w:val="-35"/>
          <w:sz w:val="20"/>
        </w:rPr>
        <w:t> </w:t>
      </w:r>
      <w:r>
        <w:rPr>
          <w:sz w:val="20"/>
        </w:rPr>
        <w:t>celebrados.</w:t>
      </w:r>
    </w:p>
    <w:p>
      <w:pPr>
        <w:pStyle w:val="ListParagraph"/>
        <w:numPr>
          <w:ilvl w:val="0"/>
          <w:numId w:val="250"/>
        </w:numPr>
        <w:tabs>
          <w:tab w:pos="1637" w:val="left" w:leader="none"/>
        </w:tabs>
        <w:spacing w:line="240" w:lineRule="auto" w:before="4" w:after="0"/>
        <w:ind w:left="1636" w:right="0" w:hanging="223"/>
        <w:jc w:val="both"/>
        <w:rPr>
          <w:sz w:val="20"/>
        </w:rPr>
      </w:pPr>
      <w:r>
        <w:rPr>
          <w:sz w:val="20"/>
        </w:rPr>
        <w:t>El apartado anterior no será de aplicación a los operadores de</w:t>
      </w:r>
      <w:r>
        <w:rPr>
          <w:spacing w:val="-21"/>
          <w:sz w:val="20"/>
        </w:rPr>
        <w:t> </w:t>
      </w:r>
      <w:r>
        <w:rPr>
          <w:sz w:val="20"/>
        </w:rPr>
        <w:t>banca-seguros.</w:t>
      </w:r>
    </w:p>
    <w:p>
      <w:pPr>
        <w:pStyle w:val="BodyText"/>
        <w:spacing w:before="1"/>
        <w:ind w:left="0" w:firstLine="0"/>
        <w:jc w:val="left"/>
        <w:rPr>
          <w:sz w:val="21"/>
        </w:rPr>
      </w:pPr>
    </w:p>
    <w:p>
      <w:pPr>
        <w:spacing w:line="249" w:lineRule="auto" w:before="0"/>
        <w:ind w:left="1074" w:right="1273" w:firstLine="0"/>
        <w:jc w:val="both"/>
        <w:rPr>
          <w:i/>
          <w:sz w:val="20"/>
        </w:rPr>
      </w:pPr>
      <w:bookmarkStart w:name="Artículo 144. Publicidad y documentación" w:id="241"/>
      <w:bookmarkEnd w:id="241"/>
      <w:r>
        <w:rPr/>
      </w:r>
      <w:r>
        <w:rPr>
          <w:b/>
          <w:sz w:val="20"/>
        </w:rPr>
        <w:t>Artículo 144. </w:t>
      </w:r>
      <w:r>
        <w:rPr>
          <w:i/>
          <w:sz w:val="20"/>
        </w:rPr>
        <w:t>Publicidad y documentación mercantil de distribución de seguros privados de </w:t>
      </w:r>
      <w:r>
        <w:rPr>
          <w:i/>
          <w:sz w:val="20"/>
        </w:rPr>
        <w:t>los agentes de seguros.</w:t>
      </w:r>
    </w:p>
    <w:p>
      <w:pPr>
        <w:pStyle w:val="ListParagraph"/>
        <w:numPr>
          <w:ilvl w:val="0"/>
          <w:numId w:val="251"/>
        </w:numPr>
        <w:tabs>
          <w:tab w:pos="1666" w:val="left" w:leader="none"/>
        </w:tabs>
        <w:spacing w:line="249" w:lineRule="auto" w:before="109" w:after="0"/>
        <w:ind w:left="1074" w:right="1272" w:firstLine="340"/>
        <w:jc w:val="both"/>
        <w:rPr>
          <w:sz w:val="20"/>
        </w:rPr>
      </w:pPr>
      <w:r>
        <w:rPr>
          <w:sz w:val="20"/>
        </w:rPr>
        <w:t>En la publicidad y en la documentación mercantil de distribución de seguros de los agentes de seguros, deberá figurar de forma destacada la expresión «agente de seguros exclusivo», «agente de seguros vinculado», «agencia de seguros exclusiva» o «agencia de seguros vinculada», seguida de la denominación social de la entidad aseguradora para la que esté realizando la operación de distribución de que se trate, en virtud del contrato de agencia con ella celebrado, o del contrato suscrito entre entidades aseguradoras de prestación de servicios para la distribución por medio de la cesión de sus redes, así como el número de inscripción en el registro administrativo previsto en el artículo 133 y, en su caso, tener concertado un seguro de responsabilidad civil u otra garantía</w:t>
      </w:r>
      <w:r>
        <w:rPr>
          <w:spacing w:val="-9"/>
          <w:sz w:val="20"/>
        </w:rPr>
        <w:t> </w:t>
      </w:r>
      <w:r>
        <w:rPr>
          <w:sz w:val="20"/>
        </w:rPr>
        <w:t>financiera.</w:t>
      </w:r>
    </w:p>
    <w:p>
      <w:pPr>
        <w:pStyle w:val="ListParagraph"/>
        <w:numPr>
          <w:ilvl w:val="0"/>
          <w:numId w:val="251"/>
        </w:numPr>
        <w:tabs>
          <w:tab w:pos="1666" w:val="left" w:leader="none"/>
        </w:tabs>
        <w:spacing w:line="249" w:lineRule="auto" w:before="8" w:after="0"/>
        <w:ind w:left="1074" w:right="1272" w:firstLine="340"/>
        <w:jc w:val="both"/>
        <w:rPr>
          <w:sz w:val="20"/>
        </w:rPr>
      </w:pPr>
      <w:r>
        <w:rPr>
          <w:sz w:val="20"/>
        </w:rPr>
        <w:t>Asimismo, en la publicidad que realicen con carácter general o a través de medios telemáticos, deberán hacer mención a las entidades aseguradoras con las que hayan celebrado un contrato de agencia de</w:t>
      </w:r>
      <w:r>
        <w:rPr>
          <w:spacing w:val="-5"/>
          <w:sz w:val="20"/>
        </w:rPr>
        <w:t> </w:t>
      </w:r>
      <w:r>
        <w:rPr>
          <w:sz w:val="20"/>
        </w:rPr>
        <w:t>seguros.</w:t>
      </w:r>
    </w:p>
    <w:p>
      <w:pPr>
        <w:pStyle w:val="BodyText"/>
        <w:spacing w:before="5"/>
        <w:ind w:left="0" w:firstLine="0"/>
        <w:jc w:val="left"/>
      </w:pPr>
    </w:p>
    <w:p>
      <w:pPr>
        <w:spacing w:before="0"/>
        <w:ind w:left="1074" w:right="0" w:firstLine="0"/>
        <w:jc w:val="both"/>
        <w:rPr>
          <w:i/>
          <w:sz w:val="20"/>
        </w:rPr>
      </w:pPr>
      <w:bookmarkStart w:name="Artículo 145. Incompatibilidades de los " w:id="242"/>
      <w:bookmarkEnd w:id="242"/>
      <w:r>
        <w:rPr/>
      </w:r>
      <w:r>
        <w:rPr>
          <w:b/>
          <w:sz w:val="20"/>
        </w:rPr>
        <w:t>Artículo 145. </w:t>
      </w:r>
      <w:r>
        <w:rPr>
          <w:i/>
          <w:sz w:val="20"/>
        </w:rPr>
        <w:t>Incompatibilidades de los agentes de seguros.</w:t>
      </w:r>
    </w:p>
    <w:p>
      <w:pPr>
        <w:pStyle w:val="BodyText"/>
        <w:spacing w:line="249" w:lineRule="auto" w:before="117"/>
        <w:ind w:right="1272"/>
      </w:pPr>
      <w:r>
        <w:rPr/>
        <w:t>Los agentes de seguros no podrán ejercer como corredor de seguros o colaborador externo de estos, tercer perito, perito de seguros o comisario de averías a designación de los tomadores de seguros, asegurados y beneficiarios de los contratos de seguro en los que hubiesen intervenido como agentes de seguros.</w:t>
      </w:r>
    </w:p>
    <w:p>
      <w:pPr>
        <w:pStyle w:val="BodyText"/>
        <w:spacing w:before="6"/>
        <w:ind w:left="0" w:firstLine="0"/>
        <w:jc w:val="left"/>
      </w:pPr>
    </w:p>
    <w:p>
      <w:pPr>
        <w:spacing w:before="0"/>
        <w:ind w:left="1074" w:right="0" w:firstLine="0"/>
        <w:jc w:val="both"/>
        <w:rPr>
          <w:i/>
          <w:sz w:val="20"/>
        </w:rPr>
      </w:pPr>
      <w:bookmarkStart w:name="Artículo 146. Régimen de comunicaciones." w:id="243"/>
      <w:bookmarkEnd w:id="243"/>
      <w:r>
        <w:rPr/>
      </w:r>
      <w:r>
        <w:rPr>
          <w:b/>
          <w:sz w:val="20"/>
        </w:rPr>
        <w:t>Artículo 146. </w:t>
      </w:r>
      <w:r>
        <w:rPr>
          <w:i/>
          <w:sz w:val="20"/>
        </w:rPr>
        <w:t>Régimen de comunicaciones.</w:t>
      </w:r>
    </w:p>
    <w:p>
      <w:pPr>
        <w:pStyle w:val="BodyText"/>
        <w:spacing w:line="249" w:lineRule="auto" w:before="118"/>
        <w:ind w:right="1272"/>
      </w:pPr>
      <w:r>
        <w:rPr/>
        <w:t>Las comunicaciones que efectúe el tomador del seguro al agente de seguros que distribuya el contrato de seguro surtirán los mismos efectos que si se hubiesen realizado directamente a la entidad aseguradora.</w:t>
      </w:r>
    </w:p>
    <w:p>
      <w:pPr>
        <w:pStyle w:val="BodyText"/>
        <w:spacing w:before="5"/>
        <w:ind w:left="0" w:firstLine="0"/>
        <w:jc w:val="left"/>
      </w:pPr>
    </w:p>
    <w:p>
      <w:pPr>
        <w:spacing w:before="0"/>
        <w:ind w:left="1074" w:right="0" w:firstLine="0"/>
        <w:jc w:val="both"/>
        <w:rPr>
          <w:i/>
          <w:sz w:val="20"/>
        </w:rPr>
      </w:pPr>
      <w:bookmarkStart w:name="Artículo 147. Inscripción y registro int" w:id="244"/>
      <w:bookmarkEnd w:id="244"/>
      <w:r>
        <w:rPr/>
      </w:r>
      <w:r>
        <w:rPr>
          <w:b/>
          <w:sz w:val="20"/>
        </w:rPr>
        <w:t>Artículo 147. </w:t>
      </w:r>
      <w:r>
        <w:rPr>
          <w:i/>
          <w:sz w:val="20"/>
        </w:rPr>
        <w:t>Inscripción y registro interno de agentes de seguros exclusivos.</w:t>
      </w:r>
    </w:p>
    <w:p>
      <w:pPr>
        <w:pStyle w:val="ListParagraph"/>
        <w:numPr>
          <w:ilvl w:val="0"/>
          <w:numId w:val="252"/>
        </w:numPr>
        <w:tabs>
          <w:tab w:pos="1652" w:val="left" w:leader="none"/>
        </w:tabs>
        <w:spacing w:line="249" w:lineRule="auto" w:before="118" w:after="0"/>
        <w:ind w:left="1074" w:right="1273" w:firstLine="340"/>
        <w:jc w:val="both"/>
        <w:rPr>
          <w:sz w:val="20"/>
        </w:rPr>
      </w:pPr>
      <w:r>
        <w:rPr>
          <w:sz w:val="20"/>
        </w:rPr>
        <w:t>A los efectos de poder ejercer la actividad de distribución de seguros en la condición de agente de seguros exclusivo, las entidades aseguradoras deberán comprobar el cumplimiento de los requisitos establecidos en el apartado 3 por parte de aquellas personas físicas o jurídicas que pretendan celebrar con ellas un contrato de agencia de seguros en exclusiva.</w:t>
      </w:r>
    </w:p>
    <w:p>
      <w:pPr>
        <w:pStyle w:val="ListParagraph"/>
        <w:numPr>
          <w:ilvl w:val="0"/>
          <w:numId w:val="252"/>
        </w:numPr>
        <w:tabs>
          <w:tab w:pos="1654" w:val="left" w:leader="none"/>
        </w:tabs>
        <w:spacing w:line="249" w:lineRule="auto" w:before="4" w:after="0"/>
        <w:ind w:left="1074" w:right="1273" w:firstLine="340"/>
        <w:jc w:val="both"/>
        <w:rPr>
          <w:sz w:val="20"/>
        </w:rPr>
      </w:pPr>
      <w:r>
        <w:rPr>
          <w:sz w:val="20"/>
        </w:rPr>
        <w:t>Sin perjuicio del registro administrativo a que se refiere el artículo 133, las entidades aseguradoras deberán llevar un registro actualizado en el que consten inscritos los agentes de seguros exclusivos con los que se haya celebrado el contrato de agencia de seguros. En dicho registro se recogerán, al menos, los datos identificativos de estos, el número de registro, las fechas de alta y de baja, y el carácter exclusivo de los mismos. En el caso de personas jurídicas, además, se indicarán la persona responsable de la actividad de distribución y las personas que, en su caso, integren el órgano de dirección responsable de la actividad de distribución definido en el artículo</w:t>
      </w:r>
      <w:r>
        <w:rPr>
          <w:spacing w:val="-13"/>
          <w:sz w:val="20"/>
        </w:rPr>
        <w:t> </w:t>
      </w:r>
      <w:r>
        <w:rPr>
          <w:sz w:val="20"/>
        </w:rPr>
        <w:t>128.</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Dicho registro quedará sometido al control de la Dirección General de Seguros y Fondos de Pensiones.</w:t>
      </w:r>
    </w:p>
    <w:p>
      <w:pPr>
        <w:pStyle w:val="ListParagraph"/>
        <w:numPr>
          <w:ilvl w:val="0"/>
          <w:numId w:val="252"/>
        </w:numPr>
        <w:tabs>
          <w:tab w:pos="1657" w:val="left" w:leader="none"/>
        </w:tabs>
        <w:spacing w:line="249" w:lineRule="auto" w:before="1" w:after="0"/>
        <w:ind w:left="1074" w:right="1275" w:firstLine="340"/>
        <w:jc w:val="both"/>
        <w:rPr>
          <w:sz w:val="20"/>
        </w:rPr>
      </w:pPr>
      <w:r>
        <w:rPr>
          <w:sz w:val="20"/>
        </w:rPr>
        <w:t>Los agentes de seguros exclusivos se someterán al régimen general de los agentes de seguros regulado en los artículos 140 a 146, en el ejercicio de la actividad de distribución de seguros</w:t>
      </w:r>
      <w:r>
        <w:rPr>
          <w:spacing w:val="-2"/>
          <w:sz w:val="20"/>
        </w:rPr>
        <w:t> </w:t>
      </w:r>
      <w:r>
        <w:rPr>
          <w:sz w:val="20"/>
        </w:rPr>
        <w:t>privados.</w:t>
      </w:r>
    </w:p>
    <w:p>
      <w:pPr>
        <w:pStyle w:val="BodyText"/>
        <w:spacing w:line="249" w:lineRule="auto" w:before="3"/>
        <w:ind w:right="1274"/>
      </w:pPr>
      <w:r>
        <w:rPr/>
        <w:t>Como condición indispensable para que los agentes de seguros exclusivos figuren inscritos en el registro administrativo previsto en el artículo 133, las entidades aseguradoras deberán:</w:t>
      </w:r>
    </w:p>
    <w:p>
      <w:pPr>
        <w:pStyle w:val="ListParagraph"/>
        <w:numPr>
          <w:ilvl w:val="0"/>
          <w:numId w:val="253"/>
        </w:numPr>
        <w:tabs>
          <w:tab w:pos="1696" w:val="left" w:leader="none"/>
        </w:tabs>
        <w:spacing w:line="249" w:lineRule="auto" w:before="122" w:after="0"/>
        <w:ind w:left="1074" w:right="1273" w:firstLine="340"/>
        <w:jc w:val="both"/>
        <w:rPr>
          <w:sz w:val="20"/>
        </w:rPr>
      </w:pPr>
      <w:r>
        <w:rPr>
          <w:sz w:val="20"/>
        </w:rPr>
        <w:t>Acreditar que los agentes de seguros personas físicas, así como, en el caso de personas jurídicas, la persona responsable de la actividad de distribución o, en su caso, las personas que formen parte del órgano de dirección responsable de la actividad de distribución, y todas las personas que participen directamente en la distribución de seguros, cumplen el requisito de honorabilidad comercial y profesional en los términos definidos en el artículo</w:t>
      </w:r>
      <w:r>
        <w:rPr>
          <w:spacing w:val="-2"/>
          <w:sz w:val="20"/>
        </w:rPr>
        <w:t> </w:t>
      </w:r>
      <w:r>
        <w:rPr>
          <w:sz w:val="20"/>
        </w:rPr>
        <w:t>128.</w:t>
      </w:r>
    </w:p>
    <w:p>
      <w:pPr>
        <w:pStyle w:val="BodyText"/>
        <w:spacing w:line="249" w:lineRule="auto" w:before="5"/>
        <w:ind w:right="1275"/>
      </w:pPr>
      <w:r>
        <w:rPr/>
        <w:t>Este requisito será igualmente aplicable a los administradores del agente de seguros, persona jurídica.</w:t>
      </w:r>
    </w:p>
    <w:p>
      <w:pPr>
        <w:pStyle w:val="ListParagraph"/>
        <w:numPr>
          <w:ilvl w:val="0"/>
          <w:numId w:val="253"/>
        </w:numPr>
        <w:tabs>
          <w:tab w:pos="1696" w:val="left" w:leader="none"/>
        </w:tabs>
        <w:spacing w:line="249" w:lineRule="auto" w:before="2" w:after="0"/>
        <w:ind w:left="1074" w:right="1272" w:firstLine="340"/>
        <w:jc w:val="both"/>
        <w:rPr>
          <w:sz w:val="20"/>
        </w:rPr>
      </w:pPr>
      <w:r>
        <w:rPr>
          <w:sz w:val="20"/>
        </w:rPr>
        <w:t>Acreditar que los agentes de seguros personas físicas, así como, en el caso de agentes de seguros personas jurídicas, la persona responsable de la actividad de distribución o, en su caso, al menos la mitad de las personas que formen parte del órgano de dirección responsable de la actividad de distribución y todas las personas que participen directamente en la distribución de seguros, poseen unos conocimientos y aptitudes apropiados mediante la superación de cursos de formación de acuerdo con lo previsto en el título I y en su normativa de</w:t>
      </w:r>
      <w:r>
        <w:rPr>
          <w:spacing w:val="-5"/>
          <w:sz w:val="20"/>
        </w:rPr>
        <w:t> </w:t>
      </w:r>
      <w:r>
        <w:rPr>
          <w:sz w:val="20"/>
        </w:rPr>
        <w:t>desarrollo.</w:t>
      </w:r>
    </w:p>
    <w:p>
      <w:pPr>
        <w:pStyle w:val="BodyText"/>
        <w:spacing w:line="249" w:lineRule="auto" w:before="5"/>
        <w:ind w:right="1273"/>
      </w:pPr>
      <w:r>
        <w:rPr/>
        <w:t>Asimismo, las entidades aseguradoras les facilitarán los medios necesarios para garantizar una formación continua adaptada a los productos distribuidos, a la función desempeñada y a la actividad realizada, estableciendo programas de formación en los que se indicarán, al menos, los requisitos que han de cumplir las personas a las que se destinen y los medios que se van a emplear para su ejecución. La documentación correspondiente a los programas de formación estará a disposición de la Dirección General de Seguros y Fondos de</w:t>
      </w:r>
      <w:r>
        <w:rPr>
          <w:spacing w:val="-2"/>
        </w:rPr>
        <w:t> </w:t>
      </w:r>
      <w:r>
        <w:rPr/>
        <w:t>Pensiones.</w:t>
      </w:r>
    </w:p>
    <w:p>
      <w:pPr>
        <w:pStyle w:val="BodyText"/>
        <w:spacing w:line="249" w:lineRule="auto" w:before="6"/>
        <w:ind w:right="1272"/>
      </w:pPr>
      <w:r>
        <w:rPr/>
        <w:t>La Dirección General de Seguros y Fondos de Pensiones establecerá mediante resolución las líneas generales y los principios básicos que, en cuanto a su contenido, organización y ejecución, habrán de cumplir los cursos de formación inicial y continua de los agentes de seguros y personas a que se refiere el primer párrafo del presente apartado, que podrán ser impartidos por las entidades aseguradoras y los agentes de seguros exclusivos de acuerdo con lo previsto en el título I y en su normativa de</w:t>
      </w:r>
      <w:r>
        <w:rPr>
          <w:spacing w:val="-20"/>
        </w:rPr>
        <w:t> </w:t>
      </w:r>
      <w:r>
        <w:rPr/>
        <w:t>desarrollo.</w:t>
      </w:r>
    </w:p>
    <w:p>
      <w:pPr>
        <w:pStyle w:val="ListParagraph"/>
        <w:numPr>
          <w:ilvl w:val="0"/>
          <w:numId w:val="253"/>
        </w:numPr>
        <w:tabs>
          <w:tab w:pos="1637" w:val="left" w:leader="none"/>
        </w:tabs>
        <w:spacing w:line="240" w:lineRule="auto" w:before="5" w:after="0"/>
        <w:ind w:left="1636" w:right="0" w:hanging="223"/>
        <w:jc w:val="both"/>
        <w:rPr>
          <w:sz w:val="20"/>
        </w:rPr>
      </w:pPr>
      <w:r>
        <w:rPr>
          <w:sz w:val="20"/>
        </w:rPr>
        <w:t>Haber obtenido con carácter previo a la solicitud de</w:t>
      </w:r>
      <w:r>
        <w:rPr>
          <w:spacing w:val="-10"/>
          <w:sz w:val="20"/>
        </w:rPr>
        <w:t> </w:t>
      </w:r>
      <w:r>
        <w:rPr>
          <w:sz w:val="20"/>
        </w:rPr>
        <w:t>inscripción:</w:t>
      </w:r>
    </w:p>
    <w:p>
      <w:pPr>
        <w:pStyle w:val="ListParagraph"/>
        <w:numPr>
          <w:ilvl w:val="0"/>
          <w:numId w:val="254"/>
        </w:numPr>
        <w:tabs>
          <w:tab w:pos="1582" w:val="left" w:leader="none"/>
        </w:tabs>
        <w:spacing w:line="249" w:lineRule="auto" w:before="130" w:after="0"/>
        <w:ind w:left="1074" w:right="1273" w:firstLine="340"/>
        <w:jc w:val="both"/>
        <w:rPr>
          <w:sz w:val="20"/>
        </w:rPr>
      </w:pPr>
      <w:r>
        <w:rPr>
          <w:sz w:val="20"/>
        </w:rPr>
        <w:t>º Información sobre la identidad de los accionistas o socios del agente persona jurídica, ya sean a su vez personas físicas o jurídicas, que posean en el agente de seguros una participación directa o indirecta del 10 por ciento o superior de los derechos de voto o del capital.</w:t>
      </w:r>
    </w:p>
    <w:p>
      <w:pPr>
        <w:pStyle w:val="ListParagraph"/>
        <w:numPr>
          <w:ilvl w:val="0"/>
          <w:numId w:val="254"/>
        </w:numPr>
        <w:tabs>
          <w:tab w:pos="1583" w:val="left" w:leader="none"/>
        </w:tabs>
        <w:spacing w:line="249" w:lineRule="auto" w:before="3" w:after="0"/>
        <w:ind w:left="1074" w:right="1272" w:firstLine="340"/>
        <w:jc w:val="both"/>
        <w:rPr>
          <w:sz w:val="20"/>
        </w:rPr>
      </w:pPr>
      <w:r>
        <w:rPr>
          <w:sz w:val="20"/>
        </w:rPr>
        <w:t>º Información sobre la identidad de las personas que posean vínculos estrechos con el agente de</w:t>
      </w:r>
      <w:r>
        <w:rPr>
          <w:spacing w:val="-3"/>
          <w:sz w:val="20"/>
        </w:rPr>
        <w:t> </w:t>
      </w:r>
      <w:r>
        <w:rPr>
          <w:sz w:val="20"/>
        </w:rPr>
        <w:t>seguros.</w:t>
      </w:r>
    </w:p>
    <w:p>
      <w:pPr>
        <w:pStyle w:val="ListParagraph"/>
        <w:numPr>
          <w:ilvl w:val="0"/>
          <w:numId w:val="254"/>
        </w:numPr>
        <w:tabs>
          <w:tab w:pos="1583" w:val="left" w:leader="none"/>
        </w:tabs>
        <w:spacing w:line="249" w:lineRule="auto" w:before="2" w:after="0"/>
        <w:ind w:left="1074" w:right="1271" w:firstLine="340"/>
        <w:jc w:val="both"/>
        <w:rPr>
          <w:sz w:val="20"/>
        </w:rPr>
      </w:pPr>
      <w:r>
        <w:rPr>
          <w:sz w:val="20"/>
        </w:rPr>
        <w:t>º Información de que dichas participaciones o vínculos estrechos no impidan a la Dirección General de Seguros y Fondos de Pensiones el ejercicio efectivo de sus funciones de</w:t>
      </w:r>
      <w:r>
        <w:rPr>
          <w:spacing w:val="-1"/>
          <w:sz w:val="20"/>
        </w:rPr>
        <w:t> </w:t>
      </w:r>
      <w:r>
        <w:rPr>
          <w:sz w:val="20"/>
        </w:rPr>
        <w:t>supervisión.</w:t>
      </w:r>
    </w:p>
    <w:p>
      <w:pPr>
        <w:pStyle w:val="ListParagraph"/>
        <w:numPr>
          <w:ilvl w:val="0"/>
          <w:numId w:val="253"/>
        </w:numPr>
        <w:tabs>
          <w:tab w:pos="1670" w:val="left" w:leader="none"/>
        </w:tabs>
        <w:spacing w:line="249" w:lineRule="auto" w:before="123" w:after="0"/>
        <w:ind w:left="1074" w:right="1274" w:firstLine="340"/>
        <w:jc w:val="both"/>
        <w:rPr>
          <w:sz w:val="20"/>
        </w:rPr>
      </w:pPr>
      <w:r>
        <w:rPr>
          <w:sz w:val="20"/>
        </w:rPr>
        <w:t>Acreditar que los agentes de seguros no incurren en las causas de incompatibilidad previstas en el título</w:t>
      </w:r>
      <w:r>
        <w:rPr>
          <w:spacing w:val="-4"/>
          <w:sz w:val="20"/>
        </w:rPr>
        <w:t> </w:t>
      </w:r>
      <w:r>
        <w:rPr>
          <w:sz w:val="20"/>
        </w:rPr>
        <w:t>I.</w:t>
      </w:r>
    </w:p>
    <w:p>
      <w:pPr>
        <w:pStyle w:val="BodyText"/>
        <w:spacing w:line="249" w:lineRule="auto" w:before="1"/>
        <w:ind w:right="1271"/>
      </w:pPr>
      <w:r>
        <w:rPr/>
        <w:t>Para garantizar el cumplimiento de los requisitos previstos en las letras a) y b), las entidades aseguradoras aprobarán, aplicarán y revisarán periódicamente sus políticas internas y los procedimientos internos adecuados. Asimismo, dispondrán de una función que garantice una correcta ejecución de las políticas y los procedimientos aprobados, debiendo tener a disposición de la Dirección General de Seguros y Fondos de Pensiones el nombre de la persona responsable de dicha función.</w:t>
      </w:r>
    </w:p>
    <w:p>
      <w:pPr>
        <w:pStyle w:val="ListParagraph"/>
        <w:numPr>
          <w:ilvl w:val="0"/>
          <w:numId w:val="254"/>
        </w:numPr>
        <w:tabs>
          <w:tab w:pos="1706" w:val="left" w:leader="none"/>
        </w:tabs>
        <w:spacing w:line="249" w:lineRule="auto" w:before="125" w:after="0"/>
        <w:ind w:left="1074" w:right="1275" w:firstLine="340"/>
        <w:jc w:val="both"/>
        <w:rPr>
          <w:sz w:val="20"/>
        </w:rPr>
      </w:pPr>
      <w:r>
        <w:rPr>
          <w:sz w:val="20"/>
        </w:rPr>
        <w:t>Los actos que, con arreglo a la disposición adicional octava del Real Decreto 1060/2015,</w:t>
      </w:r>
      <w:r>
        <w:rPr>
          <w:spacing w:val="29"/>
          <w:sz w:val="20"/>
        </w:rPr>
        <w:t> </w:t>
      </w:r>
      <w:r>
        <w:rPr>
          <w:sz w:val="20"/>
        </w:rPr>
        <w:t>de</w:t>
      </w:r>
      <w:r>
        <w:rPr>
          <w:spacing w:val="29"/>
          <w:sz w:val="20"/>
        </w:rPr>
        <w:t> </w:t>
      </w:r>
      <w:r>
        <w:rPr>
          <w:sz w:val="20"/>
        </w:rPr>
        <w:t>20</w:t>
      </w:r>
      <w:r>
        <w:rPr>
          <w:spacing w:val="29"/>
          <w:sz w:val="20"/>
        </w:rPr>
        <w:t> </w:t>
      </w:r>
      <w:r>
        <w:rPr>
          <w:sz w:val="20"/>
        </w:rPr>
        <w:t>de</w:t>
      </w:r>
      <w:r>
        <w:rPr>
          <w:spacing w:val="29"/>
          <w:sz w:val="20"/>
        </w:rPr>
        <w:t> </w:t>
      </w:r>
      <w:r>
        <w:rPr>
          <w:sz w:val="20"/>
        </w:rPr>
        <w:t>noviembre,</w:t>
      </w:r>
      <w:r>
        <w:rPr>
          <w:spacing w:val="29"/>
          <w:sz w:val="20"/>
        </w:rPr>
        <w:t> </w:t>
      </w:r>
      <w:r>
        <w:rPr>
          <w:sz w:val="20"/>
        </w:rPr>
        <w:t>de</w:t>
      </w:r>
      <w:r>
        <w:rPr>
          <w:spacing w:val="29"/>
          <w:sz w:val="20"/>
        </w:rPr>
        <w:t> </w:t>
      </w:r>
      <w:r>
        <w:rPr>
          <w:sz w:val="20"/>
        </w:rPr>
        <w:t>ordenación,</w:t>
      </w:r>
      <w:r>
        <w:rPr>
          <w:spacing w:val="29"/>
          <w:sz w:val="20"/>
        </w:rPr>
        <w:t> </w:t>
      </w:r>
      <w:r>
        <w:rPr>
          <w:sz w:val="20"/>
        </w:rPr>
        <w:t>supervisión</w:t>
      </w:r>
      <w:r>
        <w:rPr>
          <w:spacing w:val="29"/>
          <w:sz w:val="20"/>
        </w:rPr>
        <w:t> </w:t>
      </w:r>
      <w:r>
        <w:rPr>
          <w:sz w:val="20"/>
        </w:rPr>
        <w:t>y</w:t>
      </w:r>
      <w:r>
        <w:rPr>
          <w:spacing w:val="29"/>
          <w:sz w:val="20"/>
        </w:rPr>
        <w:t> </w:t>
      </w:r>
      <w:r>
        <w:rPr>
          <w:sz w:val="20"/>
        </w:rPr>
        <w:t>solvencia</w:t>
      </w:r>
      <w:r>
        <w:rPr>
          <w:spacing w:val="29"/>
          <w:sz w:val="20"/>
        </w:rPr>
        <w:t> </w:t>
      </w:r>
      <w:r>
        <w:rPr>
          <w:sz w:val="20"/>
        </w:rPr>
        <w:t>de</w:t>
      </w:r>
      <w:r>
        <w:rPr>
          <w:spacing w:val="29"/>
          <w:sz w:val="20"/>
        </w:rPr>
        <w:t> </w:t>
      </w:r>
      <w:r>
        <w:rPr>
          <w:sz w:val="20"/>
        </w:rPr>
        <w:t>las</w:t>
      </w:r>
      <w:r>
        <w:rPr>
          <w:spacing w:val="29"/>
          <w:sz w:val="20"/>
        </w:rPr>
        <w:t> </w:t>
      </w:r>
      <w:r>
        <w:rPr>
          <w:sz w:val="20"/>
        </w:rPr>
        <w:t>entidades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3" w:firstLine="0"/>
      </w:pPr>
      <w:r>
        <w:rPr/>
        <w:t>aseguradoras y reaseguradoras, estén sujetos a inscripción en el registro administrativo previsto en el artículo 133, serán remitidos por cada entidad aseguradora a la Dirección General de Seguros y Fondos de Pensiones por vía electrónica para su inscripción, en el plazo máximo de dos meses desde la presentación de la solicitud.</w:t>
      </w:r>
    </w:p>
    <w:p>
      <w:pPr>
        <w:pStyle w:val="BodyText"/>
        <w:spacing w:line="249" w:lineRule="auto" w:before="3"/>
        <w:ind w:right="1272"/>
      </w:pPr>
      <w:r>
        <w:rPr/>
        <w:t>Las entidades aseguradoras deberán conservar y mantener actualizada la documentación acreditativa del cumplimiento de los requisitos establecidos en el apartado 3, y comunicarán a la Dirección General de Seguros y Fondos de Pensiones los cambios en la información facilitada de conformidad con el citado apartado, en un plazo máximo de quince días hábiles desde el acuerdo de</w:t>
      </w:r>
      <w:r>
        <w:rPr>
          <w:spacing w:val="-8"/>
        </w:rPr>
        <w:t> </w:t>
      </w:r>
      <w:r>
        <w:rPr/>
        <w:t>modificación.</w:t>
      </w:r>
    </w:p>
    <w:p>
      <w:pPr>
        <w:pStyle w:val="BodyText"/>
        <w:spacing w:line="249" w:lineRule="auto" w:before="4"/>
        <w:ind w:right="1273"/>
      </w:pPr>
      <w:r>
        <w:rPr/>
        <w:t>La Dirección General de Seguros y Fondos de Pensiones determinará mediante resolución el contenido y la forma en que deberá remitirse esta información.</w:t>
      </w:r>
    </w:p>
    <w:p>
      <w:pPr>
        <w:pStyle w:val="BodyText"/>
        <w:spacing w:line="249" w:lineRule="auto"/>
        <w:ind w:right="1276"/>
      </w:pPr>
      <w:r>
        <w:rPr/>
        <w:t>La inscripción especificará la entidad aseguradora para la que el agente de seguros exclusivo realiza la actividad de distribución de seguros.</w:t>
      </w:r>
    </w:p>
    <w:p>
      <w:pPr>
        <w:pStyle w:val="ListParagraph"/>
        <w:numPr>
          <w:ilvl w:val="0"/>
          <w:numId w:val="254"/>
        </w:numPr>
        <w:tabs>
          <w:tab w:pos="1664" w:val="left" w:leader="none"/>
        </w:tabs>
        <w:spacing w:line="249" w:lineRule="auto" w:before="2" w:after="0"/>
        <w:ind w:left="1074" w:right="1274" w:firstLine="340"/>
        <w:jc w:val="both"/>
        <w:rPr>
          <w:sz w:val="20"/>
        </w:rPr>
      </w:pPr>
      <w:r>
        <w:rPr>
          <w:sz w:val="20"/>
        </w:rPr>
        <w:t>La entidad aseguradora con la que el agente de seguros exclusivo haya suscrito el contrato de agencia de seguros, podrá autorizarle únicamente la celebración de otro contrato de agencia de seguros distinto con otra entidad aseguradora para operar en determinados ramos de seguros, riesgos o contratos en los que no opere la entidad</w:t>
      </w:r>
      <w:r>
        <w:rPr>
          <w:spacing w:val="-21"/>
          <w:sz w:val="20"/>
        </w:rPr>
        <w:t> </w:t>
      </w:r>
      <w:r>
        <w:rPr>
          <w:sz w:val="20"/>
        </w:rPr>
        <w:t>autorizante.</w:t>
      </w:r>
    </w:p>
    <w:p>
      <w:pPr>
        <w:pStyle w:val="BodyText"/>
        <w:spacing w:line="249" w:lineRule="auto" w:before="3"/>
        <w:ind w:right="1273"/>
      </w:pPr>
      <w:r>
        <w:rPr/>
        <w:t>La entidad aseguradora autorizante deberá informar por escrito a la entidad con la cual el agente de seguros pretenda celebrar otro contrato de agencia, de los términos en que se otorga la autorización, y procederá a su anotación en el registro administrativo a que se refiere el artículo 133.</w:t>
      </w:r>
    </w:p>
    <w:p>
      <w:pPr>
        <w:pStyle w:val="BodyText"/>
        <w:spacing w:line="249" w:lineRule="auto" w:before="3"/>
        <w:ind w:right="1273"/>
      </w:pPr>
      <w:r>
        <w:rPr/>
        <w:t>La autorización deberá concederse por escrito en el contrato de agencia de seguros, o como modificación posterior al contrato, por quien ejerza la representación legal en su condición de administrador de la entidad autorizante, con indicación expresa de la duración de la autorización, de la entidad aseguradora a la que se refiere y de los ramos o contratos de seguro o clase de operaciones que</w:t>
      </w:r>
      <w:r>
        <w:rPr>
          <w:spacing w:val="-7"/>
        </w:rPr>
        <w:t> </w:t>
      </w:r>
      <w:r>
        <w:rPr/>
        <w:t>comprende.</w:t>
      </w:r>
    </w:p>
    <w:p>
      <w:pPr>
        <w:pStyle w:val="BodyText"/>
        <w:spacing w:line="249" w:lineRule="auto" w:before="4"/>
        <w:ind w:right="1275"/>
      </w:pPr>
      <w:r>
        <w:rPr/>
        <w:t>No será de aplicación este régimen cuando resulte de aplicación lo dispuesto en el artículo 148 en relación a los acuerdos de cesión de redes.</w:t>
      </w:r>
    </w:p>
    <w:p>
      <w:pPr>
        <w:pStyle w:val="ListParagraph"/>
        <w:numPr>
          <w:ilvl w:val="0"/>
          <w:numId w:val="254"/>
        </w:numPr>
        <w:tabs>
          <w:tab w:pos="1653" w:val="left" w:leader="none"/>
        </w:tabs>
        <w:spacing w:line="249" w:lineRule="auto" w:before="2" w:after="0"/>
        <w:ind w:left="1074" w:right="1273" w:firstLine="340"/>
        <w:jc w:val="both"/>
        <w:rPr>
          <w:sz w:val="20"/>
        </w:rPr>
      </w:pPr>
      <w:r>
        <w:rPr>
          <w:sz w:val="20"/>
        </w:rPr>
        <w:t>La entidad aseguradora con la que, en caso de ser autorizado, el agente de seguros exclusivo celebre otro contrato de agencia, deberá remitir de manera electrónica para su inscripción, en el plazo máximo de tres meses desde la presentación de la solicitud, los  datos correspondientes a dicho contrato, previa verificación del cumplimiento de los requisitos exigidos en este</w:t>
      </w:r>
      <w:r>
        <w:rPr>
          <w:spacing w:val="-4"/>
          <w:sz w:val="20"/>
        </w:rPr>
        <w:t> </w:t>
      </w:r>
      <w:r>
        <w:rPr>
          <w:sz w:val="20"/>
        </w:rPr>
        <w:t>artículo.</w:t>
      </w:r>
    </w:p>
    <w:p>
      <w:pPr>
        <w:pStyle w:val="BodyText"/>
        <w:spacing w:before="7"/>
        <w:ind w:left="0" w:firstLine="0"/>
        <w:jc w:val="left"/>
      </w:pPr>
    </w:p>
    <w:p>
      <w:pPr>
        <w:spacing w:before="0"/>
        <w:ind w:left="1074" w:right="0" w:firstLine="0"/>
        <w:jc w:val="both"/>
        <w:rPr>
          <w:i/>
          <w:sz w:val="20"/>
        </w:rPr>
      </w:pPr>
      <w:bookmarkStart w:name="Artículo 148. Acuerdos de cesión de rede" w:id="245"/>
      <w:bookmarkEnd w:id="245"/>
      <w:r>
        <w:rPr/>
      </w:r>
      <w:r>
        <w:rPr>
          <w:b/>
          <w:sz w:val="20"/>
        </w:rPr>
        <w:t>Artículo 148. </w:t>
      </w:r>
      <w:r>
        <w:rPr>
          <w:i/>
          <w:sz w:val="20"/>
        </w:rPr>
        <w:t>Acuerdos de cesión de redes de agentes de seguros exclusivos.</w:t>
      </w:r>
    </w:p>
    <w:p>
      <w:pPr>
        <w:pStyle w:val="ListParagraph"/>
        <w:numPr>
          <w:ilvl w:val="0"/>
          <w:numId w:val="255"/>
        </w:numPr>
        <w:tabs>
          <w:tab w:pos="1645" w:val="left" w:leader="none"/>
        </w:tabs>
        <w:spacing w:line="249" w:lineRule="auto" w:before="117" w:after="0"/>
        <w:ind w:left="1074" w:right="1274" w:firstLine="340"/>
        <w:jc w:val="both"/>
        <w:rPr>
          <w:sz w:val="20"/>
        </w:rPr>
      </w:pPr>
      <w:r>
        <w:rPr>
          <w:sz w:val="20"/>
        </w:rPr>
        <w:t>Sin perjuicio de los contratos de agencia suscritos con arreglo al título I, las entidades aseguradoras podrán celebrar contratos consistentes en la prestación de servicios para la distribución, bajo su responsabilidad civil y administrativa, de sus pólizas de seguro, por medio de las redes de los agentes de seguros exclusivos de otras entidades aseguradoras. Las entidades aseguradoras que utilicen las redes de agentes exclusivos de otras entidades aseguradoras deberán garantizar que estas poseen los conocimientos necesarios para el ejercicio de su actividad en función de los seguros que</w:t>
      </w:r>
      <w:r>
        <w:rPr>
          <w:spacing w:val="-14"/>
          <w:sz w:val="20"/>
        </w:rPr>
        <w:t> </w:t>
      </w:r>
      <w:r>
        <w:rPr>
          <w:sz w:val="20"/>
        </w:rPr>
        <w:t>distribuyan.</w:t>
      </w:r>
    </w:p>
    <w:p>
      <w:pPr>
        <w:pStyle w:val="BodyText"/>
        <w:spacing w:line="249" w:lineRule="auto" w:before="6"/>
        <w:ind w:right="1271"/>
      </w:pPr>
      <w:r>
        <w:rPr/>
        <w:t>Las entidades aseguradoras deberán presentar, de manera electrónica, a la Dirección General de Seguros y Fondos de Pensiones, los contratos a que se refiere el párrafo anterior para su inscripción a efectos meramente informativos en el registro administrativo previsto en el artículo 133, indicando al menos, las entidades aseguradoras afectadas, la composición de la red cedida, el ámbito, la duración, los ramos o contratos de seguro o clase de operaciones que comprende, las obligaciones de las partes, los movimientos económicos y financieros de las operaciones y las menciones que deben incluirse en los documentos contractuales y</w:t>
      </w:r>
      <w:r>
        <w:rPr>
          <w:spacing w:val="-1"/>
        </w:rPr>
        <w:t> </w:t>
      </w:r>
      <w:r>
        <w:rPr/>
        <w:t>publicitarios.</w:t>
      </w:r>
    </w:p>
    <w:p>
      <w:pPr>
        <w:pStyle w:val="ListParagraph"/>
        <w:numPr>
          <w:ilvl w:val="0"/>
          <w:numId w:val="255"/>
        </w:numPr>
        <w:tabs>
          <w:tab w:pos="1682" w:val="left" w:leader="none"/>
        </w:tabs>
        <w:spacing w:line="249" w:lineRule="auto" w:before="7" w:after="0"/>
        <w:ind w:left="1074" w:right="1272" w:firstLine="340"/>
        <w:jc w:val="both"/>
        <w:rPr>
          <w:sz w:val="20"/>
        </w:rPr>
      </w:pPr>
      <w:r>
        <w:rPr>
          <w:sz w:val="20"/>
        </w:rPr>
        <w:t>No se entenderá que hay cesión de redes entre las entidades aseguradoras que formen parte de un grupo, con respecto de los contratos de agencia que suscriban cualquiera de ellas en nombre de todas o de parte de las entidades que forman parte del grupo, cuando así se haya</w:t>
      </w:r>
      <w:r>
        <w:rPr>
          <w:spacing w:val="-4"/>
          <w:sz w:val="20"/>
        </w:rPr>
        <w:t> </w:t>
      </w:r>
      <w:r>
        <w:rPr>
          <w:sz w:val="20"/>
        </w:rPr>
        <w:t>acordado.</w:t>
      </w:r>
    </w:p>
    <w:p>
      <w:pPr>
        <w:pStyle w:val="BodyText"/>
        <w:spacing w:line="249" w:lineRule="auto" w:before="3"/>
        <w:ind w:right="1274"/>
      </w:pPr>
      <w:r>
        <w:rPr/>
        <w:t>En el contrato de agencia se harán constar las entidades aseguradoras que forman parte del grupo. Asimismo, se deberá incluir la denominación del grupo en toda la documentación mercantil y publicidad de distribución de seguros que realicen los agentes de seguros.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49. Inscripción y requisitos d" w:id="246"/>
      <w:bookmarkEnd w:id="246"/>
      <w:r>
        <w:rPr/>
      </w:r>
      <w:r>
        <w:rPr>
          <w:b/>
          <w:sz w:val="20"/>
        </w:rPr>
        <w:t>Artículo 149. </w:t>
      </w:r>
      <w:r>
        <w:rPr>
          <w:i/>
          <w:sz w:val="20"/>
        </w:rPr>
        <w:t>Inscripción y requisitos de los agentes de seguros vinculados.</w:t>
      </w:r>
    </w:p>
    <w:p>
      <w:pPr>
        <w:pStyle w:val="ListParagraph"/>
        <w:numPr>
          <w:ilvl w:val="0"/>
          <w:numId w:val="256"/>
        </w:numPr>
        <w:tabs>
          <w:tab w:pos="1667" w:val="left" w:leader="none"/>
        </w:tabs>
        <w:spacing w:line="249" w:lineRule="auto" w:before="118" w:after="0"/>
        <w:ind w:left="1074" w:right="1273" w:firstLine="340"/>
        <w:jc w:val="both"/>
        <w:rPr>
          <w:sz w:val="20"/>
        </w:rPr>
      </w:pPr>
      <w:r>
        <w:rPr>
          <w:sz w:val="20"/>
        </w:rPr>
        <w:t>Cuando un agente de seguros pretenda ejercer como agente de seguros vinculado mediante la celebración de contratos de agencia de seguros con varias entidades aseguradoras, deberá obtener la previa inscripción en el registro administrativo a que se refiere el artículo 133, de conformidad con lo dispuesto en el apartado</w:t>
      </w:r>
      <w:r>
        <w:rPr>
          <w:spacing w:val="-18"/>
          <w:sz w:val="20"/>
        </w:rPr>
        <w:t> </w:t>
      </w:r>
      <w:r>
        <w:rPr>
          <w:sz w:val="20"/>
        </w:rPr>
        <w:t>3.</w:t>
      </w:r>
    </w:p>
    <w:p>
      <w:pPr>
        <w:pStyle w:val="ListParagraph"/>
        <w:numPr>
          <w:ilvl w:val="0"/>
          <w:numId w:val="256"/>
        </w:numPr>
        <w:tabs>
          <w:tab w:pos="1656" w:val="left" w:leader="none"/>
        </w:tabs>
        <w:spacing w:line="249" w:lineRule="auto" w:before="3" w:after="0"/>
        <w:ind w:left="1074" w:right="1272" w:firstLine="340"/>
        <w:jc w:val="both"/>
        <w:rPr>
          <w:sz w:val="20"/>
        </w:rPr>
      </w:pPr>
      <w:r>
        <w:rPr>
          <w:sz w:val="20"/>
        </w:rPr>
        <w:t>Los agentes de seguros vinculados se someterán al régimen general de los agentes de seguros regulado en los artículos 140 a 146, en el ejercicio de la actividad de distribución de seguros</w:t>
      </w:r>
      <w:r>
        <w:rPr>
          <w:spacing w:val="-2"/>
          <w:sz w:val="20"/>
        </w:rPr>
        <w:t> </w:t>
      </w:r>
      <w:r>
        <w:rPr>
          <w:sz w:val="20"/>
        </w:rPr>
        <w:t>privados.</w:t>
      </w:r>
    </w:p>
    <w:p>
      <w:pPr>
        <w:pStyle w:val="BodyText"/>
        <w:spacing w:line="249" w:lineRule="auto" w:before="3"/>
        <w:ind w:right="1273"/>
      </w:pPr>
      <w:r>
        <w:rPr/>
        <w:t>En el caso de que, a partir de un determinado momento, el agente de seguros exclusivo quiera pasar a operar como agente de seguros vinculado, necesitará el consentimiento de la entidad aseguradora con la que hubiera celebrado el contrato de agencia de seguros en exclusiva, para suscribir otros contratos de agencia con otras entidades aseguradoras.</w:t>
      </w:r>
    </w:p>
    <w:p>
      <w:pPr>
        <w:pStyle w:val="BodyText"/>
        <w:spacing w:line="249" w:lineRule="auto" w:before="3"/>
        <w:ind w:right="1273"/>
      </w:pPr>
      <w:r>
        <w:rPr/>
        <w:t>En el resto de los casos, bastará con que se haga constar en los contratos de agencia que se suscriban, el carácter de agente vinculado.</w:t>
      </w:r>
    </w:p>
    <w:p>
      <w:pPr>
        <w:pStyle w:val="ListParagraph"/>
        <w:numPr>
          <w:ilvl w:val="0"/>
          <w:numId w:val="256"/>
        </w:numPr>
        <w:tabs>
          <w:tab w:pos="1643" w:val="left" w:leader="none"/>
        </w:tabs>
        <w:spacing w:line="249" w:lineRule="auto" w:before="1" w:after="0"/>
        <w:ind w:left="1074" w:right="1272" w:firstLine="340"/>
        <w:jc w:val="both"/>
        <w:rPr>
          <w:sz w:val="20"/>
        </w:rPr>
      </w:pPr>
      <w:r>
        <w:rPr>
          <w:sz w:val="20"/>
        </w:rPr>
        <w:t>Para solicitar y obtener la inscripción como agente de seguros vinculado en el registro administrativo a que se refiere el artículo 133, será necesario cumplir y mantener en todo momento los siguientes</w:t>
      </w:r>
      <w:r>
        <w:rPr>
          <w:spacing w:val="-2"/>
          <w:sz w:val="20"/>
        </w:rPr>
        <w:t> </w:t>
      </w:r>
      <w:r>
        <w:rPr>
          <w:sz w:val="20"/>
        </w:rPr>
        <w:t>requisitos:</w:t>
      </w:r>
    </w:p>
    <w:p>
      <w:pPr>
        <w:pStyle w:val="ListParagraph"/>
        <w:numPr>
          <w:ilvl w:val="0"/>
          <w:numId w:val="257"/>
        </w:numPr>
        <w:tabs>
          <w:tab w:pos="1648" w:val="left" w:leader="none"/>
        </w:tabs>
        <w:spacing w:line="240" w:lineRule="auto" w:before="123" w:after="0"/>
        <w:ind w:left="1647" w:right="0" w:hanging="234"/>
        <w:jc w:val="left"/>
        <w:rPr>
          <w:sz w:val="20"/>
        </w:rPr>
      </w:pPr>
      <w:r>
        <w:rPr>
          <w:sz w:val="20"/>
        </w:rPr>
        <w:t>Aportar con la solicitud de</w:t>
      </w:r>
      <w:r>
        <w:rPr>
          <w:spacing w:val="-3"/>
          <w:sz w:val="20"/>
        </w:rPr>
        <w:t> </w:t>
      </w:r>
      <w:r>
        <w:rPr>
          <w:sz w:val="20"/>
        </w:rPr>
        <w:t>inscripción:</w:t>
      </w:r>
    </w:p>
    <w:p>
      <w:pPr>
        <w:pStyle w:val="ListParagraph"/>
        <w:numPr>
          <w:ilvl w:val="0"/>
          <w:numId w:val="258"/>
        </w:numPr>
        <w:tabs>
          <w:tab w:pos="1583" w:val="left" w:leader="none"/>
        </w:tabs>
        <w:spacing w:line="249" w:lineRule="auto" w:before="130" w:after="0"/>
        <w:ind w:left="1074" w:right="1273" w:firstLine="340"/>
        <w:jc w:val="both"/>
        <w:rPr>
          <w:sz w:val="20"/>
        </w:rPr>
      </w:pPr>
      <w:r>
        <w:rPr>
          <w:sz w:val="20"/>
        </w:rPr>
        <w:t>º Información sobre la identidad de los accionistas o socios del agente persona jurídica, ya sean a su vez personas físicas o jurídicas, que posean en el agente de seguros una participación directa o indirecta del 10 por ciento o superior de los derechos de voto o del capital.</w:t>
      </w:r>
    </w:p>
    <w:p>
      <w:pPr>
        <w:pStyle w:val="ListParagraph"/>
        <w:numPr>
          <w:ilvl w:val="0"/>
          <w:numId w:val="258"/>
        </w:numPr>
        <w:tabs>
          <w:tab w:pos="1582" w:val="left" w:leader="none"/>
        </w:tabs>
        <w:spacing w:line="249" w:lineRule="auto" w:before="3" w:after="0"/>
        <w:ind w:left="1074" w:right="1272" w:firstLine="340"/>
        <w:jc w:val="both"/>
        <w:rPr>
          <w:sz w:val="20"/>
        </w:rPr>
      </w:pPr>
      <w:r>
        <w:rPr>
          <w:sz w:val="20"/>
        </w:rPr>
        <w:t>º Información sobre la identidad de las personas que posean vínculos estrechos con el agente de</w:t>
      </w:r>
      <w:r>
        <w:rPr>
          <w:spacing w:val="-3"/>
          <w:sz w:val="20"/>
        </w:rPr>
        <w:t> </w:t>
      </w:r>
      <w:r>
        <w:rPr>
          <w:sz w:val="20"/>
        </w:rPr>
        <w:t>seguros.</w:t>
      </w:r>
    </w:p>
    <w:p>
      <w:pPr>
        <w:pStyle w:val="ListParagraph"/>
        <w:numPr>
          <w:ilvl w:val="0"/>
          <w:numId w:val="258"/>
        </w:numPr>
        <w:tabs>
          <w:tab w:pos="1582" w:val="left" w:leader="none"/>
        </w:tabs>
        <w:spacing w:line="249" w:lineRule="auto" w:before="2" w:after="0"/>
        <w:ind w:left="1074" w:right="1271" w:firstLine="340"/>
        <w:jc w:val="both"/>
        <w:rPr>
          <w:sz w:val="20"/>
        </w:rPr>
      </w:pPr>
      <w:r>
        <w:rPr>
          <w:sz w:val="20"/>
        </w:rPr>
        <w:t>º Información de que dichas participaciones o vínculos estrechos no impiden a la Dirección General de Seguros y Fondos de Pensiones el ejercicio efectivo de sus funciones de</w:t>
      </w:r>
      <w:r>
        <w:rPr>
          <w:spacing w:val="-1"/>
          <w:sz w:val="20"/>
        </w:rPr>
        <w:t> </w:t>
      </w:r>
      <w:r>
        <w:rPr>
          <w:sz w:val="20"/>
        </w:rPr>
        <w:t>supervisión.</w:t>
      </w:r>
    </w:p>
    <w:p>
      <w:pPr>
        <w:pStyle w:val="ListParagraph"/>
        <w:numPr>
          <w:ilvl w:val="0"/>
          <w:numId w:val="257"/>
        </w:numPr>
        <w:tabs>
          <w:tab w:pos="1696" w:val="left" w:leader="none"/>
        </w:tabs>
        <w:spacing w:line="249" w:lineRule="auto" w:before="122" w:after="0"/>
        <w:ind w:left="1074" w:right="1273" w:firstLine="340"/>
        <w:jc w:val="both"/>
        <w:rPr>
          <w:sz w:val="20"/>
        </w:rPr>
      </w:pPr>
      <w:r>
        <w:rPr>
          <w:sz w:val="20"/>
        </w:rPr>
        <w:t>Acreditar que los agentes de seguros personas físicas, así como, en el caso de personas jurídicas, la persona responsable de la actividad de distribución o, en su caso, las personas que formen parte del órgano de dirección responsable de la actividad de distribución, y todas las personas que participen directamente en la distribución de seguros, cumplen el requisito de honorabilidad comercial y profesional en los términos definidos en el artículo</w:t>
      </w:r>
      <w:r>
        <w:rPr>
          <w:spacing w:val="-2"/>
          <w:sz w:val="20"/>
        </w:rPr>
        <w:t> </w:t>
      </w:r>
      <w:r>
        <w:rPr>
          <w:sz w:val="20"/>
        </w:rPr>
        <w:t>128.</w:t>
      </w:r>
    </w:p>
    <w:p>
      <w:pPr>
        <w:pStyle w:val="BodyText"/>
        <w:spacing w:line="249" w:lineRule="auto" w:before="5"/>
        <w:ind w:right="1275"/>
      </w:pPr>
      <w:r>
        <w:rPr/>
        <w:t>Este requisito será igualmente aplicable a los administradores del agente de seguros, persona jurídica.</w:t>
      </w:r>
    </w:p>
    <w:p>
      <w:pPr>
        <w:pStyle w:val="ListParagraph"/>
        <w:numPr>
          <w:ilvl w:val="0"/>
          <w:numId w:val="257"/>
        </w:numPr>
        <w:tabs>
          <w:tab w:pos="1685" w:val="left" w:leader="none"/>
        </w:tabs>
        <w:spacing w:line="249" w:lineRule="auto" w:before="2" w:after="0"/>
        <w:ind w:left="1074" w:right="1272" w:firstLine="340"/>
        <w:jc w:val="both"/>
        <w:rPr>
          <w:sz w:val="20"/>
        </w:rPr>
      </w:pPr>
      <w:r>
        <w:rPr>
          <w:sz w:val="20"/>
        </w:rPr>
        <w:t>Acreditar que los agentes de seguros personas físicas, así como, en el caso de agentes de seguros personas jurídicas, la persona responsable de la actividad de distribución o, en su caso, al menos la mitad de las personas que formen parte del órgano de dirección responsable de la actividad de distribución y todas las personas que participen directamente en la distribución de seguros, poseen unos conocimientos y aptitudes apropiados mediante la superación de cursos de formación de acuerdo con lo previsto en el título I y en su normativa de</w:t>
      </w:r>
      <w:r>
        <w:rPr>
          <w:spacing w:val="-5"/>
          <w:sz w:val="20"/>
        </w:rPr>
        <w:t> </w:t>
      </w:r>
      <w:r>
        <w:rPr>
          <w:sz w:val="20"/>
        </w:rPr>
        <w:t>desarrollo.</w:t>
      </w:r>
    </w:p>
    <w:p>
      <w:pPr>
        <w:pStyle w:val="ListParagraph"/>
        <w:numPr>
          <w:ilvl w:val="0"/>
          <w:numId w:val="257"/>
        </w:numPr>
        <w:tabs>
          <w:tab w:pos="1677" w:val="left" w:leader="none"/>
        </w:tabs>
        <w:spacing w:line="249" w:lineRule="auto" w:before="6" w:after="0"/>
        <w:ind w:left="1074" w:right="1274" w:firstLine="340"/>
        <w:jc w:val="both"/>
        <w:rPr>
          <w:sz w:val="20"/>
        </w:rPr>
      </w:pPr>
      <w:r>
        <w:rPr>
          <w:sz w:val="20"/>
        </w:rPr>
        <w:t>Presentar una memoria en la que se indiquen las entidades aseguradoras para las que se distribuyan los seguros y los ramos de seguro; el ámbito territorial de actuación, y los mecanismos adoptados para la solución de conflictos por quejas y reclamaciones de los clientes. Deberá, igualmente, incluir una mención expresa al programa de formación a que se refiere la letra</w:t>
      </w:r>
      <w:r>
        <w:rPr>
          <w:spacing w:val="-3"/>
          <w:sz w:val="20"/>
        </w:rPr>
        <w:t> </w:t>
      </w:r>
      <w:r>
        <w:rPr>
          <w:sz w:val="20"/>
        </w:rPr>
        <w:t>e).</w:t>
      </w:r>
    </w:p>
    <w:p>
      <w:pPr>
        <w:pStyle w:val="ListParagraph"/>
        <w:numPr>
          <w:ilvl w:val="0"/>
          <w:numId w:val="257"/>
        </w:numPr>
        <w:tabs>
          <w:tab w:pos="1689" w:val="left" w:leader="none"/>
        </w:tabs>
        <w:spacing w:line="249" w:lineRule="auto" w:before="4" w:after="0"/>
        <w:ind w:left="1074" w:right="1273" w:firstLine="340"/>
        <w:jc w:val="both"/>
        <w:rPr>
          <w:sz w:val="20"/>
        </w:rPr>
      </w:pPr>
      <w:r>
        <w:rPr>
          <w:sz w:val="20"/>
        </w:rPr>
        <w:t>Presentar un programa de formación continua aplicable a los agentes de seguros personas físicas, así como, en el caso de agentes de seguros personas jurídicas, a la persona responsable de la actividad de distribución o, en su caso, al menos a la mitad de las personas que formen parte del órgano de dirección responsable de la actividad de distribución, y a todas las personas que participen directamente en la distribución de seguros.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La documentación correspondiente a los programas de formación estará a disposición de la Dirección General de Seguros y Fondos de Pensiones, que podrá requerir que se efectúen las modificaciones que resulten necesarias.</w:t>
      </w:r>
    </w:p>
    <w:p>
      <w:pPr>
        <w:pStyle w:val="BodyText"/>
        <w:spacing w:line="249" w:lineRule="auto"/>
        <w:ind w:right="1272"/>
      </w:pPr>
      <w:r>
        <w:rPr/>
        <w:t>La Dirección General de Seguros y Fondos de Pensiones establecerá mediante resolución las líneas generales y los principios básicos que, en cuanto a su contenido, organización y ejecución, habrán de cumplir los cursos de formación inicial y continua de los agentes de seguros vinculados, que podrán ser impartidos por ellos mismos de acuerdo con lo previsto en el título I y en su normativa de desarrollo.</w:t>
      </w:r>
    </w:p>
    <w:p>
      <w:pPr>
        <w:pStyle w:val="ListParagraph"/>
        <w:numPr>
          <w:ilvl w:val="0"/>
          <w:numId w:val="257"/>
        </w:numPr>
        <w:tabs>
          <w:tab w:pos="1593" w:val="left" w:leader="none"/>
        </w:tabs>
        <w:spacing w:line="240" w:lineRule="auto" w:before="4" w:after="0"/>
        <w:ind w:left="1592" w:right="0" w:hanging="179"/>
        <w:jc w:val="both"/>
        <w:rPr>
          <w:sz w:val="20"/>
        </w:rPr>
      </w:pPr>
      <w:r>
        <w:rPr>
          <w:sz w:val="20"/>
        </w:rPr>
        <w:t>No incurrir en las causas de incompatibilidad previstas en el título</w:t>
      </w:r>
      <w:r>
        <w:rPr>
          <w:spacing w:val="-15"/>
          <w:sz w:val="20"/>
        </w:rPr>
        <w:t> </w:t>
      </w:r>
      <w:r>
        <w:rPr>
          <w:sz w:val="20"/>
        </w:rPr>
        <w:t>I.</w:t>
      </w:r>
    </w:p>
    <w:p>
      <w:pPr>
        <w:pStyle w:val="ListParagraph"/>
        <w:numPr>
          <w:ilvl w:val="0"/>
          <w:numId w:val="258"/>
        </w:numPr>
        <w:tabs>
          <w:tab w:pos="1643" w:val="left" w:leader="none"/>
        </w:tabs>
        <w:spacing w:line="249" w:lineRule="auto" w:before="130" w:after="0"/>
        <w:ind w:left="1074" w:right="1272" w:firstLine="340"/>
        <w:jc w:val="both"/>
        <w:rPr>
          <w:sz w:val="20"/>
        </w:rPr>
      </w:pPr>
      <w:r>
        <w:rPr>
          <w:sz w:val="20"/>
        </w:rPr>
        <w:t>La solicitud de inscripción como agente de seguros vinculado se dirigirá a la Dirección General de Seguros y Fondos de Pensiones, y deberá ir acompañada de los documentos acreditativos del cumplimiento de los requisitos a que se refiere el apartado 3. El plazo máximo en que debe notificarse la resolución expresa de la solicitud será de tres meses a partir de la fecha de presentación de dicha solicitud. La inscripción especificará las entidades aseguradoras para las que el agente de seguros vinculado podrá realizar la actividad de distribución de seguros. La solicitud de inscripción será denegada cuando no se acredite el cumplimiento de los requisitos exigidos para su</w:t>
      </w:r>
      <w:r>
        <w:rPr>
          <w:spacing w:val="-6"/>
          <w:sz w:val="20"/>
        </w:rPr>
        <w:t> </w:t>
      </w:r>
      <w:r>
        <w:rPr>
          <w:sz w:val="20"/>
        </w:rPr>
        <w:t>concesión.</w:t>
      </w:r>
    </w:p>
    <w:p>
      <w:pPr>
        <w:pStyle w:val="ListParagraph"/>
        <w:numPr>
          <w:ilvl w:val="0"/>
          <w:numId w:val="258"/>
        </w:numPr>
        <w:tabs>
          <w:tab w:pos="1658" w:val="left" w:leader="none"/>
        </w:tabs>
        <w:spacing w:line="249" w:lineRule="auto" w:before="7" w:after="0"/>
        <w:ind w:left="1074" w:right="1272" w:firstLine="340"/>
        <w:jc w:val="both"/>
        <w:rPr>
          <w:sz w:val="20"/>
        </w:rPr>
      </w:pPr>
      <w:r>
        <w:rPr>
          <w:sz w:val="20"/>
        </w:rPr>
        <w:t>El agente de seguros vinculado deberá, en un plazo máximo de quince días hábiles desde el acuerdo de modificación, notificar a la Dirección General de Seguros y Fondos de Pensiones los cambios en la información facilitada de conformidad con el apartado anterior y que sean relativos a los actos sujetos a inscripción en el registro administrativo de distribuidores de seguros y reaseguros, de acuerdo con lo dispuesto en la disposición adicional octava del Real Decreto 1060/2015, de 20 de</w:t>
      </w:r>
      <w:r>
        <w:rPr>
          <w:spacing w:val="-17"/>
          <w:sz w:val="20"/>
        </w:rPr>
        <w:t> </w:t>
      </w:r>
      <w:r>
        <w:rPr>
          <w:sz w:val="20"/>
        </w:rPr>
        <w:t>noviembre.</w:t>
      </w:r>
    </w:p>
    <w:p>
      <w:pPr>
        <w:pStyle w:val="BodyText"/>
        <w:spacing w:before="7"/>
        <w:ind w:left="0" w:firstLine="0"/>
        <w:jc w:val="left"/>
      </w:pPr>
    </w:p>
    <w:p>
      <w:pPr>
        <w:spacing w:before="0"/>
        <w:ind w:left="1074" w:right="0" w:firstLine="0"/>
        <w:jc w:val="both"/>
        <w:rPr>
          <w:i/>
          <w:sz w:val="20"/>
        </w:rPr>
      </w:pPr>
      <w:bookmarkStart w:name="Artículo 150. Concepto de operador de ba" w:id="247"/>
      <w:bookmarkEnd w:id="247"/>
      <w:r>
        <w:rPr/>
      </w:r>
      <w:r>
        <w:rPr>
          <w:b/>
          <w:sz w:val="20"/>
        </w:rPr>
        <w:t>Artículo 150. </w:t>
      </w:r>
      <w:r>
        <w:rPr>
          <w:i/>
          <w:sz w:val="20"/>
        </w:rPr>
        <w:t>Concepto de operador de banca-seguros.</w:t>
      </w:r>
    </w:p>
    <w:p>
      <w:pPr>
        <w:pStyle w:val="ListParagraph"/>
        <w:numPr>
          <w:ilvl w:val="0"/>
          <w:numId w:val="259"/>
        </w:numPr>
        <w:tabs>
          <w:tab w:pos="1659" w:val="left" w:leader="none"/>
        </w:tabs>
        <w:spacing w:line="249" w:lineRule="auto" w:before="118" w:after="0"/>
        <w:ind w:left="1074" w:right="1273" w:firstLine="340"/>
        <w:jc w:val="both"/>
        <w:rPr>
          <w:sz w:val="20"/>
        </w:rPr>
      </w:pPr>
      <w:r>
        <w:rPr>
          <w:sz w:val="20"/>
        </w:rPr>
        <w:t>Tendrán la consideración de operadores de banca-seguros las entidades de crédito, los establecimientos financieros de crédito y las sociedades mercantiles controladas o participadas por cualquiera de ellos conforme a lo indicado en el artículo 160 que, mediante la celebración de un contrato de agencia de seguros con una o varias entidades aseguradoras, se comprometan frente a estas a realizar la actividad de distribución de seguros como agentes de seguros utilizando sus redes de</w:t>
      </w:r>
      <w:r>
        <w:rPr>
          <w:spacing w:val="-10"/>
          <w:sz w:val="20"/>
        </w:rPr>
        <w:t> </w:t>
      </w:r>
      <w:r>
        <w:rPr>
          <w:sz w:val="20"/>
        </w:rPr>
        <w:t>distribución.</w:t>
      </w:r>
    </w:p>
    <w:p>
      <w:pPr>
        <w:pStyle w:val="BodyText"/>
        <w:spacing w:line="249" w:lineRule="auto" w:before="5"/>
        <w:ind w:right="1272"/>
      </w:pPr>
      <w:r>
        <w:rPr/>
        <w:t>Cuando la actividad de distribución de seguros se realice a través de una sociedad mercantil controlada o participada por la entidad de crédito o por el establecimiento financiero de crédito o grupo de entidades de crédito o de establecimientos financieros de crédito, las relaciones con dicha sociedad mercantil se regularán por un contrato de prestación de servicios recíprocos consistentes en la cesión de la red de distribución de cada una de dichas entidades de crédito o establecimientos financieros de crédito al operador de banca- seguros para la distribución de los productos de seguro. En dicho contrato, las entidades de crédito o establecimientos financieros de crédito deberán asumir la obligación de formar adecuadamente a las personas integrantes de la red y que participan directamente en la distribución de los</w:t>
      </w:r>
      <w:r>
        <w:rPr>
          <w:spacing w:val="-6"/>
        </w:rPr>
        <w:t> </w:t>
      </w:r>
      <w:r>
        <w:rPr/>
        <w:t>seguros.</w:t>
      </w:r>
    </w:p>
    <w:p>
      <w:pPr>
        <w:pStyle w:val="ListParagraph"/>
        <w:numPr>
          <w:ilvl w:val="0"/>
          <w:numId w:val="259"/>
        </w:numPr>
        <w:tabs>
          <w:tab w:pos="1661" w:val="left" w:leader="none"/>
        </w:tabs>
        <w:spacing w:line="249" w:lineRule="auto" w:before="8" w:after="0"/>
        <w:ind w:left="1074" w:right="1273" w:firstLine="340"/>
        <w:jc w:val="both"/>
        <w:rPr>
          <w:sz w:val="20"/>
        </w:rPr>
      </w:pPr>
      <w:r>
        <w:rPr>
          <w:sz w:val="20"/>
        </w:rPr>
        <w:t>A los efectos de lo previsto en el título I, se entenderá por red de distribución de la entidad de crédito o del establecimiento financiero de crédito, el conjunto de toda su estructura organizativa, incluyendo medios personales y materiales, oficinas operativas y agentes.</w:t>
      </w:r>
    </w:p>
    <w:p>
      <w:pPr>
        <w:pStyle w:val="BodyText"/>
        <w:spacing w:before="6"/>
        <w:ind w:left="0" w:firstLine="0"/>
        <w:jc w:val="left"/>
      </w:pPr>
    </w:p>
    <w:p>
      <w:pPr>
        <w:spacing w:before="0"/>
        <w:ind w:left="1074" w:right="0" w:firstLine="0"/>
        <w:jc w:val="both"/>
        <w:rPr>
          <w:i/>
          <w:sz w:val="20"/>
        </w:rPr>
      </w:pPr>
      <w:bookmarkStart w:name="Artículo 151. Normativa aplicable a los " w:id="248"/>
      <w:bookmarkEnd w:id="248"/>
      <w:r>
        <w:rPr/>
      </w:r>
      <w:r>
        <w:rPr>
          <w:b/>
          <w:sz w:val="20"/>
        </w:rPr>
        <w:t>Artículo 151. </w:t>
      </w:r>
      <w:r>
        <w:rPr>
          <w:i/>
          <w:sz w:val="20"/>
        </w:rPr>
        <w:t>Normativa aplicable a los operadores de banca-seguros.</w:t>
      </w:r>
    </w:p>
    <w:p>
      <w:pPr>
        <w:pStyle w:val="BodyText"/>
        <w:spacing w:line="249" w:lineRule="auto" w:before="117"/>
        <w:ind w:right="1273"/>
      </w:pPr>
      <w:r>
        <w:rPr/>
        <w:t>En su condición de agente de seguros, el operador de banca-seguros se someterá a lo dispuesto en el régimen general de los agentes de seguros regulado en los artículos 140 a 146, y, en su caso, a los artículos 147 y 148 referidos a los agentes de seguros exclusivos o al artículo 149 relativo a los agentes vinculados, sin perjuicio de lo dispuesto en los siguientes artículos en lo que se refiere a formación, responsabilidad civil profesional, procedimiento de solicitud de inscripción, publicidad y documentación</w:t>
      </w:r>
      <w:r>
        <w:rPr>
          <w:spacing w:val="-18"/>
        </w:rPr>
        <w:t> </w:t>
      </w:r>
      <w:r>
        <w:rPr/>
        <w:t>mercantil.</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52. Requisitos de los operador" w:id="249"/>
      <w:bookmarkEnd w:id="249"/>
      <w:r>
        <w:rPr/>
      </w:r>
      <w:r>
        <w:rPr>
          <w:b/>
          <w:sz w:val="20"/>
        </w:rPr>
        <w:t>Artículo 152. </w:t>
      </w:r>
      <w:r>
        <w:rPr>
          <w:i/>
          <w:sz w:val="20"/>
        </w:rPr>
        <w:t>Requisitos de los operadores de banca-seguros.</w:t>
      </w:r>
    </w:p>
    <w:p>
      <w:pPr>
        <w:pStyle w:val="BodyText"/>
        <w:spacing w:line="249" w:lineRule="auto" w:before="118"/>
        <w:ind w:right="1274"/>
      </w:pPr>
      <w:r>
        <w:rPr/>
        <w:t>1. Para figurar inscrito como operador de banca-seguros en el registro administrativo previsto en el artículo 133, será necesario cumplir y mantener en todo momento los siguientes requisitos:</w:t>
      </w:r>
    </w:p>
    <w:p>
      <w:pPr>
        <w:pStyle w:val="ListParagraph"/>
        <w:numPr>
          <w:ilvl w:val="0"/>
          <w:numId w:val="260"/>
        </w:numPr>
        <w:tabs>
          <w:tab w:pos="1656" w:val="left" w:leader="none"/>
        </w:tabs>
        <w:spacing w:line="249" w:lineRule="auto" w:before="122" w:after="0"/>
        <w:ind w:left="1074" w:right="1272" w:firstLine="340"/>
        <w:jc w:val="both"/>
        <w:rPr>
          <w:sz w:val="20"/>
        </w:rPr>
      </w:pPr>
      <w:r>
        <w:rPr>
          <w:sz w:val="20"/>
        </w:rPr>
        <w:t>Ser entidad de crédito o establecimiento financiero de crédito. También podrá ser una sociedad mercantil controlada o participada por las entidades de crédito o establecimientos financieros de crédito, o grupo de entidades de crédito o de establecimientos financieros de crédito, inscrita en el Registro Mercantil previamente a la solicitud de inscripción administrativa, cuyos estatutos prevean, dentro del apartado correspondiente al objeto  social, la realización de actividades de distribución de seguros como operador de banca- seguros.</w:t>
      </w:r>
    </w:p>
    <w:p>
      <w:pPr>
        <w:pStyle w:val="ListParagraph"/>
        <w:numPr>
          <w:ilvl w:val="0"/>
          <w:numId w:val="260"/>
        </w:numPr>
        <w:tabs>
          <w:tab w:pos="1676" w:val="left" w:leader="none"/>
        </w:tabs>
        <w:spacing w:line="249" w:lineRule="auto" w:before="6" w:after="0"/>
        <w:ind w:left="1074" w:right="1272" w:firstLine="340"/>
        <w:jc w:val="both"/>
        <w:rPr>
          <w:sz w:val="20"/>
        </w:rPr>
      </w:pPr>
      <w:r>
        <w:rPr>
          <w:sz w:val="20"/>
        </w:rPr>
        <w:t>Presentar una memoria en la que se indiquen la entidad o entidades aseguradoras para las que se distribuyen los seguros y los ramos de seguro; el ámbito territorial de actuación; los procedimientos adoptados para la solución de conflictos por quejas y reclamaciones de los clientes, y la red o las redes de las entidades de crédito o de los establecimientos financieros de crédito a través de las cuales el operador de banca-seguros distribuirá los seguros. Deberá, igualmente, incluir una mención expresa al programa de formación al que se refiere la letra</w:t>
      </w:r>
      <w:r>
        <w:rPr>
          <w:spacing w:val="-5"/>
          <w:sz w:val="20"/>
        </w:rPr>
        <w:t> </w:t>
      </w:r>
      <w:r>
        <w:rPr>
          <w:sz w:val="20"/>
        </w:rPr>
        <w:t>e).</w:t>
      </w:r>
    </w:p>
    <w:p>
      <w:pPr>
        <w:pStyle w:val="ListParagraph"/>
        <w:numPr>
          <w:ilvl w:val="0"/>
          <w:numId w:val="260"/>
        </w:numPr>
        <w:tabs>
          <w:tab w:pos="1644" w:val="left" w:leader="none"/>
        </w:tabs>
        <w:spacing w:line="249" w:lineRule="auto" w:before="6" w:after="0"/>
        <w:ind w:left="1074" w:right="1274" w:firstLine="340"/>
        <w:jc w:val="both"/>
        <w:rPr>
          <w:sz w:val="20"/>
        </w:rPr>
      </w:pPr>
      <w:r>
        <w:rPr>
          <w:sz w:val="20"/>
        </w:rPr>
        <w:t>Acreditar que la persona responsable de la actividad de distribución o, en su caso, las personas que forman parte del órgano de dirección responsable de la actividad de distribución y todas las personas que participan directamente en la distribución de seguros, cumplen el requisito de honorabilidad comercial y profesional en los términos dispuestos en el artículo</w:t>
      </w:r>
      <w:r>
        <w:rPr>
          <w:spacing w:val="-3"/>
          <w:sz w:val="20"/>
        </w:rPr>
        <w:t> </w:t>
      </w:r>
      <w:r>
        <w:rPr>
          <w:sz w:val="20"/>
        </w:rPr>
        <w:t>128.</w:t>
      </w:r>
    </w:p>
    <w:p>
      <w:pPr>
        <w:pStyle w:val="BodyText"/>
        <w:spacing w:line="249" w:lineRule="auto" w:before="4"/>
        <w:ind w:right="1275"/>
      </w:pPr>
      <w:r>
        <w:rPr/>
        <w:t>Este requisito será igualmente aplicable a los administradores del operador de banca- seguros.</w:t>
      </w:r>
    </w:p>
    <w:p>
      <w:pPr>
        <w:pStyle w:val="ListParagraph"/>
        <w:numPr>
          <w:ilvl w:val="0"/>
          <w:numId w:val="260"/>
        </w:numPr>
        <w:tabs>
          <w:tab w:pos="1661" w:val="left" w:leader="none"/>
        </w:tabs>
        <w:spacing w:line="249" w:lineRule="auto" w:before="1" w:after="0"/>
        <w:ind w:left="1074" w:right="1273" w:firstLine="340"/>
        <w:jc w:val="both"/>
        <w:rPr>
          <w:sz w:val="20"/>
        </w:rPr>
      </w:pPr>
      <w:r>
        <w:rPr>
          <w:sz w:val="20"/>
        </w:rPr>
        <w:t>Acreditar que la persona responsable de la actividad de distribución o, en su caso, al menos la mitad de las personas que forman parte del órgano de dirección responsable de la actividad de distribución y todas las personas que participan directamente en la distribución de seguros, poseen unos conocimientos y aptitudes apropiados mediante la superación de cursos de formación, que podrán ser impartidos por las propias entidades de crédito o establecimientos financieros de crédito de acuerdo con lo previsto en el título I y en su normativa de</w:t>
      </w:r>
      <w:r>
        <w:rPr>
          <w:spacing w:val="-3"/>
          <w:sz w:val="20"/>
        </w:rPr>
        <w:t> </w:t>
      </w:r>
      <w:r>
        <w:rPr>
          <w:sz w:val="20"/>
        </w:rPr>
        <w:t>desarrollo.</w:t>
      </w:r>
    </w:p>
    <w:p>
      <w:pPr>
        <w:pStyle w:val="ListParagraph"/>
        <w:numPr>
          <w:ilvl w:val="0"/>
          <w:numId w:val="260"/>
        </w:numPr>
        <w:tabs>
          <w:tab w:pos="1723" w:val="left" w:leader="none"/>
        </w:tabs>
        <w:spacing w:line="249" w:lineRule="auto" w:before="6" w:after="0"/>
        <w:ind w:left="1074" w:right="1271" w:firstLine="340"/>
        <w:jc w:val="both"/>
        <w:rPr>
          <w:sz w:val="20"/>
        </w:rPr>
      </w:pPr>
      <w:r>
        <w:rPr>
          <w:sz w:val="20"/>
        </w:rPr>
        <w:t>Presentar un programa de formación continua que las entidades de crédito o establecimientos financieros de crédito impartirán a la persona responsable de la actividad de distribución o, en su caso, al menos a la mitad de las personas que forman parte del órgano de dirección responsable de la actividad de distribución, así como a las personas integrantes de su red de distribución y que participen directamente en la distribución de los seguros. A estos efectos, la Dirección General de Seguros y Fondos de Pensiones establecerá mediante resolución las líneas generales y los principios básicos que, en cuanto a su contenido, organización y ejecución, habrán de cumplir los programas de formación inicial y continua relativos a todas las personas a las que se refiere la letra</w:t>
      </w:r>
      <w:r>
        <w:rPr>
          <w:spacing w:val="-19"/>
          <w:sz w:val="20"/>
        </w:rPr>
        <w:t> </w:t>
      </w:r>
      <w:r>
        <w:rPr>
          <w:sz w:val="20"/>
        </w:rPr>
        <w:t>d).</w:t>
      </w:r>
    </w:p>
    <w:p>
      <w:pPr>
        <w:pStyle w:val="ListParagraph"/>
        <w:numPr>
          <w:ilvl w:val="0"/>
          <w:numId w:val="260"/>
        </w:numPr>
        <w:tabs>
          <w:tab w:pos="1617" w:val="left" w:leader="none"/>
        </w:tabs>
        <w:spacing w:line="249" w:lineRule="auto" w:before="8" w:after="0"/>
        <w:ind w:left="1074" w:right="1273" w:firstLine="340"/>
        <w:jc w:val="both"/>
        <w:rPr>
          <w:sz w:val="20"/>
        </w:rPr>
      </w:pPr>
      <w:r>
        <w:rPr>
          <w:sz w:val="20"/>
        </w:rPr>
        <w:t>Garantizar las obligaciones frente a terceros de conformidad con lo dispuesto en los artículos 136.4 y</w:t>
      </w:r>
      <w:r>
        <w:rPr>
          <w:spacing w:val="-3"/>
          <w:sz w:val="20"/>
        </w:rPr>
        <w:t> </w:t>
      </w:r>
      <w:r>
        <w:rPr>
          <w:sz w:val="20"/>
        </w:rPr>
        <w:t>142.</w:t>
      </w:r>
    </w:p>
    <w:p>
      <w:pPr>
        <w:pStyle w:val="ListParagraph"/>
        <w:numPr>
          <w:ilvl w:val="0"/>
          <w:numId w:val="260"/>
        </w:numPr>
        <w:tabs>
          <w:tab w:pos="1676" w:val="left" w:leader="none"/>
        </w:tabs>
        <w:spacing w:line="249" w:lineRule="auto" w:before="1" w:after="0"/>
        <w:ind w:left="1074" w:right="1271" w:firstLine="340"/>
        <w:jc w:val="both"/>
        <w:rPr>
          <w:sz w:val="20"/>
        </w:rPr>
      </w:pPr>
      <w:r>
        <w:rPr>
          <w:sz w:val="20"/>
        </w:rPr>
        <w:t>Acreditar que todas y cada una de las entidades aseguradoras con las que vaya a celebrar un contrato de agencia de seguros asumen la responsabilidad civil profesional derivada de su actuación como operador de banca-seguros, o que dicho operador dispone de un seguro de responsabilidad civil profesional o cualquier otra garantía financiera que cubra en todo el territorio de la Unión Europea las responsabilidades que pudieran surgir por negligencia profesional, de al menos 1.250.000 euros por siniestro y, en suma, 1.850.000 euros para todos los siniestros correspondientes a un determinado año, respecto a la actividad sobre la que no hubiera obtenido cobertura en virtud del contrato de agencia suscrito.</w:t>
      </w:r>
    </w:p>
    <w:p>
      <w:pPr>
        <w:pStyle w:val="ListParagraph"/>
        <w:numPr>
          <w:ilvl w:val="0"/>
          <w:numId w:val="260"/>
        </w:numPr>
        <w:tabs>
          <w:tab w:pos="1648" w:val="left" w:leader="none"/>
        </w:tabs>
        <w:spacing w:line="240" w:lineRule="auto" w:before="8" w:after="0"/>
        <w:ind w:left="1647" w:right="0" w:hanging="234"/>
        <w:jc w:val="both"/>
        <w:rPr>
          <w:sz w:val="20"/>
        </w:rPr>
      </w:pPr>
      <w:r>
        <w:rPr>
          <w:sz w:val="20"/>
        </w:rPr>
        <w:t>Aportar y mantener</w:t>
      </w:r>
      <w:r>
        <w:rPr>
          <w:spacing w:val="-1"/>
          <w:sz w:val="20"/>
        </w:rPr>
        <w:t> </w:t>
      </w:r>
      <w:r>
        <w:rPr>
          <w:sz w:val="20"/>
        </w:rPr>
        <w:t>actualizada:</w:t>
      </w:r>
    </w:p>
    <w:p>
      <w:pPr>
        <w:spacing w:after="0" w:line="240"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261"/>
        </w:numPr>
        <w:tabs>
          <w:tab w:pos="1583" w:val="left" w:leader="none"/>
        </w:tabs>
        <w:spacing w:line="249" w:lineRule="auto" w:before="126" w:after="0"/>
        <w:ind w:left="1074" w:right="1273" w:firstLine="340"/>
        <w:jc w:val="both"/>
        <w:rPr>
          <w:sz w:val="20"/>
        </w:rPr>
      </w:pPr>
      <w:r>
        <w:rPr>
          <w:sz w:val="20"/>
        </w:rPr>
        <w:t>º Información sobre la identidad de los accionistas o socios, ya sean personas físicas o jurídicas, que posean en el operador de banca-seguros una participación directa o indirecta del 10 por ciento o superior de los derechos de voto o del</w:t>
      </w:r>
      <w:r>
        <w:rPr>
          <w:spacing w:val="-14"/>
          <w:sz w:val="20"/>
        </w:rPr>
        <w:t> </w:t>
      </w:r>
      <w:r>
        <w:rPr>
          <w:sz w:val="20"/>
        </w:rPr>
        <w:t>capital.</w:t>
      </w:r>
    </w:p>
    <w:p>
      <w:pPr>
        <w:pStyle w:val="ListParagraph"/>
        <w:numPr>
          <w:ilvl w:val="0"/>
          <w:numId w:val="261"/>
        </w:numPr>
        <w:tabs>
          <w:tab w:pos="1583" w:val="left" w:leader="none"/>
        </w:tabs>
        <w:spacing w:line="249" w:lineRule="auto" w:before="3" w:after="0"/>
        <w:ind w:left="1074" w:right="1272" w:firstLine="340"/>
        <w:jc w:val="both"/>
        <w:rPr>
          <w:sz w:val="20"/>
        </w:rPr>
      </w:pPr>
      <w:r>
        <w:rPr>
          <w:sz w:val="20"/>
        </w:rPr>
        <w:t>º Información sobre la identidad de las personas que posean vínculos estrechos con el operador de</w:t>
      </w:r>
      <w:r>
        <w:rPr>
          <w:spacing w:val="-3"/>
          <w:sz w:val="20"/>
        </w:rPr>
        <w:t> </w:t>
      </w:r>
      <w:r>
        <w:rPr>
          <w:sz w:val="20"/>
        </w:rPr>
        <w:t>banca-seguros.</w:t>
      </w:r>
    </w:p>
    <w:p>
      <w:pPr>
        <w:pStyle w:val="ListParagraph"/>
        <w:numPr>
          <w:ilvl w:val="0"/>
          <w:numId w:val="261"/>
        </w:numPr>
        <w:tabs>
          <w:tab w:pos="1583" w:val="left" w:leader="none"/>
        </w:tabs>
        <w:spacing w:line="249" w:lineRule="auto" w:before="1" w:after="0"/>
        <w:ind w:left="1074" w:right="1271" w:firstLine="340"/>
        <w:jc w:val="both"/>
        <w:rPr>
          <w:sz w:val="20"/>
        </w:rPr>
      </w:pPr>
      <w:r>
        <w:rPr>
          <w:sz w:val="20"/>
        </w:rPr>
        <w:t>º Información de que dichas participaciones o vínculos estrechos no impidan a la Dirección General de Seguros y Fondos de Pensiones el ejercicio efectivo de sus funciones de</w:t>
      </w:r>
      <w:r>
        <w:rPr>
          <w:spacing w:val="-1"/>
          <w:sz w:val="20"/>
        </w:rPr>
        <w:t> </w:t>
      </w:r>
      <w:r>
        <w:rPr>
          <w:sz w:val="20"/>
        </w:rPr>
        <w:t>supervisión.</w:t>
      </w:r>
    </w:p>
    <w:p>
      <w:pPr>
        <w:pStyle w:val="BodyText"/>
        <w:spacing w:before="123"/>
        <w:ind w:left="1414" w:firstLine="0"/>
        <w:jc w:val="left"/>
      </w:pPr>
      <w:r>
        <w:rPr/>
        <w:t>i) No incurrir en las causas de incompatibilidad previstas en el artículo 154.</w:t>
      </w:r>
    </w:p>
    <w:p>
      <w:pPr>
        <w:pStyle w:val="ListParagraph"/>
        <w:numPr>
          <w:ilvl w:val="0"/>
          <w:numId w:val="262"/>
        </w:numPr>
        <w:tabs>
          <w:tab w:pos="1638" w:val="left" w:leader="none"/>
        </w:tabs>
        <w:spacing w:line="249" w:lineRule="auto" w:before="130" w:after="0"/>
        <w:ind w:left="1074" w:right="1273" w:firstLine="340"/>
        <w:jc w:val="both"/>
        <w:rPr>
          <w:sz w:val="20"/>
        </w:rPr>
      </w:pPr>
      <w:r>
        <w:rPr>
          <w:sz w:val="20"/>
        </w:rPr>
        <w:t>El operador de banca-seguros dirigirá su solicitud de inscripción a la Dirección General de Seguros y Fondos de Pensiones, y deberá ir acompañada de los documentos acreditativos del cumplimiento de los requisitos a que se refiere el anterior apartado. El plazo máximo en que debe notificarse la resolución expresa de la solicitud será de tres meses a partir de la fecha de presentación de dicha solicitud. La inscripción especificará las entidades aseguradoras para las que el operador de banca-seguros podrá realizar la actividad de distribución de seguros. La solicitud de inscripción será denegada cuando no se acredite el cumplimiento de los requisitos exigidos para su</w:t>
      </w:r>
      <w:r>
        <w:rPr>
          <w:spacing w:val="-6"/>
          <w:sz w:val="20"/>
        </w:rPr>
        <w:t> </w:t>
      </w:r>
      <w:r>
        <w:rPr>
          <w:sz w:val="20"/>
        </w:rPr>
        <w:t>concesión.</w:t>
      </w:r>
    </w:p>
    <w:p>
      <w:pPr>
        <w:pStyle w:val="ListParagraph"/>
        <w:numPr>
          <w:ilvl w:val="0"/>
          <w:numId w:val="262"/>
        </w:numPr>
        <w:tabs>
          <w:tab w:pos="1668" w:val="left" w:leader="none"/>
        </w:tabs>
        <w:spacing w:line="249" w:lineRule="auto" w:before="6" w:after="0"/>
        <w:ind w:left="1074" w:right="1271" w:firstLine="340"/>
        <w:jc w:val="both"/>
        <w:rPr>
          <w:sz w:val="20"/>
        </w:rPr>
      </w:pPr>
      <w:r>
        <w:rPr>
          <w:sz w:val="20"/>
        </w:rPr>
        <w:t>El operador de banca-seguros deberá, en un plazo máximo de quince días hábiles desde el acuerdo de modificación, notificar a la Dirección General de Seguros y Fondos de Pensiones los cambios en la información facilitada de conformidad con el apartado anterior, que sean relativos a los actos sujetos a inscripción en el registro administrativo de distribuidores de seguros y reaseguros de acuerdo con lo dispuesto en la disposición adicional octava del Real Decreto 1060/2015, de 20 de</w:t>
      </w:r>
      <w:r>
        <w:rPr>
          <w:spacing w:val="-17"/>
          <w:sz w:val="20"/>
        </w:rPr>
        <w:t> </w:t>
      </w:r>
      <w:r>
        <w:rPr>
          <w:sz w:val="20"/>
        </w:rPr>
        <w:t>noviembre.</w:t>
      </w:r>
    </w:p>
    <w:p>
      <w:pPr>
        <w:pStyle w:val="ListParagraph"/>
        <w:numPr>
          <w:ilvl w:val="0"/>
          <w:numId w:val="262"/>
        </w:numPr>
        <w:tabs>
          <w:tab w:pos="1721" w:val="left" w:leader="none"/>
        </w:tabs>
        <w:spacing w:line="249" w:lineRule="auto" w:before="5" w:after="0"/>
        <w:ind w:left="1074" w:right="1273" w:firstLine="340"/>
        <w:jc w:val="both"/>
        <w:rPr>
          <w:sz w:val="20"/>
        </w:rPr>
      </w:pPr>
      <w:r>
        <w:rPr>
          <w:sz w:val="20"/>
        </w:rPr>
        <w:t>Las cuantías mencionadas en el apartado 1.g) quedarán modificadas por las actualizaciones que establezca la Autoridad Europea de Seguros y Pensiones de</w:t>
      </w:r>
      <w:r>
        <w:rPr>
          <w:spacing w:val="-30"/>
          <w:sz w:val="20"/>
        </w:rPr>
        <w:t> </w:t>
      </w:r>
      <w:r>
        <w:rPr>
          <w:sz w:val="20"/>
        </w:rPr>
        <w:t>Jubilación.</w:t>
      </w:r>
    </w:p>
    <w:p>
      <w:pPr>
        <w:pStyle w:val="BodyText"/>
        <w:spacing w:line="249" w:lineRule="auto"/>
        <w:ind w:right="1274"/>
      </w:pPr>
      <w:r>
        <w:rPr/>
        <w:t>Para facilitar el conocimiento y aplicación de dichas actualizaciones, estas se harán públicas por resolución de la Dirección General de Seguros y Fondos de Pensiones.</w:t>
      </w:r>
    </w:p>
    <w:p>
      <w:pPr>
        <w:pStyle w:val="BodyText"/>
        <w:spacing w:before="4"/>
        <w:ind w:left="0" w:firstLine="0"/>
        <w:jc w:val="left"/>
      </w:pPr>
    </w:p>
    <w:p>
      <w:pPr>
        <w:spacing w:line="249" w:lineRule="auto" w:before="0"/>
        <w:ind w:left="1074" w:right="1274" w:hanging="1"/>
        <w:jc w:val="both"/>
        <w:rPr>
          <w:i/>
          <w:sz w:val="20"/>
        </w:rPr>
      </w:pPr>
      <w:bookmarkStart w:name="Artículo 153. Publicidad y documentación" w:id="250"/>
      <w:bookmarkEnd w:id="250"/>
      <w:r>
        <w:rPr/>
      </w:r>
      <w:r>
        <w:rPr>
          <w:b/>
          <w:sz w:val="20"/>
        </w:rPr>
        <w:t>Artículo 153. </w:t>
      </w:r>
      <w:r>
        <w:rPr>
          <w:i/>
          <w:sz w:val="20"/>
        </w:rPr>
        <w:t>Publicidad y documentación mercantil de la actividad de distribución de </w:t>
      </w:r>
      <w:r>
        <w:rPr>
          <w:i/>
          <w:sz w:val="20"/>
        </w:rPr>
        <w:t>seguros privados de los operadores de</w:t>
      </w:r>
      <w:r>
        <w:rPr>
          <w:i/>
          <w:spacing w:val="-8"/>
          <w:sz w:val="20"/>
        </w:rPr>
        <w:t> </w:t>
      </w:r>
      <w:r>
        <w:rPr>
          <w:i/>
          <w:sz w:val="20"/>
        </w:rPr>
        <w:t>banca-seguros.</w:t>
      </w:r>
    </w:p>
    <w:p>
      <w:pPr>
        <w:pStyle w:val="ListParagraph"/>
        <w:numPr>
          <w:ilvl w:val="0"/>
          <w:numId w:val="263"/>
        </w:numPr>
        <w:tabs>
          <w:tab w:pos="1666" w:val="left" w:leader="none"/>
        </w:tabs>
        <w:spacing w:line="249" w:lineRule="auto" w:before="109" w:after="0"/>
        <w:ind w:left="1074" w:right="1271" w:firstLine="340"/>
        <w:jc w:val="both"/>
        <w:rPr>
          <w:sz w:val="20"/>
        </w:rPr>
      </w:pPr>
      <w:r>
        <w:rPr>
          <w:sz w:val="20"/>
        </w:rPr>
        <w:t>En la publicidad y en la documentación mercantil de distribución de seguros de los operadores de banca-seguros, deberá figurar de forma destacada la expresión «operador de banca-seguros exclusivo», o, en su caso, «operador de banca-seguros vinculado», seguida de la denominación social de la entidad aseguradora para la que esté realizando la operación de distribución de que se trate, en virtud del contrato de agencia celebrado, así como el número de inscripción en el registro administrativo previsto en el artículo 133 y, en su caso, tener concertado un seguro de responsabilidad civil u otra garantía financiera, con arreglo todo ello al artículo</w:t>
      </w:r>
      <w:r>
        <w:rPr>
          <w:spacing w:val="-5"/>
          <w:sz w:val="20"/>
        </w:rPr>
        <w:t> </w:t>
      </w:r>
      <w:r>
        <w:rPr>
          <w:sz w:val="20"/>
        </w:rPr>
        <w:t>152.</w:t>
      </w:r>
    </w:p>
    <w:p>
      <w:pPr>
        <w:pStyle w:val="ListParagraph"/>
        <w:numPr>
          <w:ilvl w:val="0"/>
          <w:numId w:val="263"/>
        </w:numPr>
        <w:tabs>
          <w:tab w:pos="1661" w:val="left" w:leader="none"/>
        </w:tabs>
        <w:spacing w:line="249" w:lineRule="auto" w:before="7" w:after="0"/>
        <w:ind w:left="1074" w:right="1273" w:firstLine="340"/>
        <w:jc w:val="both"/>
        <w:rPr>
          <w:sz w:val="20"/>
        </w:rPr>
      </w:pPr>
      <w:r>
        <w:rPr>
          <w:sz w:val="20"/>
        </w:rPr>
        <w:t>En la publicidad que el operador de banca-seguros realice con carácter general o a través de medios telemáticos, deberá hacer mención a las entidades aseguradoras con las que haya celebrado un contrato de agencia de</w:t>
      </w:r>
      <w:r>
        <w:rPr>
          <w:spacing w:val="-8"/>
          <w:sz w:val="20"/>
        </w:rPr>
        <w:t> </w:t>
      </w:r>
      <w:r>
        <w:rPr>
          <w:sz w:val="20"/>
        </w:rPr>
        <w:t>seguros.</w:t>
      </w:r>
    </w:p>
    <w:p>
      <w:pPr>
        <w:pStyle w:val="BodyText"/>
        <w:spacing w:before="5"/>
        <w:ind w:left="0" w:firstLine="0"/>
        <w:jc w:val="left"/>
      </w:pPr>
    </w:p>
    <w:p>
      <w:pPr>
        <w:spacing w:before="0"/>
        <w:ind w:left="1074" w:right="0" w:firstLine="0"/>
        <w:jc w:val="both"/>
        <w:rPr>
          <w:i/>
          <w:sz w:val="20"/>
        </w:rPr>
      </w:pPr>
      <w:bookmarkStart w:name="Artículo 154. Incompatibilidades de los " w:id="251"/>
      <w:bookmarkEnd w:id="251"/>
      <w:r>
        <w:rPr/>
      </w:r>
      <w:r>
        <w:rPr>
          <w:b/>
          <w:sz w:val="20"/>
        </w:rPr>
        <w:t>Artículo 154. </w:t>
      </w:r>
      <w:r>
        <w:rPr>
          <w:i/>
          <w:sz w:val="20"/>
        </w:rPr>
        <w:t>Incompatibilidades de los operadores de banca-seguros.</w:t>
      </w:r>
    </w:p>
    <w:p>
      <w:pPr>
        <w:pStyle w:val="ListParagraph"/>
        <w:numPr>
          <w:ilvl w:val="0"/>
          <w:numId w:val="264"/>
        </w:numPr>
        <w:tabs>
          <w:tab w:pos="1678" w:val="left" w:leader="none"/>
        </w:tabs>
        <w:spacing w:line="249" w:lineRule="auto" w:before="117" w:after="0"/>
        <w:ind w:left="1074" w:right="1274" w:firstLine="340"/>
        <w:jc w:val="both"/>
        <w:rPr>
          <w:sz w:val="20"/>
        </w:rPr>
      </w:pPr>
      <w:r>
        <w:rPr>
          <w:sz w:val="20"/>
        </w:rPr>
        <w:t>Los operadores de banca-seguros no podrán ejercer como corredor de seguros o colaboradores externos de estos, tercer perito, perito de seguros o comisario de averías, a designación de los tomadores de seguros, asegurados y beneficiarios de los contratos de seguro en los que hubiesen</w:t>
      </w:r>
      <w:r>
        <w:rPr>
          <w:spacing w:val="-6"/>
          <w:sz w:val="20"/>
        </w:rPr>
        <w:t> </w:t>
      </w:r>
      <w:r>
        <w:rPr>
          <w:sz w:val="20"/>
        </w:rPr>
        <w:t>intervenido.</w:t>
      </w:r>
    </w:p>
    <w:p>
      <w:pPr>
        <w:pStyle w:val="ListParagraph"/>
        <w:numPr>
          <w:ilvl w:val="0"/>
          <w:numId w:val="264"/>
        </w:numPr>
        <w:tabs>
          <w:tab w:pos="1694" w:val="left" w:leader="none"/>
        </w:tabs>
        <w:spacing w:line="249" w:lineRule="auto" w:before="4" w:after="0"/>
        <w:ind w:left="1074" w:right="1273" w:firstLine="340"/>
        <w:jc w:val="both"/>
        <w:rPr>
          <w:sz w:val="20"/>
        </w:rPr>
      </w:pPr>
      <w:r>
        <w:rPr>
          <w:sz w:val="20"/>
        </w:rPr>
        <w:t>Las redes de distribución de las entidades de crédito o de los establecimientos financieros de crédito que participen en la distribución de los seguros, no podrán ejercer simultáneamente como colaboradores externos de otros mediadores de seguros de distinta clase, ni podrán fragmentarse a dichos</w:t>
      </w:r>
      <w:r>
        <w:rPr>
          <w:spacing w:val="-6"/>
          <w:sz w:val="20"/>
        </w:rPr>
        <w:t> </w:t>
      </w:r>
      <w:r>
        <w:rPr>
          <w:sz w:val="20"/>
        </w:rPr>
        <w:t>efectos.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9"/>
        <w:ind w:left="0" w:firstLine="0"/>
        <w:jc w:val="left"/>
        <w:rPr>
          <w:sz w:val="17"/>
        </w:rPr>
      </w:pPr>
    </w:p>
    <w:p>
      <w:pPr>
        <w:pStyle w:val="BodyText"/>
        <w:spacing w:before="94"/>
        <w:ind w:left="2929" w:right="3127" w:firstLine="0"/>
        <w:jc w:val="center"/>
      </w:pPr>
      <w:bookmarkStart w:name="Subsección 4.ª De los corredores de segu" w:id="252"/>
      <w:bookmarkEnd w:id="252"/>
      <w:r>
        <w:rPr/>
      </w:r>
      <w:bookmarkStart w:name="_bookmark48" w:id="253"/>
      <w:bookmarkEnd w:id="253"/>
      <w:r>
        <w:rPr/>
      </w:r>
      <w:r>
        <w:rPr/>
        <w:t>Subsección 4.ª De los corredores de seguros</w:t>
      </w:r>
    </w:p>
    <w:p>
      <w:pPr>
        <w:pStyle w:val="BodyText"/>
        <w:spacing w:before="5"/>
        <w:ind w:left="0" w:firstLine="0"/>
        <w:jc w:val="left"/>
        <w:rPr>
          <w:sz w:val="30"/>
        </w:rPr>
      </w:pPr>
    </w:p>
    <w:p>
      <w:pPr>
        <w:spacing w:before="0"/>
        <w:ind w:left="1074" w:right="0" w:firstLine="0"/>
        <w:jc w:val="both"/>
        <w:rPr>
          <w:i/>
          <w:sz w:val="20"/>
        </w:rPr>
      </w:pPr>
      <w:bookmarkStart w:name="Artículo 155. Concepto de corredor de se" w:id="254"/>
      <w:bookmarkEnd w:id="254"/>
      <w:r>
        <w:rPr/>
      </w:r>
      <w:r>
        <w:rPr>
          <w:b/>
          <w:sz w:val="20"/>
        </w:rPr>
        <w:t>Artículo 155. </w:t>
      </w:r>
      <w:r>
        <w:rPr>
          <w:i/>
          <w:sz w:val="20"/>
        </w:rPr>
        <w:t>Concepto de corredor de seguros.</w:t>
      </w:r>
    </w:p>
    <w:p>
      <w:pPr>
        <w:pStyle w:val="ListParagraph"/>
        <w:numPr>
          <w:ilvl w:val="0"/>
          <w:numId w:val="265"/>
        </w:numPr>
        <w:tabs>
          <w:tab w:pos="1640" w:val="left" w:leader="none"/>
        </w:tabs>
        <w:spacing w:line="249" w:lineRule="auto" w:before="118" w:after="0"/>
        <w:ind w:left="1074" w:right="1272" w:firstLine="340"/>
        <w:jc w:val="both"/>
        <w:rPr>
          <w:sz w:val="20"/>
        </w:rPr>
      </w:pPr>
      <w:r>
        <w:rPr>
          <w:sz w:val="20"/>
        </w:rPr>
        <w:t>Son corredores de seguros las personas físicas o jurídicas que realizan la actividad de distribución de seguros, ofreciendo asesoramiento independiente basado en un análisis objetivo y personalizado, a quienes demanden la cobertura de</w:t>
      </w:r>
      <w:r>
        <w:rPr>
          <w:spacing w:val="-14"/>
          <w:sz w:val="20"/>
        </w:rPr>
        <w:t> </w:t>
      </w:r>
      <w:r>
        <w:rPr>
          <w:sz w:val="20"/>
        </w:rPr>
        <w:t>riesgos.</w:t>
      </w:r>
    </w:p>
    <w:p>
      <w:pPr>
        <w:pStyle w:val="ListParagraph"/>
        <w:numPr>
          <w:ilvl w:val="0"/>
          <w:numId w:val="265"/>
        </w:numPr>
        <w:tabs>
          <w:tab w:pos="1679" w:val="left" w:leader="none"/>
        </w:tabs>
        <w:spacing w:line="249" w:lineRule="auto" w:before="2" w:after="0"/>
        <w:ind w:left="1074" w:right="1273" w:firstLine="340"/>
        <w:jc w:val="both"/>
        <w:rPr>
          <w:sz w:val="20"/>
        </w:rPr>
      </w:pPr>
      <w:r>
        <w:rPr>
          <w:sz w:val="20"/>
        </w:rPr>
        <w:t>Los corredores de seguros deberán informar a quien trate de concertar el seguro sobre las condiciones del contrato que a su juicio conviene suscribir y ofrecer la cobertura que, de acuerdo a su criterio profesional, mejor se adapte a las necesidades de aquel; asimismo, velarán por la concurrencia de los requisitos que ha de reunir la póliza de seguro para su eficacia y plenitud de</w:t>
      </w:r>
      <w:r>
        <w:rPr>
          <w:spacing w:val="-6"/>
          <w:sz w:val="20"/>
        </w:rPr>
        <w:t> </w:t>
      </w:r>
      <w:r>
        <w:rPr>
          <w:sz w:val="20"/>
        </w:rPr>
        <w:t>efectos.</w:t>
      </w:r>
    </w:p>
    <w:p>
      <w:pPr>
        <w:pStyle w:val="ListParagraph"/>
        <w:numPr>
          <w:ilvl w:val="0"/>
          <w:numId w:val="265"/>
        </w:numPr>
        <w:tabs>
          <w:tab w:pos="1681" w:val="left" w:leader="none"/>
        </w:tabs>
        <w:spacing w:line="249" w:lineRule="auto" w:before="4" w:after="0"/>
        <w:ind w:left="1074" w:right="1271" w:firstLine="340"/>
        <w:jc w:val="both"/>
        <w:rPr>
          <w:sz w:val="20"/>
        </w:rPr>
      </w:pPr>
      <w:r>
        <w:rPr>
          <w:sz w:val="20"/>
        </w:rPr>
        <w:t>Igualmente, vendrán obligados durante la vigencia del contrato de seguro en que hayan intervenido a facilitar al tomador, al asegurado y al beneficiario del seguro la información que reclamen sobre cualquiera de las cláusulas de la póliza y, en caso de siniestro, a prestarles su asistencia y</w:t>
      </w:r>
      <w:r>
        <w:rPr>
          <w:spacing w:val="-6"/>
          <w:sz w:val="20"/>
        </w:rPr>
        <w:t> </w:t>
      </w:r>
      <w:r>
        <w:rPr>
          <w:sz w:val="20"/>
        </w:rPr>
        <w:t>asesoramiento.</w:t>
      </w:r>
    </w:p>
    <w:p>
      <w:pPr>
        <w:pStyle w:val="BodyText"/>
        <w:spacing w:before="6"/>
        <w:ind w:left="0" w:firstLine="0"/>
        <w:jc w:val="left"/>
      </w:pPr>
    </w:p>
    <w:p>
      <w:pPr>
        <w:spacing w:before="0"/>
        <w:ind w:left="1074" w:right="0" w:firstLine="0"/>
        <w:jc w:val="both"/>
        <w:rPr>
          <w:i/>
          <w:sz w:val="20"/>
        </w:rPr>
      </w:pPr>
      <w:bookmarkStart w:name="Artículo 156. Relaciones con las entidad" w:id="255"/>
      <w:bookmarkEnd w:id="255"/>
      <w:r>
        <w:rPr/>
      </w:r>
      <w:r>
        <w:rPr>
          <w:b/>
          <w:sz w:val="20"/>
        </w:rPr>
        <w:t>Artículo 156. </w:t>
      </w:r>
      <w:r>
        <w:rPr>
          <w:i/>
          <w:sz w:val="20"/>
        </w:rPr>
        <w:t>Relaciones con las entidades aseguradoras y con los clientes.</w:t>
      </w:r>
    </w:p>
    <w:p>
      <w:pPr>
        <w:pStyle w:val="ListParagraph"/>
        <w:numPr>
          <w:ilvl w:val="0"/>
          <w:numId w:val="266"/>
        </w:numPr>
        <w:tabs>
          <w:tab w:pos="1728" w:val="left" w:leader="none"/>
        </w:tabs>
        <w:spacing w:line="249" w:lineRule="auto" w:before="118" w:after="0"/>
        <w:ind w:left="1074" w:right="1274" w:firstLine="340"/>
        <w:jc w:val="both"/>
        <w:rPr>
          <w:sz w:val="20"/>
        </w:rPr>
      </w:pPr>
      <w:r>
        <w:rPr>
          <w:sz w:val="20"/>
        </w:rPr>
        <w:t>Las relaciones con las entidades aseguradoras derivadas de la actividad de distribución de seguros por parte del corredor de seguros, se regirán por los pactos que las partes acuerden libremente, sin que dichos pactos puedan en ningún caso afectar a su independencia.</w:t>
      </w:r>
    </w:p>
    <w:p>
      <w:pPr>
        <w:pStyle w:val="ListParagraph"/>
        <w:numPr>
          <w:ilvl w:val="0"/>
          <w:numId w:val="266"/>
        </w:numPr>
        <w:tabs>
          <w:tab w:pos="1659" w:val="left" w:leader="none"/>
        </w:tabs>
        <w:spacing w:line="249" w:lineRule="auto" w:before="3" w:after="0"/>
        <w:ind w:left="1074" w:right="1274" w:firstLine="340"/>
        <w:jc w:val="both"/>
        <w:rPr>
          <w:sz w:val="20"/>
        </w:rPr>
      </w:pPr>
      <w:r>
        <w:rPr>
          <w:sz w:val="20"/>
        </w:rPr>
        <w:t>Las relaciones entre el corredor de seguros y el cliente derivadas de la actividad de distribución de seguros, se regirán por los pactos que las partes acuerden libremente y, supletoriamente, por los preceptos que el Código de Comercio dedica a la comisión mercantil.</w:t>
      </w:r>
    </w:p>
    <w:p>
      <w:pPr>
        <w:pStyle w:val="ListParagraph"/>
        <w:numPr>
          <w:ilvl w:val="0"/>
          <w:numId w:val="266"/>
        </w:numPr>
        <w:tabs>
          <w:tab w:pos="1642" w:val="left" w:leader="none"/>
        </w:tabs>
        <w:spacing w:line="249" w:lineRule="auto" w:before="3" w:after="0"/>
        <w:ind w:left="1074" w:right="1275" w:firstLine="340"/>
        <w:jc w:val="both"/>
        <w:rPr>
          <w:sz w:val="20"/>
        </w:rPr>
      </w:pPr>
      <w:r>
        <w:rPr>
          <w:sz w:val="20"/>
        </w:rPr>
        <w:t>La remuneración que perciba el corredor de seguros de la entidad aseguradora por su actividad de distribución de seguros revestirá la forma de</w:t>
      </w:r>
      <w:r>
        <w:rPr>
          <w:spacing w:val="-11"/>
          <w:sz w:val="20"/>
        </w:rPr>
        <w:t> </w:t>
      </w:r>
      <w:r>
        <w:rPr>
          <w:sz w:val="20"/>
        </w:rPr>
        <w:t>comisiones.</w:t>
      </w:r>
    </w:p>
    <w:p>
      <w:pPr>
        <w:pStyle w:val="BodyText"/>
        <w:spacing w:line="249" w:lineRule="auto"/>
        <w:ind w:right="1272"/>
      </w:pPr>
      <w:r>
        <w:rPr/>
        <w:t>El corredor y el cliente podrán acordar por escrito que la remuneración del corredor incluya honorarios profesionales que se facturen directamente al cliente, expidiendo en este caso una factura independiente por dichos honorarios de forma separada al recibo de prima emitido por la entidad aseguradora.</w:t>
      </w:r>
    </w:p>
    <w:p>
      <w:pPr>
        <w:pStyle w:val="ListParagraph"/>
        <w:numPr>
          <w:ilvl w:val="0"/>
          <w:numId w:val="266"/>
        </w:numPr>
        <w:tabs>
          <w:tab w:pos="1644" w:val="left" w:leader="none"/>
        </w:tabs>
        <w:spacing w:line="249" w:lineRule="auto" w:before="3" w:after="0"/>
        <w:ind w:left="1074" w:right="1273" w:firstLine="340"/>
        <w:jc w:val="both"/>
        <w:rPr>
          <w:sz w:val="20"/>
        </w:rPr>
      </w:pPr>
      <w:r>
        <w:rPr>
          <w:sz w:val="20"/>
        </w:rPr>
        <w:t>El pago del importe de la prima efectuado por el tomador del seguro al corredor no se entenderá realizado a la entidad aseguradora, salvo que, a cambio, el corredor entregue al tomador del seguro el recibo de prima de la entidad</w:t>
      </w:r>
      <w:r>
        <w:rPr>
          <w:spacing w:val="-13"/>
          <w:sz w:val="20"/>
        </w:rPr>
        <w:t> </w:t>
      </w:r>
      <w:r>
        <w:rPr>
          <w:sz w:val="20"/>
        </w:rPr>
        <w:t>aseguradora.</w:t>
      </w:r>
    </w:p>
    <w:p>
      <w:pPr>
        <w:pStyle w:val="ListParagraph"/>
        <w:numPr>
          <w:ilvl w:val="0"/>
          <w:numId w:val="266"/>
        </w:numPr>
        <w:tabs>
          <w:tab w:pos="1644" w:val="left" w:leader="none"/>
        </w:tabs>
        <w:spacing w:line="249" w:lineRule="auto" w:before="3" w:after="0"/>
        <w:ind w:left="1074" w:right="1271" w:firstLine="340"/>
        <w:jc w:val="both"/>
        <w:rPr>
          <w:sz w:val="20"/>
        </w:rPr>
      </w:pPr>
      <w:r>
        <w:rPr>
          <w:sz w:val="20"/>
        </w:rPr>
        <w:t>En todo caso, se precisará el consentimiento del tomador del seguro para modificar la posición mediadora en el contrato de seguro en</w:t>
      </w:r>
      <w:r>
        <w:rPr>
          <w:spacing w:val="-7"/>
          <w:sz w:val="20"/>
        </w:rPr>
        <w:t> </w:t>
      </w:r>
      <w:r>
        <w:rPr>
          <w:sz w:val="20"/>
        </w:rPr>
        <w:t>vigor.</w:t>
      </w:r>
    </w:p>
    <w:p>
      <w:pPr>
        <w:pStyle w:val="BodyText"/>
        <w:spacing w:line="249" w:lineRule="auto" w:before="1"/>
        <w:ind w:right="1273"/>
      </w:pPr>
      <w:r>
        <w:rPr/>
        <w:t>Las comunicaciones efectuadas en cuanto al cambio de la posición mediadora por un corredor de seguros autorizado expresamente por el tomador y en su nombre, a la entidad aseguradora, surtirán los mismos efectos que si la realizara el propio tomador, salvo indicación en contrario de este.</w:t>
      </w:r>
    </w:p>
    <w:p>
      <w:pPr>
        <w:pStyle w:val="BodyText"/>
        <w:spacing w:before="6"/>
        <w:ind w:left="0" w:firstLine="0"/>
        <w:jc w:val="left"/>
      </w:pPr>
    </w:p>
    <w:p>
      <w:pPr>
        <w:spacing w:before="0"/>
        <w:ind w:left="1074" w:right="0" w:firstLine="0"/>
        <w:jc w:val="both"/>
        <w:rPr>
          <w:i/>
          <w:sz w:val="20"/>
        </w:rPr>
      </w:pPr>
      <w:bookmarkStart w:name="Artículo 157. Requisitos de los corredor" w:id="256"/>
      <w:bookmarkEnd w:id="256"/>
      <w:r>
        <w:rPr/>
      </w:r>
      <w:r>
        <w:rPr>
          <w:b/>
          <w:sz w:val="20"/>
        </w:rPr>
        <w:t>Artículo 157. </w:t>
      </w:r>
      <w:r>
        <w:rPr>
          <w:i/>
          <w:sz w:val="20"/>
        </w:rPr>
        <w:t>Requisitos de los corredores de seguros.</w:t>
      </w:r>
    </w:p>
    <w:p>
      <w:pPr>
        <w:pStyle w:val="BodyText"/>
        <w:spacing w:line="249" w:lineRule="auto" w:before="118"/>
        <w:ind w:right="1273"/>
      </w:pPr>
      <w:r>
        <w:rPr/>
        <w:t>1. Para figurar inscrito como corredor de seguros en el registro administrativo previsto en el artículo 133, será necesario cumplir y mantener en todo momento los siguientes  requisitos:</w:t>
      </w:r>
    </w:p>
    <w:p>
      <w:pPr>
        <w:pStyle w:val="ListParagraph"/>
        <w:numPr>
          <w:ilvl w:val="0"/>
          <w:numId w:val="267"/>
        </w:numPr>
        <w:tabs>
          <w:tab w:pos="1695" w:val="left" w:leader="none"/>
        </w:tabs>
        <w:spacing w:line="249" w:lineRule="auto" w:before="122" w:after="0"/>
        <w:ind w:left="1074" w:right="1272" w:firstLine="340"/>
        <w:jc w:val="both"/>
        <w:rPr>
          <w:sz w:val="20"/>
        </w:rPr>
      </w:pPr>
      <w:r>
        <w:rPr>
          <w:sz w:val="20"/>
        </w:rPr>
        <w:t>Los corredores de seguros, personas físicas, deberán tener capacidad legal para ejercer el comercio, y en el caso de las personas jurídicas, deberán ser sociedades mercantiles o cooperativas inscritas en el Registro Mercantil y registro de cooperativas correspondiente, previamente a la solicitud de inscripción administrativa, cuyos estatutos prevean, dentro del apartado correspondiente al objeto social, la realización de actividades de distribución de seguros como corredor de seguros. Cuando la sociedad sea por acciones, estas habrán de ser</w:t>
      </w:r>
      <w:r>
        <w:rPr>
          <w:spacing w:val="-4"/>
          <w:sz w:val="20"/>
        </w:rPr>
        <w:t> </w:t>
      </w:r>
      <w:r>
        <w:rPr>
          <w:sz w:val="20"/>
        </w:rPr>
        <w:t>nominativas.</w:t>
      </w:r>
    </w:p>
    <w:p>
      <w:pPr>
        <w:pStyle w:val="ListParagraph"/>
        <w:numPr>
          <w:ilvl w:val="0"/>
          <w:numId w:val="267"/>
        </w:numPr>
        <w:tabs>
          <w:tab w:pos="1688" w:val="left" w:leader="none"/>
        </w:tabs>
        <w:spacing w:line="249" w:lineRule="auto" w:before="6" w:after="0"/>
        <w:ind w:left="1074" w:right="1273" w:firstLine="340"/>
        <w:jc w:val="both"/>
        <w:rPr>
          <w:sz w:val="20"/>
        </w:rPr>
      </w:pPr>
      <w:r>
        <w:rPr>
          <w:sz w:val="20"/>
        </w:rPr>
        <w:t>Presentar un programa de actividades en el que se deberá indicar, al menos, los ramos</w:t>
      </w:r>
      <w:r>
        <w:rPr>
          <w:spacing w:val="15"/>
          <w:sz w:val="20"/>
        </w:rPr>
        <w:t> </w:t>
      </w:r>
      <w:r>
        <w:rPr>
          <w:sz w:val="20"/>
        </w:rPr>
        <w:t>de</w:t>
      </w:r>
      <w:r>
        <w:rPr>
          <w:spacing w:val="16"/>
          <w:sz w:val="20"/>
        </w:rPr>
        <w:t> </w:t>
      </w:r>
      <w:r>
        <w:rPr>
          <w:sz w:val="20"/>
        </w:rPr>
        <w:t>seguro</w:t>
      </w:r>
      <w:r>
        <w:rPr>
          <w:spacing w:val="15"/>
          <w:sz w:val="20"/>
        </w:rPr>
        <w:t> </w:t>
      </w:r>
      <w:r>
        <w:rPr>
          <w:sz w:val="20"/>
        </w:rPr>
        <w:t>y</w:t>
      </w:r>
      <w:r>
        <w:rPr>
          <w:spacing w:val="16"/>
          <w:sz w:val="20"/>
        </w:rPr>
        <w:t> </w:t>
      </w:r>
      <w:r>
        <w:rPr>
          <w:sz w:val="20"/>
        </w:rPr>
        <w:t>la</w:t>
      </w:r>
      <w:r>
        <w:rPr>
          <w:spacing w:val="15"/>
          <w:sz w:val="20"/>
        </w:rPr>
        <w:t> </w:t>
      </w:r>
      <w:r>
        <w:rPr>
          <w:sz w:val="20"/>
        </w:rPr>
        <w:t>clase</w:t>
      </w:r>
      <w:r>
        <w:rPr>
          <w:spacing w:val="16"/>
          <w:sz w:val="20"/>
        </w:rPr>
        <w:t> </w:t>
      </w:r>
      <w:r>
        <w:rPr>
          <w:sz w:val="20"/>
        </w:rPr>
        <w:t>de</w:t>
      </w:r>
      <w:r>
        <w:rPr>
          <w:spacing w:val="15"/>
          <w:sz w:val="20"/>
        </w:rPr>
        <w:t> </w:t>
      </w:r>
      <w:r>
        <w:rPr>
          <w:sz w:val="20"/>
        </w:rPr>
        <w:t>riesgos</w:t>
      </w:r>
      <w:r>
        <w:rPr>
          <w:spacing w:val="16"/>
          <w:sz w:val="20"/>
        </w:rPr>
        <w:t> </w:t>
      </w:r>
      <w:r>
        <w:rPr>
          <w:sz w:val="20"/>
        </w:rPr>
        <w:t>en</w:t>
      </w:r>
      <w:r>
        <w:rPr>
          <w:spacing w:val="15"/>
          <w:sz w:val="20"/>
        </w:rPr>
        <w:t> </w:t>
      </w:r>
      <w:r>
        <w:rPr>
          <w:sz w:val="20"/>
        </w:rPr>
        <w:t>que</w:t>
      </w:r>
      <w:r>
        <w:rPr>
          <w:spacing w:val="16"/>
          <w:sz w:val="20"/>
        </w:rPr>
        <w:t> </w:t>
      </w:r>
      <w:r>
        <w:rPr>
          <w:sz w:val="20"/>
        </w:rPr>
        <w:t>se</w:t>
      </w:r>
      <w:r>
        <w:rPr>
          <w:spacing w:val="16"/>
          <w:sz w:val="20"/>
        </w:rPr>
        <w:t> </w:t>
      </w:r>
      <w:r>
        <w:rPr>
          <w:sz w:val="20"/>
        </w:rPr>
        <w:t>proyecte</w:t>
      </w:r>
      <w:r>
        <w:rPr>
          <w:spacing w:val="15"/>
          <w:sz w:val="20"/>
        </w:rPr>
        <w:t> </w:t>
      </w:r>
      <w:r>
        <w:rPr>
          <w:sz w:val="20"/>
        </w:rPr>
        <w:t>mediar,</w:t>
      </w:r>
      <w:r>
        <w:rPr>
          <w:spacing w:val="16"/>
          <w:sz w:val="20"/>
        </w:rPr>
        <w:t> </w:t>
      </w:r>
      <w:r>
        <w:rPr>
          <w:sz w:val="20"/>
        </w:rPr>
        <w:t>los</w:t>
      </w:r>
      <w:r>
        <w:rPr>
          <w:spacing w:val="15"/>
          <w:sz w:val="20"/>
        </w:rPr>
        <w:t> </w:t>
      </w:r>
      <w:r>
        <w:rPr>
          <w:sz w:val="20"/>
        </w:rPr>
        <w:t>principios</w:t>
      </w:r>
      <w:r>
        <w:rPr>
          <w:spacing w:val="16"/>
          <w:sz w:val="20"/>
        </w:rPr>
        <w:t> </w:t>
      </w:r>
      <w:r>
        <w:rPr>
          <w:sz w:val="20"/>
        </w:rPr>
        <w:t>rectores</w:t>
      </w:r>
      <w:r>
        <w:rPr>
          <w:spacing w:val="15"/>
          <w:sz w:val="20"/>
        </w:rPr>
        <w:t> </w:t>
      </w:r>
      <w:r>
        <w:rPr>
          <w:sz w:val="20"/>
        </w:rPr>
        <w:t>y</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ámbito territorial de su actuación; la estructura de la organización, que incluya los sistemas de comercialización; los medios personales y materiales de los que se vaya a disponer para el cumplimiento de dicho programa y los mecanismos adoptados para la solución de conflictos por quejas y reclamaciones de los clientes. Además, para los tres primeros ejercicios sociales, deberá contener un plan en el que se indiquen de forma detallada las previsiones de ingresos y gastos, en particular los gastos generales corrientes, y las previsiones relativas a primas de seguros que se van a distribuir, justificando las mismas, así como la adecuación a estas de los medios y recursos</w:t>
      </w:r>
      <w:r>
        <w:rPr>
          <w:spacing w:val="-12"/>
        </w:rPr>
        <w:t> </w:t>
      </w:r>
      <w:r>
        <w:rPr/>
        <w:t>disponibles.</w:t>
      </w:r>
    </w:p>
    <w:p>
      <w:pPr>
        <w:pStyle w:val="ListParagraph"/>
        <w:numPr>
          <w:ilvl w:val="0"/>
          <w:numId w:val="267"/>
        </w:numPr>
        <w:tabs>
          <w:tab w:pos="1664" w:val="left" w:leader="none"/>
        </w:tabs>
        <w:spacing w:line="249" w:lineRule="auto" w:before="6" w:after="0"/>
        <w:ind w:left="1074" w:right="1272" w:firstLine="340"/>
        <w:jc w:val="both"/>
        <w:rPr>
          <w:sz w:val="20"/>
        </w:rPr>
      </w:pPr>
      <w:r>
        <w:rPr>
          <w:sz w:val="20"/>
        </w:rPr>
        <w:t>Acreditar que los corredores de seguros, personas físicas, así como, en el caso de personas jurídicas, la persona responsable de la actividad de distribución o, en su caso, las personas que forman parte del órgano de dirección responsable de la actividad de distribución y todas las personas que participan directamente en la distribución de seguros, cumplen el requisito de honorabilidad comercial y profesional en los términos dispuestos en el artículo</w:t>
      </w:r>
      <w:r>
        <w:rPr>
          <w:spacing w:val="-3"/>
          <w:sz w:val="20"/>
        </w:rPr>
        <w:t> </w:t>
      </w:r>
      <w:r>
        <w:rPr>
          <w:sz w:val="20"/>
        </w:rPr>
        <w:t>128.</w:t>
      </w:r>
    </w:p>
    <w:p>
      <w:pPr>
        <w:pStyle w:val="BodyText"/>
        <w:spacing w:line="249" w:lineRule="auto" w:before="5"/>
        <w:ind w:right="1274"/>
      </w:pPr>
      <w:r>
        <w:rPr/>
        <w:t>Este requisito será igualmente aplicable a los administradores del corredor de seguros, persona jurídica.</w:t>
      </w:r>
    </w:p>
    <w:p>
      <w:pPr>
        <w:pStyle w:val="ListParagraph"/>
        <w:numPr>
          <w:ilvl w:val="0"/>
          <w:numId w:val="267"/>
        </w:numPr>
        <w:tabs>
          <w:tab w:pos="1666" w:val="left" w:leader="none"/>
        </w:tabs>
        <w:spacing w:line="249" w:lineRule="auto" w:before="2" w:after="0"/>
        <w:ind w:left="1074" w:right="1273" w:firstLine="340"/>
        <w:jc w:val="both"/>
        <w:rPr>
          <w:sz w:val="20"/>
        </w:rPr>
      </w:pPr>
      <w:r>
        <w:rPr>
          <w:sz w:val="20"/>
        </w:rPr>
        <w:t>Acreditar que los corredores de seguros, personas físicas y, en el caso de personas jurídicas, la persona responsable de la actividad de distribución o, en su caso, al menos la mitad de las personas que forman parte del órgano de dirección responsable de la actividad de distribución y todas las personas que participan directamente en la distribución de seguros, poseen los conocimientos y aptitudes apropiados mediante la superación de cursos de formación de acuerdo con lo previsto en el título I y en su normativa de</w:t>
      </w:r>
      <w:r>
        <w:rPr>
          <w:spacing w:val="-31"/>
          <w:sz w:val="20"/>
        </w:rPr>
        <w:t> </w:t>
      </w:r>
      <w:r>
        <w:rPr>
          <w:sz w:val="20"/>
        </w:rPr>
        <w:t>desarrollo.</w:t>
      </w:r>
    </w:p>
    <w:p>
      <w:pPr>
        <w:pStyle w:val="ListParagraph"/>
        <w:numPr>
          <w:ilvl w:val="0"/>
          <w:numId w:val="267"/>
        </w:numPr>
        <w:tabs>
          <w:tab w:pos="1662" w:val="left" w:leader="none"/>
        </w:tabs>
        <w:spacing w:line="249" w:lineRule="auto" w:before="5" w:after="0"/>
        <w:ind w:left="1074" w:right="1272" w:firstLine="340"/>
        <w:jc w:val="both"/>
        <w:rPr>
          <w:sz w:val="20"/>
        </w:rPr>
      </w:pPr>
      <w:r>
        <w:rPr>
          <w:sz w:val="20"/>
        </w:rPr>
        <w:t>Presentar un programa de formación continua aplicable tanto al corredor de seguros, persona física como, en el caso de corredor de seguros persona jurídica, a la persona responsable de la actividad de distribución o, en su caso, al menos a la mitad de las personas que forman parte del órgano de dirección responsable de la actividad de distribución. El programa también deberá aplicarse a todas las personas que participan directamente en la distribución de seguros. A estos efectos, la Dirección General de Seguros y Fondos de Pensiones establecerá mediante resolución, las líneas generales y los  principios básicos que, en cuanto a su contenido, organización y ejecución, habrán de cumplir los cursos de formación inicial y continua relativos a todas las personas a las que se refiere la letra d) del presente apartado, que podrán ser impartidos por los corredores de acuerdo con lo previsto en el título I y en su normativa de</w:t>
      </w:r>
      <w:r>
        <w:rPr>
          <w:spacing w:val="-17"/>
          <w:sz w:val="20"/>
        </w:rPr>
        <w:t> </w:t>
      </w:r>
      <w:r>
        <w:rPr>
          <w:sz w:val="20"/>
        </w:rPr>
        <w:t>desarrollo.</w:t>
      </w:r>
    </w:p>
    <w:p>
      <w:pPr>
        <w:pStyle w:val="ListParagraph"/>
        <w:numPr>
          <w:ilvl w:val="0"/>
          <w:numId w:val="267"/>
        </w:numPr>
        <w:tabs>
          <w:tab w:pos="1606" w:val="left" w:leader="none"/>
        </w:tabs>
        <w:spacing w:line="249" w:lineRule="auto" w:before="9" w:after="0"/>
        <w:ind w:left="1074" w:right="1272" w:firstLine="340"/>
        <w:jc w:val="both"/>
        <w:rPr>
          <w:sz w:val="20"/>
        </w:rPr>
      </w:pPr>
      <w:r>
        <w:rPr>
          <w:sz w:val="20"/>
        </w:rPr>
        <w:t>Disponer de una capacidad financiera que deberá en todo momento alcanzar el 4 por ciento del total de las primas anuales percibidas, sin que pueda ser inferior a 19.510 euros, salvo que contractualmente se haya pactado de forma expresa con las entidades aseguradoras que los importes abonados por los clientes se realizarán directamente en cuentas de pago de titularidad de aquellas, o que, en su caso, el corredor de seguros ofrezca al tomador una cobertura inmediata, siempre y cuando la entidad aseguradora haya autorizado al corredor a recibir en nombre y por cuenta de esta las primas satisfechas por los tomadores, entregando el recibo de prima emitido por la entidad aseguradora, y, en uno y otro caso, que las cantidades abonadas en concepto de indemnizaciones se entregarán directamente por las entidades aseguradoras a los tomadores de seguros, asegurados o beneficiarios.</w:t>
      </w:r>
    </w:p>
    <w:p>
      <w:pPr>
        <w:pStyle w:val="BodyText"/>
        <w:spacing w:line="249" w:lineRule="auto" w:before="9"/>
        <w:ind w:right="1272"/>
      </w:pPr>
      <w:r>
        <w:rPr/>
        <w:t>La capacidad financiera podrá acreditarse mediante la contratación de un aval emitido por una entidad financiera o de un seguro de caución, con objeto de proteger a los clientes frente a la incapacidad de los corredores de seguros para transferir la prima a la entidad aseguradora o para transferir la cantidad de la indemnización o el reembolso de la prima al asegurado.</w:t>
      </w:r>
    </w:p>
    <w:p>
      <w:pPr>
        <w:pStyle w:val="BodyText"/>
        <w:spacing w:before="4"/>
        <w:ind w:left="1414" w:firstLine="0"/>
      </w:pPr>
      <w:r>
        <w:rPr/>
        <w:t>Lo anterior se entiende sin perjuicio de lo dispuesto en el artículo 136.4.</w:t>
      </w:r>
    </w:p>
    <w:p>
      <w:pPr>
        <w:pStyle w:val="ListParagraph"/>
        <w:numPr>
          <w:ilvl w:val="0"/>
          <w:numId w:val="267"/>
        </w:numPr>
        <w:tabs>
          <w:tab w:pos="1698" w:val="left" w:leader="none"/>
        </w:tabs>
        <w:spacing w:line="249" w:lineRule="auto" w:before="10" w:after="0"/>
        <w:ind w:left="1074" w:right="1271" w:firstLine="340"/>
        <w:jc w:val="both"/>
        <w:rPr>
          <w:sz w:val="20"/>
        </w:rPr>
      </w:pPr>
      <w:r>
        <w:rPr>
          <w:sz w:val="20"/>
        </w:rPr>
        <w:t>Contratar un seguro de responsabilidad civil profesional o cualquier otra garantía financiera que cubra en todo el territorio de la Unión Europea las responsabilidades que pudieran surgir por negligencia profesional, con una cuantía de, al menos 1.300.380 euros por siniestro y, en suma, 1.924.560 euros para todos los siniestros correspondientes a un determinado</w:t>
      </w:r>
      <w:r>
        <w:rPr>
          <w:spacing w:val="-2"/>
          <w:sz w:val="20"/>
        </w:rPr>
        <w:t> </w:t>
      </w:r>
      <w:r>
        <w:rPr>
          <w:sz w:val="20"/>
        </w:rPr>
        <w:t>año.</w:t>
      </w:r>
    </w:p>
    <w:p>
      <w:pPr>
        <w:pStyle w:val="BodyText"/>
        <w:spacing w:line="249" w:lineRule="auto" w:before="4"/>
        <w:ind w:right="1275"/>
      </w:pPr>
      <w:r>
        <w:rPr/>
        <w:t>En el caso de que el corredor de seguros ejerza su actividad en determinados productos bajo la dirección de otro corredor que asuma la total responsabilidad de los actos de aquel, deberá informar previamente por escrito de ello al cliente.</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67"/>
        </w:numPr>
        <w:tabs>
          <w:tab w:pos="1648" w:val="left" w:leader="none"/>
        </w:tabs>
        <w:spacing w:line="240" w:lineRule="auto" w:before="127" w:after="0"/>
        <w:ind w:left="1647" w:right="0" w:hanging="234"/>
        <w:jc w:val="left"/>
        <w:rPr>
          <w:sz w:val="20"/>
        </w:rPr>
      </w:pPr>
      <w:r>
        <w:rPr>
          <w:sz w:val="20"/>
        </w:rPr>
        <w:t>Aportar y mantener</w:t>
      </w:r>
      <w:r>
        <w:rPr>
          <w:spacing w:val="-1"/>
          <w:sz w:val="20"/>
        </w:rPr>
        <w:t> </w:t>
      </w:r>
      <w:r>
        <w:rPr>
          <w:sz w:val="20"/>
        </w:rPr>
        <w:t>actualizada:</w:t>
      </w:r>
    </w:p>
    <w:p>
      <w:pPr>
        <w:pStyle w:val="ListParagraph"/>
        <w:numPr>
          <w:ilvl w:val="0"/>
          <w:numId w:val="268"/>
        </w:numPr>
        <w:tabs>
          <w:tab w:pos="1583" w:val="left" w:leader="none"/>
        </w:tabs>
        <w:spacing w:line="249" w:lineRule="auto" w:before="130" w:after="0"/>
        <w:ind w:left="1074" w:right="1273" w:firstLine="340"/>
        <w:jc w:val="both"/>
        <w:rPr>
          <w:sz w:val="20"/>
        </w:rPr>
      </w:pPr>
      <w:r>
        <w:rPr>
          <w:sz w:val="20"/>
        </w:rPr>
        <w:t>º Información sobre la identidad de los accionistas o socios, ya sean personas físicas o jurídicas, que posean en el corredor de seguros una participación directa o indirecta del 10 por ciento o superior de los derechos de voto o del</w:t>
      </w:r>
      <w:r>
        <w:rPr>
          <w:spacing w:val="-11"/>
          <w:sz w:val="20"/>
        </w:rPr>
        <w:t> </w:t>
      </w:r>
      <w:r>
        <w:rPr>
          <w:sz w:val="20"/>
        </w:rPr>
        <w:t>capital.</w:t>
      </w:r>
    </w:p>
    <w:p>
      <w:pPr>
        <w:pStyle w:val="ListParagraph"/>
        <w:numPr>
          <w:ilvl w:val="0"/>
          <w:numId w:val="268"/>
        </w:numPr>
        <w:tabs>
          <w:tab w:pos="1583" w:val="left" w:leader="none"/>
        </w:tabs>
        <w:spacing w:line="249" w:lineRule="auto" w:before="2" w:after="0"/>
        <w:ind w:left="1074" w:right="1272" w:firstLine="340"/>
        <w:jc w:val="both"/>
        <w:rPr>
          <w:sz w:val="20"/>
        </w:rPr>
      </w:pPr>
      <w:r>
        <w:rPr>
          <w:sz w:val="20"/>
        </w:rPr>
        <w:t>º Información sobre la identidad de las personas que posean vínculos estrechos con el corredor de</w:t>
      </w:r>
      <w:r>
        <w:rPr>
          <w:spacing w:val="-2"/>
          <w:sz w:val="20"/>
        </w:rPr>
        <w:t> </w:t>
      </w:r>
      <w:r>
        <w:rPr>
          <w:sz w:val="20"/>
        </w:rPr>
        <w:t>seguros.</w:t>
      </w:r>
    </w:p>
    <w:p>
      <w:pPr>
        <w:pStyle w:val="ListParagraph"/>
        <w:numPr>
          <w:ilvl w:val="0"/>
          <w:numId w:val="268"/>
        </w:numPr>
        <w:tabs>
          <w:tab w:pos="1583" w:val="left" w:leader="none"/>
        </w:tabs>
        <w:spacing w:line="249" w:lineRule="auto" w:before="2" w:after="0"/>
        <w:ind w:left="1074" w:right="1271" w:firstLine="340"/>
        <w:jc w:val="both"/>
        <w:rPr>
          <w:sz w:val="20"/>
        </w:rPr>
      </w:pPr>
      <w:r>
        <w:rPr>
          <w:sz w:val="20"/>
        </w:rPr>
        <w:t>º Información de que dichas participaciones o vínculos estrechos no impiden a la Dirección General de Seguros y Fondos de Pensiones el ejercicio efectivo de sus funciones de</w:t>
      </w:r>
      <w:r>
        <w:rPr>
          <w:spacing w:val="-1"/>
          <w:sz w:val="20"/>
        </w:rPr>
        <w:t> </w:t>
      </w:r>
      <w:r>
        <w:rPr>
          <w:sz w:val="20"/>
        </w:rPr>
        <w:t>supervisión.</w:t>
      </w:r>
    </w:p>
    <w:p>
      <w:pPr>
        <w:pStyle w:val="BodyText"/>
        <w:spacing w:before="122"/>
        <w:ind w:left="1414" w:firstLine="0"/>
        <w:jc w:val="left"/>
      </w:pPr>
      <w:r>
        <w:rPr/>
        <w:t>i) No incurrir en las causas de incompatibilidad previstas en el artículo 159.</w:t>
      </w:r>
    </w:p>
    <w:p>
      <w:pPr>
        <w:pStyle w:val="ListParagraph"/>
        <w:numPr>
          <w:ilvl w:val="0"/>
          <w:numId w:val="269"/>
        </w:numPr>
        <w:tabs>
          <w:tab w:pos="1670" w:val="left" w:leader="none"/>
        </w:tabs>
        <w:spacing w:line="249" w:lineRule="auto" w:before="130" w:after="0"/>
        <w:ind w:left="1074" w:right="1272" w:firstLine="340"/>
        <w:jc w:val="both"/>
        <w:rPr>
          <w:sz w:val="20"/>
        </w:rPr>
      </w:pPr>
      <w:r>
        <w:rPr>
          <w:sz w:val="20"/>
        </w:rPr>
        <w:t>El corredor de seguros dirigirá la solicitud de inscripción a la Dirección General de Seguros y Fondos de Pensiones, que deberá ir acompañada de los documentos acreditativos del cumplimiento de los requisitos a que se refiere el apartado anterior. El plazo máximo en que debe notificarse la resolución expresa de la solicitud será de tres meses a partir de la fecha de presentación de la solicitud de inscripción. La solicitud de inscripción será denegada cuando no se acredite el cumplimiento de los requisitos exigidos para su concesión.</w:t>
      </w:r>
    </w:p>
    <w:p>
      <w:pPr>
        <w:pStyle w:val="ListParagraph"/>
        <w:numPr>
          <w:ilvl w:val="0"/>
          <w:numId w:val="269"/>
        </w:numPr>
        <w:tabs>
          <w:tab w:pos="1654" w:val="left" w:leader="none"/>
        </w:tabs>
        <w:spacing w:line="249" w:lineRule="auto" w:before="6" w:after="0"/>
        <w:ind w:left="1074" w:right="1272" w:firstLine="340"/>
        <w:jc w:val="both"/>
        <w:rPr>
          <w:sz w:val="20"/>
        </w:rPr>
      </w:pPr>
      <w:r>
        <w:rPr>
          <w:sz w:val="20"/>
        </w:rPr>
        <w:t>El corredor de seguros deberá, en un plazo máximo de quince días hábiles desde el acuerdo de modificación, notificar a la Dirección General de Seguros y Fondos de Pensiones los cambios en la información facilitada de conformidad con el apartado anterior, que sean relativos a los actos sujetos a inscripción en el registro administrativo de distribuidores de seguros y reaseguros de acuerdo con lo dispuesto en la disposición adicional octava del Real Decreto 1060/2015, de 20 de</w:t>
      </w:r>
      <w:r>
        <w:rPr>
          <w:spacing w:val="-9"/>
          <w:sz w:val="20"/>
        </w:rPr>
        <w:t> </w:t>
      </w:r>
      <w:r>
        <w:rPr>
          <w:sz w:val="20"/>
        </w:rPr>
        <w:t>noviembre.</w:t>
      </w:r>
    </w:p>
    <w:p>
      <w:pPr>
        <w:pStyle w:val="ListParagraph"/>
        <w:numPr>
          <w:ilvl w:val="0"/>
          <w:numId w:val="269"/>
        </w:numPr>
        <w:tabs>
          <w:tab w:pos="1682" w:val="left" w:leader="none"/>
        </w:tabs>
        <w:spacing w:line="249" w:lineRule="auto" w:before="5" w:after="0"/>
        <w:ind w:left="1074" w:right="1274" w:firstLine="340"/>
        <w:jc w:val="both"/>
        <w:rPr>
          <w:sz w:val="20"/>
        </w:rPr>
      </w:pPr>
      <w:r>
        <w:rPr>
          <w:sz w:val="20"/>
        </w:rPr>
        <w:t>Las cuantías mencionadas en el apartado 1.f) y g) quedarán modificadas por las actualizaciones que establezca la Autoridad Europea de Seguros y Pensiones de</w:t>
      </w:r>
      <w:r>
        <w:rPr>
          <w:spacing w:val="-30"/>
          <w:sz w:val="20"/>
        </w:rPr>
        <w:t> </w:t>
      </w:r>
      <w:r>
        <w:rPr>
          <w:sz w:val="20"/>
        </w:rPr>
        <w:t>Jubilación.</w:t>
      </w:r>
    </w:p>
    <w:p>
      <w:pPr>
        <w:pStyle w:val="BodyText"/>
        <w:spacing w:line="249" w:lineRule="auto"/>
        <w:ind w:right="1273"/>
      </w:pPr>
      <w:r>
        <w:rPr/>
        <w:t>A dichos efectos, para facilitar su conocimiento y aplicación, por resolución de la Dirección General de Seguros y Fondos de Pensiones se harán públicas dichas actualizaciones.</w:t>
      </w:r>
    </w:p>
    <w:p>
      <w:pPr>
        <w:pStyle w:val="BodyText"/>
        <w:spacing w:before="4"/>
        <w:ind w:left="0" w:firstLine="0"/>
        <w:jc w:val="left"/>
      </w:pPr>
    </w:p>
    <w:p>
      <w:pPr>
        <w:spacing w:line="249" w:lineRule="auto" w:before="1"/>
        <w:ind w:left="1074" w:right="1274" w:hanging="1"/>
        <w:jc w:val="both"/>
        <w:rPr>
          <w:i/>
          <w:sz w:val="20"/>
        </w:rPr>
      </w:pPr>
      <w:bookmarkStart w:name="Artículo 158. Publicidad y documentación" w:id="257"/>
      <w:bookmarkEnd w:id="257"/>
      <w:r>
        <w:rPr/>
      </w:r>
      <w:r>
        <w:rPr>
          <w:b/>
          <w:sz w:val="20"/>
        </w:rPr>
        <w:t>Artículo 158. </w:t>
      </w:r>
      <w:r>
        <w:rPr>
          <w:i/>
          <w:sz w:val="20"/>
        </w:rPr>
        <w:t>Publicidad y documentación mercantil de la actividad de distribución de </w:t>
      </w:r>
      <w:r>
        <w:rPr>
          <w:i/>
          <w:sz w:val="20"/>
        </w:rPr>
        <w:t>seguros privados de los corredores de</w:t>
      </w:r>
      <w:r>
        <w:rPr>
          <w:i/>
          <w:spacing w:val="-5"/>
          <w:sz w:val="20"/>
        </w:rPr>
        <w:t> </w:t>
      </w:r>
      <w:r>
        <w:rPr>
          <w:i/>
          <w:sz w:val="20"/>
        </w:rPr>
        <w:t>seguros.</w:t>
      </w:r>
    </w:p>
    <w:p>
      <w:pPr>
        <w:pStyle w:val="ListParagraph"/>
        <w:numPr>
          <w:ilvl w:val="0"/>
          <w:numId w:val="270"/>
        </w:numPr>
        <w:tabs>
          <w:tab w:pos="1651" w:val="left" w:leader="none"/>
        </w:tabs>
        <w:spacing w:line="249" w:lineRule="auto" w:before="109" w:after="0"/>
        <w:ind w:left="1074" w:right="1274" w:firstLine="340"/>
        <w:jc w:val="both"/>
        <w:rPr>
          <w:sz w:val="20"/>
        </w:rPr>
      </w:pPr>
      <w:r>
        <w:rPr>
          <w:sz w:val="20"/>
        </w:rPr>
        <w:t>En la publicidad y en la documentación mercantil de distribución de seguros privados de</w:t>
      </w:r>
      <w:r>
        <w:rPr>
          <w:spacing w:val="12"/>
          <w:sz w:val="20"/>
        </w:rPr>
        <w:t> </w:t>
      </w:r>
      <w:r>
        <w:rPr>
          <w:sz w:val="20"/>
        </w:rPr>
        <w:t>los</w:t>
      </w:r>
      <w:r>
        <w:rPr>
          <w:spacing w:val="12"/>
          <w:sz w:val="20"/>
        </w:rPr>
        <w:t> </w:t>
      </w:r>
      <w:r>
        <w:rPr>
          <w:sz w:val="20"/>
        </w:rPr>
        <w:t>corredores</w:t>
      </w:r>
      <w:r>
        <w:rPr>
          <w:spacing w:val="12"/>
          <w:sz w:val="20"/>
        </w:rPr>
        <w:t> </w:t>
      </w:r>
      <w:r>
        <w:rPr>
          <w:sz w:val="20"/>
        </w:rPr>
        <w:t>de</w:t>
      </w:r>
      <w:r>
        <w:rPr>
          <w:spacing w:val="12"/>
          <w:sz w:val="20"/>
        </w:rPr>
        <w:t> </w:t>
      </w:r>
      <w:r>
        <w:rPr>
          <w:sz w:val="20"/>
        </w:rPr>
        <w:t>seguros,</w:t>
      </w:r>
      <w:r>
        <w:rPr>
          <w:spacing w:val="12"/>
          <w:sz w:val="20"/>
        </w:rPr>
        <w:t> </w:t>
      </w:r>
      <w:r>
        <w:rPr>
          <w:sz w:val="20"/>
        </w:rPr>
        <w:t>deberán</w:t>
      </w:r>
      <w:r>
        <w:rPr>
          <w:spacing w:val="13"/>
          <w:sz w:val="20"/>
        </w:rPr>
        <w:t> </w:t>
      </w:r>
      <w:r>
        <w:rPr>
          <w:sz w:val="20"/>
        </w:rPr>
        <w:t>figurar</w:t>
      </w:r>
      <w:r>
        <w:rPr>
          <w:spacing w:val="12"/>
          <w:sz w:val="20"/>
        </w:rPr>
        <w:t> </w:t>
      </w:r>
      <w:r>
        <w:rPr>
          <w:sz w:val="20"/>
        </w:rPr>
        <w:t>de</w:t>
      </w:r>
      <w:r>
        <w:rPr>
          <w:spacing w:val="12"/>
          <w:sz w:val="20"/>
        </w:rPr>
        <w:t> </w:t>
      </w:r>
      <w:r>
        <w:rPr>
          <w:sz w:val="20"/>
        </w:rPr>
        <w:t>manera</w:t>
      </w:r>
      <w:r>
        <w:rPr>
          <w:spacing w:val="12"/>
          <w:sz w:val="20"/>
        </w:rPr>
        <w:t> </w:t>
      </w:r>
      <w:r>
        <w:rPr>
          <w:sz w:val="20"/>
        </w:rPr>
        <w:t>destacada</w:t>
      </w:r>
      <w:r>
        <w:rPr>
          <w:spacing w:val="12"/>
          <w:sz w:val="20"/>
        </w:rPr>
        <w:t> </w:t>
      </w:r>
      <w:r>
        <w:rPr>
          <w:sz w:val="20"/>
        </w:rPr>
        <w:t>las</w:t>
      </w:r>
      <w:r>
        <w:rPr>
          <w:spacing w:val="13"/>
          <w:sz w:val="20"/>
        </w:rPr>
        <w:t> </w:t>
      </w:r>
      <w:r>
        <w:rPr>
          <w:sz w:val="20"/>
        </w:rPr>
        <w:t>expresiones</w:t>
      </w:r>
    </w:p>
    <w:p>
      <w:pPr>
        <w:pStyle w:val="BodyText"/>
        <w:spacing w:line="249" w:lineRule="auto" w:before="1"/>
        <w:ind w:right="1273" w:hanging="1"/>
      </w:pPr>
      <w:r>
        <w:rPr/>
        <w:t>«corredor de seguros» o «correduría de seguros». Igualmente, indicarán la circunstancia de estar inscrito en el registro administrativo previsto en el artículo 133 y tener concertado un seguro de responsabilidad civil u otra garantía financiera y, en su caso, disponer de la capacidad financiera exigida, con arreglo todo ello al artículo 157.</w:t>
      </w:r>
    </w:p>
    <w:p>
      <w:pPr>
        <w:pStyle w:val="ListParagraph"/>
        <w:numPr>
          <w:ilvl w:val="0"/>
          <w:numId w:val="270"/>
        </w:numPr>
        <w:tabs>
          <w:tab w:pos="1650" w:val="left" w:leader="none"/>
        </w:tabs>
        <w:spacing w:line="249" w:lineRule="auto" w:before="4" w:after="0"/>
        <w:ind w:left="1074" w:right="1273" w:firstLine="340"/>
        <w:jc w:val="both"/>
        <w:rPr>
          <w:sz w:val="20"/>
        </w:rPr>
      </w:pPr>
      <w:r>
        <w:rPr>
          <w:sz w:val="20"/>
        </w:rPr>
        <w:t>Cuando en el capital social de un corredor de seguros, persona jurídica, tuvieran una participación significativa entidades aseguradoras o reaseguradoras o agentes de seguros, personas físicas o jurídicas, o cuando el corredor de seguros estuviese presente, por sí o a través de representantes, en el órgano de administración de una entidad aseguradora o reaseguradora o tuviera una participación significativa en el capital social de una entidad aseguradora o reaseguradora, deberá hacer constar de manera destacada esta vinculación en toda la publicidad y en toda la documentación mercantil de distribución de seguros privados.</w:t>
      </w:r>
    </w:p>
    <w:p>
      <w:pPr>
        <w:pStyle w:val="BodyText"/>
        <w:spacing w:before="6"/>
        <w:ind w:left="1414" w:firstLine="0"/>
      </w:pPr>
      <w:r>
        <w:rPr/>
        <w:t>Serán de aplicación a estos supuestos las disposiciones contenidas en el artículo 160.</w:t>
      </w:r>
    </w:p>
    <w:p>
      <w:pPr>
        <w:pStyle w:val="BodyText"/>
        <w:spacing w:before="1"/>
        <w:ind w:left="0" w:firstLine="0"/>
        <w:jc w:val="left"/>
        <w:rPr>
          <w:sz w:val="21"/>
        </w:rPr>
      </w:pPr>
    </w:p>
    <w:p>
      <w:pPr>
        <w:spacing w:before="0"/>
        <w:ind w:left="1074" w:right="0" w:firstLine="0"/>
        <w:jc w:val="both"/>
        <w:rPr>
          <w:i/>
          <w:sz w:val="20"/>
        </w:rPr>
      </w:pPr>
      <w:bookmarkStart w:name="Artículo 159. Incompatibilidades de los " w:id="258"/>
      <w:bookmarkEnd w:id="258"/>
      <w:r>
        <w:rPr/>
      </w:r>
      <w:r>
        <w:rPr>
          <w:b/>
          <w:sz w:val="20"/>
        </w:rPr>
        <w:t>Artículo 159. </w:t>
      </w:r>
      <w:r>
        <w:rPr>
          <w:i/>
          <w:sz w:val="20"/>
        </w:rPr>
        <w:t>Incompatibilidades de los corredores de seguros.</w:t>
      </w:r>
    </w:p>
    <w:p>
      <w:pPr>
        <w:pStyle w:val="ListParagraph"/>
        <w:numPr>
          <w:ilvl w:val="0"/>
          <w:numId w:val="271"/>
        </w:numPr>
        <w:tabs>
          <w:tab w:pos="1645" w:val="left" w:leader="none"/>
        </w:tabs>
        <w:spacing w:line="249" w:lineRule="auto" w:before="118" w:after="0"/>
        <w:ind w:left="1074" w:right="1273" w:firstLine="340"/>
        <w:jc w:val="both"/>
        <w:rPr>
          <w:sz w:val="20"/>
        </w:rPr>
      </w:pPr>
      <w:r>
        <w:rPr>
          <w:sz w:val="20"/>
        </w:rPr>
        <w:t>Se considerarán incompatibles para ejercer la actividad como corredor de seguros las personas físicas</w:t>
      </w:r>
      <w:r>
        <w:rPr>
          <w:spacing w:val="-2"/>
          <w:sz w:val="20"/>
        </w:rPr>
        <w:t> </w:t>
      </w:r>
      <w:r>
        <w:rPr>
          <w:sz w:val="20"/>
        </w:rPr>
        <w:t>siguientes:</w:t>
      </w:r>
    </w:p>
    <w:p>
      <w:pPr>
        <w:pStyle w:val="ListParagraph"/>
        <w:numPr>
          <w:ilvl w:val="0"/>
          <w:numId w:val="272"/>
        </w:numPr>
        <w:tabs>
          <w:tab w:pos="1648" w:val="left" w:leader="none"/>
        </w:tabs>
        <w:spacing w:line="240" w:lineRule="auto" w:before="122" w:after="0"/>
        <w:ind w:left="1647" w:right="0" w:hanging="234"/>
        <w:jc w:val="left"/>
        <w:rPr>
          <w:sz w:val="20"/>
        </w:rPr>
      </w:pPr>
      <w:r>
        <w:rPr>
          <w:sz w:val="20"/>
        </w:rPr>
        <w:t>Los agentes de</w:t>
      </w:r>
      <w:r>
        <w:rPr>
          <w:spacing w:val="-4"/>
          <w:sz w:val="20"/>
        </w:rPr>
        <w:t> </w:t>
      </w:r>
      <w:r>
        <w:rPr>
          <w:sz w:val="20"/>
        </w:rPr>
        <w:t>seguros.</w:t>
      </w:r>
    </w:p>
    <w:p>
      <w:pPr>
        <w:pStyle w:val="ListParagraph"/>
        <w:numPr>
          <w:ilvl w:val="0"/>
          <w:numId w:val="272"/>
        </w:numPr>
        <w:tabs>
          <w:tab w:pos="1703" w:val="left" w:leader="none"/>
        </w:tabs>
        <w:spacing w:line="249" w:lineRule="auto" w:before="10" w:after="0"/>
        <w:ind w:left="1074" w:right="1273" w:firstLine="340"/>
        <w:jc w:val="both"/>
        <w:rPr>
          <w:sz w:val="20"/>
        </w:rPr>
      </w:pPr>
      <w:r>
        <w:rPr>
          <w:sz w:val="20"/>
        </w:rPr>
        <w:t>Los colaboradores externos de los agentes de seguros u operadores de banca- seguros.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72"/>
        </w:numPr>
        <w:tabs>
          <w:tab w:pos="1667" w:val="left" w:leader="none"/>
        </w:tabs>
        <w:spacing w:line="249" w:lineRule="auto" w:before="127" w:after="0"/>
        <w:ind w:left="1074" w:right="1275" w:firstLine="340"/>
        <w:jc w:val="both"/>
        <w:rPr>
          <w:sz w:val="20"/>
        </w:rPr>
      </w:pPr>
      <w:r>
        <w:rPr>
          <w:sz w:val="20"/>
        </w:rPr>
        <w:t>Los peritos de seguros, comisarios de averías y liquidadores de averías, salvo que estas actividades se desarrollen en exclusiva para asesoramiento de tomadores del seguro, asegurados o beneficiarios por contrato de</w:t>
      </w:r>
      <w:r>
        <w:rPr>
          <w:spacing w:val="-7"/>
          <w:sz w:val="20"/>
        </w:rPr>
        <w:t> </w:t>
      </w:r>
      <w:r>
        <w:rPr>
          <w:sz w:val="20"/>
        </w:rPr>
        <w:t>seguro.</w:t>
      </w:r>
    </w:p>
    <w:p>
      <w:pPr>
        <w:pStyle w:val="ListParagraph"/>
        <w:numPr>
          <w:ilvl w:val="0"/>
          <w:numId w:val="271"/>
        </w:numPr>
        <w:tabs>
          <w:tab w:pos="1669" w:val="left" w:leader="none"/>
        </w:tabs>
        <w:spacing w:line="249" w:lineRule="auto" w:before="122" w:after="0"/>
        <w:ind w:left="1074" w:right="1275" w:firstLine="340"/>
        <w:jc w:val="both"/>
        <w:rPr>
          <w:sz w:val="20"/>
        </w:rPr>
      </w:pPr>
      <w:r>
        <w:rPr>
          <w:sz w:val="20"/>
        </w:rPr>
        <w:t>En el caso de que la actividad de corredor de seguros se realice por una persona jurídica, aquella no podrá simultanearse con las siguientes</w:t>
      </w:r>
      <w:r>
        <w:rPr>
          <w:spacing w:val="-11"/>
          <w:sz w:val="20"/>
        </w:rPr>
        <w:t> </w:t>
      </w:r>
      <w:r>
        <w:rPr>
          <w:sz w:val="20"/>
        </w:rPr>
        <w:t>actividades:</w:t>
      </w:r>
    </w:p>
    <w:p>
      <w:pPr>
        <w:pStyle w:val="ListParagraph"/>
        <w:numPr>
          <w:ilvl w:val="0"/>
          <w:numId w:val="273"/>
        </w:numPr>
        <w:tabs>
          <w:tab w:pos="1648" w:val="left" w:leader="none"/>
        </w:tabs>
        <w:spacing w:line="240" w:lineRule="auto" w:before="122" w:after="0"/>
        <w:ind w:left="1647" w:right="0" w:hanging="234"/>
        <w:jc w:val="left"/>
        <w:rPr>
          <w:sz w:val="20"/>
        </w:rPr>
      </w:pPr>
      <w:r>
        <w:rPr>
          <w:sz w:val="20"/>
        </w:rPr>
        <w:t>Aseguradora o</w:t>
      </w:r>
      <w:r>
        <w:rPr>
          <w:spacing w:val="-1"/>
          <w:sz w:val="20"/>
        </w:rPr>
        <w:t> </w:t>
      </w:r>
      <w:r>
        <w:rPr>
          <w:sz w:val="20"/>
        </w:rPr>
        <w:t>reaseguradora.</w:t>
      </w:r>
    </w:p>
    <w:p>
      <w:pPr>
        <w:pStyle w:val="ListParagraph"/>
        <w:numPr>
          <w:ilvl w:val="0"/>
          <w:numId w:val="273"/>
        </w:numPr>
        <w:tabs>
          <w:tab w:pos="1648" w:val="left" w:leader="none"/>
        </w:tabs>
        <w:spacing w:line="240" w:lineRule="auto" w:before="10" w:after="0"/>
        <w:ind w:left="1647" w:right="0" w:hanging="234"/>
        <w:jc w:val="left"/>
        <w:rPr>
          <w:sz w:val="20"/>
        </w:rPr>
      </w:pPr>
      <w:r>
        <w:rPr>
          <w:sz w:val="20"/>
        </w:rPr>
        <w:t>Agencia de</w:t>
      </w:r>
      <w:r>
        <w:rPr>
          <w:spacing w:val="-2"/>
          <w:sz w:val="20"/>
        </w:rPr>
        <w:t> </w:t>
      </w:r>
      <w:r>
        <w:rPr>
          <w:sz w:val="20"/>
        </w:rPr>
        <w:t>suscripción.</w:t>
      </w:r>
    </w:p>
    <w:p>
      <w:pPr>
        <w:pStyle w:val="ListParagraph"/>
        <w:numPr>
          <w:ilvl w:val="0"/>
          <w:numId w:val="273"/>
        </w:numPr>
        <w:tabs>
          <w:tab w:pos="1637" w:val="left" w:leader="none"/>
        </w:tabs>
        <w:spacing w:line="240" w:lineRule="auto" w:before="10" w:after="0"/>
        <w:ind w:left="1636" w:right="0" w:hanging="223"/>
        <w:jc w:val="left"/>
        <w:rPr>
          <w:sz w:val="20"/>
        </w:rPr>
      </w:pPr>
      <w:r>
        <w:rPr>
          <w:sz w:val="20"/>
        </w:rPr>
        <w:t>Agente de seguros u operador de</w:t>
      </w:r>
      <w:r>
        <w:rPr>
          <w:spacing w:val="-6"/>
          <w:sz w:val="20"/>
        </w:rPr>
        <w:t> </w:t>
      </w:r>
      <w:r>
        <w:rPr>
          <w:sz w:val="20"/>
        </w:rPr>
        <w:t>banca-seguros.</w:t>
      </w:r>
    </w:p>
    <w:p>
      <w:pPr>
        <w:pStyle w:val="ListParagraph"/>
        <w:numPr>
          <w:ilvl w:val="0"/>
          <w:numId w:val="273"/>
        </w:numPr>
        <w:tabs>
          <w:tab w:pos="1648" w:val="left" w:leader="none"/>
        </w:tabs>
        <w:spacing w:line="240" w:lineRule="auto" w:before="10" w:after="0"/>
        <w:ind w:left="1647" w:right="0" w:hanging="234"/>
        <w:jc w:val="left"/>
        <w:rPr>
          <w:sz w:val="20"/>
        </w:rPr>
      </w:pPr>
      <w:r>
        <w:rPr>
          <w:sz w:val="20"/>
        </w:rPr>
        <w:t>Colaborador externo de agente de seguros u operador de</w:t>
      </w:r>
      <w:r>
        <w:rPr>
          <w:spacing w:val="-16"/>
          <w:sz w:val="20"/>
        </w:rPr>
        <w:t> </w:t>
      </w:r>
      <w:r>
        <w:rPr>
          <w:sz w:val="20"/>
        </w:rPr>
        <w:t>banca-seguros.</w:t>
      </w:r>
    </w:p>
    <w:p>
      <w:pPr>
        <w:pStyle w:val="ListParagraph"/>
        <w:numPr>
          <w:ilvl w:val="0"/>
          <w:numId w:val="273"/>
        </w:numPr>
        <w:tabs>
          <w:tab w:pos="1648" w:val="left" w:leader="none"/>
        </w:tabs>
        <w:spacing w:line="240" w:lineRule="auto" w:before="10" w:after="0"/>
        <w:ind w:left="1647" w:right="0" w:hanging="234"/>
        <w:jc w:val="left"/>
        <w:rPr>
          <w:sz w:val="20"/>
        </w:rPr>
      </w:pPr>
      <w:r>
        <w:rPr>
          <w:sz w:val="20"/>
        </w:rPr>
        <w:t>Aquellas otras para cuyo ejercicio se exija objeto social</w:t>
      </w:r>
      <w:r>
        <w:rPr>
          <w:spacing w:val="-10"/>
          <w:sz w:val="20"/>
        </w:rPr>
        <w:t> </w:t>
      </w:r>
      <w:r>
        <w:rPr>
          <w:sz w:val="20"/>
        </w:rPr>
        <w:t>exclusivo.</w:t>
      </w:r>
    </w:p>
    <w:p>
      <w:pPr>
        <w:pStyle w:val="ListParagraph"/>
        <w:numPr>
          <w:ilvl w:val="0"/>
          <w:numId w:val="273"/>
        </w:numPr>
        <w:tabs>
          <w:tab w:pos="1611" w:val="left" w:leader="none"/>
        </w:tabs>
        <w:spacing w:line="249" w:lineRule="auto" w:before="10" w:after="0"/>
        <w:ind w:left="1074" w:right="1273" w:firstLine="340"/>
        <w:jc w:val="both"/>
        <w:rPr>
          <w:sz w:val="20"/>
        </w:rPr>
      </w:pPr>
      <w:r>
        <w:rPr>
          <w:sz w:val="20"/>
        </w:rPr>
        <w:t>De peritación de seguros, comisariado de averías o liquidación de averías, salvo que estas actividades se desarrollen en exclusiva para asesoramiento de tomadores del seguro, asegurados o beneficiarios por contrato de</w:t>
      </w:r>
      <w:r>
        <w:rPr>
          <w:spacing w:val="-7"/>
          <w:sz w:val="20"/>
        </w:rPr>
        <w:t> </w:t>
      </w:r>
      <w:r>
        <w:rPr>
          <w:sz w:val="20"/>
        </w:rPr>
        <w:t>seguro.</w:t>
      </w:r>
    </w:p>
    <w:p>
      <w:pPr>
        <w:pStyle w:val="BodyText"/>
        <w:spacing w:before="4"/>
        <w:ind w:left="0" w:firstLine="0"/>
        <w:jc w:val="left"/>
        <w:rPr>
          <w:sz w:val="25"/>
        </w:rPr>
      </w:pPr>
    </w:p>
    <w:p>
      <w:pPr>
        <w:pStyle w:val="BodyText"/>
        <w:spacing w:line="249" w:lineRule="auto" w:before="0"/>
        <w:ind w:left="1414" w:right="1613" w:firstLine="0"/>
        <w:jc w:val="center"/>
      </w:pPr>
      <w:bookmarkStart w:name="Subsección 5.ª Vínculos estrechos y part" w:id="259"/>
      <w:bookmarkEnd w:id="259"/>
      <w:r>
        <w:rPr/>
      </w:r>
      <w:bookmarkStart w:name="_bookmark49" w:id="260"/>
      <w:bookmarkEnd w:id="260"/>
      <w:r>
        <w:rPr/>
      </w:r>
      <w:r>
        <w:rPr/>
        <w:t>Subsección 5.ª Vínculos estrechos y participaciones significativas en operadores de banca-seguros y corredores de seguros</w:t>
      </w:r>
    </w:p>
    <w:p>
      <w:pPr>
        <w:pStyle w:val="BodyText"/>
        <w:spacing w:before="8"/>
        <w:ind w:left="0" w:firstLine="0"/>
        <w:jc w:val="left"/>
        <w:rPr>
          <w:sz w:val="29"/>
        </w:rPr>
      </w:pPr>
    </w:p>
    <w:p>
      <w:pPr>
        <w:spacing w:before="0"/>
        <w:ind w:left="1074" w:right="0" w:firstLine="0"/>
        <w:jc w:val="both"/>
        <w:rPr>
          <w:i/>
          <w:sz w:val="20"/>
        </w:rPr>
      </w:pPr>
      <w:bookmarkStart w:name="Artículo 160. Vínculos estrechos y régim" w:id="261"/>
      <w:bookmarkEnd w:id="261"/>
      <w:r>
        <w:rPr/>
      </w:r>
      <w:r>
        <w:rPr>
          <w:b/>
          <w:sz w:val="20"/>
        </w:rPr>
        <w:t>Artículo 160. </w:t>
      </w:r>
      <w:r>
        <w:rPr>
          <w:i/>
          <w:sz w:val="20"/>
        </w:rPr>
        <w:t>Vínculos estrechos y régimen de participaciones significativas.</w:t>
      </w:r>
    </w:p>
    <w:p>
      <w:pPr>
        <w:pStyle w:val="ListParagraph"/>
        <w:numPr>
          <w:ilvl w:val="0"/>
          <w:numId w:val="274"/>
        </w:numPr>
        <w:tabs>
          <w:tab w:pos="1669" w:val="left" w:leader="none"/>
        </w:tabs>
        <w:spacing w:line="249" w:lineRule="auto" w:before="118" w:after="0"/>
        <w:ind w:left="1074" w:right="1271" w:firstLine="340"/>
        <w:jc w:val="both"/>
        <w:rPr>
          <w:sz w:val="20"/>
        </w:rPr>
      </w:pPr>
      <w:r>
        <w:rPr>
          <w:sz w:val="20"/>
        </w:rPr>
        <w:t>El corredor de seguros, persona jurídica, y el operador de banca-seguros, deberán informar a la Dirección General de Seguros y Fondos de Pensiones de cualquier relación  que pretendan establecer con personas físicas o jurídicas que pueda implicar la existencia de vínculos estrechos tal y como se definen en el artículo 128.12, así como de cualquier transmisión de acciones o participaciones proyectada que represente una participación significativa de acuerdo con el artículo</w:t>
      </w:r>
      <w:r>
        <w:rPr>
          <w:spacing w:val="-6"/>
          <w:sz w:val="20"/>
        </w:rPr>
        <w:t> </w:t>
      </w:r>
      <w:r>
        <w:rPr>
          <w:sz w:val="20"/>
        </w:rPr>
        <w:t>128.13.</w:t>
      </w:r>
    </w:p>
    <w:p>
      <w:pPr>
        <w:pStyle w:val="ListParagraph"/>
        <w:numPr>
          <w:ilvl w:val="0"/>
          <w:numId w:val="274"/>
        </w:numPr>
        <w:tabs>
          <w:tab w:pos="1659" w:val="left" w:leader="none"/>
        </w:tabs>
        <w:spacing w:line="249" w:lineRule="auto" w:before="5" w:after="0"/>
        <w:ind w:left="1074" w:right="1271" w:firstLine="340"/>
        <w:jc w:val="both"/>
        <w:rPr>
          <w:sz w:val="20"/>
        </w:rPr>
      </w:pPr>
      <w:r>
        <w:rPr>
          <w:sz w:val="20"/>
        </w:rPr>
        <w:t>La Dirección General de Seguros y Fondos de Pensiones dispondrá de un plazo de tres meses, a partir de la presentación de la información, para oponerse a la adquisición de la participación significativa o de cada uno de sus incrementos que igualen o superen los límites del 20 por ciento, 30 por ciento o 50 por ciento, y también cuando en virtud de la adquisición se pudiera llegar a controlar al corredor de seguros, persona jurídica, o al operador de banca-seguros. La oposición deberá fundarse en que quien pretenda adquirirla no reúne los requisitos de honorabilidad comercial y profesional en los términos definidos en el artículo 128 o que incurre en alguna de las prohibiciones del título I. Si la Dirección General de Seguros y Fondos de Pensiones no se pronunciara en el plazo de tres meses, podrá procederse a la adquisición o incremento de la participación. En caso de expresar su conformidad a la adquisición o incremento de la participación significativa, podrá fijar un plazo máximo distinto al comunicado para efectuar la</w:t>
      </w:r>
      <w:r>
        <w:rPr>
          <w:spacing w:val="-12"/>
          <w:sz w:val="20"/>
        </w:rPr>
        <w:t> </w:t>
      </w:r>
      <w:r>
        <w:rPr>
          <w:sz w:val="20"/>
        </w:rPr>
        <w:t>adquisición.</w:t>
      </w:r>
    </w:p>
    <w:p>
      <w:pPr>
        <w:pStyle w:val="ListParagraph"/>
        <w:numPr>
          <w:ilvl w:val="0"/>
          <w:numId w:val="274"/>
        </w:numPr>
        <w:tabs>
          <w:tab w:pos="1642" w:val="left" w:leader="none"/>
        </w:tabs>
        <w:spacing w:line="249" w:lineRule="auto" w:before="10" w:after="0"/>
        <w:ind w:left="1074" w:right="1271" w:firstLine="340"/>
        <w:jc w:val="both"/>
        <w:rPr>
          <w:sz w:val="20"/>
        </w:rPr>
      </w:pPr>
      <w:r>
        <w:rPr>
          <w:sz w:val="20"/>
        </w:rPr>
        <w:t>Lo dispuesto en este artículo se entenderá sin perjuicio de la aplicación de las normas sobre ofertas públicas de adquisición e información sobre participaciones significativas contenidas en el texto refundido de la Ley del Mercado de Valores, aprobado por el Real Decreto Legislativo 4/2015, de 23 de octubre, y en sus normas de desarrollo, sin perjuicio de la aplicación de las normas sobre control de concentraciones económicas contenidas en la Ley 15/2007, de 3 de julio, de Defensa de la</w:t>
      </w:r>
      <w:r>
        <w:rPr>
          <w:spacing w:val="-16"/>
          <w:sz w:val="20"/>
        </w:rPr>
        <w:t> </w:t>
      </w:r>
      <w:r>
        <w:rPr>
          <w:sz w:val="20"/>
        </w:rPr>
        <w:t>Competencia.</w:t>
      </w:r>
    </w:p>
    <w:p>
      <w:pPr>
        <w:pStyle w:val="BodyText"/>
        <w:spacing w:before="7"/>
        <w:ind w:left="0" w:firstLine="0"/>
        <w:jc w:val="left"/>
      </w:pPr>
    </w:p>
    <w:p>
      <w:pPr>
        <w:pStyle w:val="Heading2"/>
        <w:ind w:left="2930"/>
        <w:rPr>
          <w:i/>
        </w:rPr>
      </w:pPr>
      <w:bookmarkStart w:name="Sección 2.ª De los distribuidores de rea" w:id="262"/>
      <w:bookmarkEnd w:id="262"/>
      <w:r>
        <w:rPr>
          <w:b w:val="0"/>
          <w:i w:val="0"/>
        </w:rPr>
      </w:r>
      <w:bookmarkStart w:name="_bookmark50" w:id="263"/>
      <w:bookmarkEnd w:id="263"/>
      <w:r>
        <w:rPr>
          <w:b w:val="0"/>
          <w:i w:val="0"/>
        </w:rPr>
      </w:r>
      <w:r>
        <w:rPr>
          <w:i/>
        </w:rPr>
        <w:t>Sección 2.ª De los distribuidores de reaseguros</w:t>
      </w:r>
    </w:p>
    <w:p>
      <w:pPr>
        <w:pStyle w:val="BodyText"/>
        <w:spacing w:before="5"/>
        <w:ind w:left="0" w:firstLine="0"/>
        <w:jc w:val="left"/>
        <w:rPr>
          <w:b/>
          <w:i/>
          <w:sz w:val="30"/>
        </w:rPr>
      </w:pPr>
    </w:p>
    <w:p>
      <w:pPr>
        <w:spacing w:line="249" w:lineRule="auto" w:before="0"/>
        <w:ind w:left="1074" w:right="1277" w:firstLine="0"/>
        <w:jc w:val="both"/>
        <w:rPr>
          <w:i/>
          <w:sz w:val="20"/>
        </w:rPr>
      </w:pPr>
      <w:bookmarkStart w:name="Artículo 161. Distribución de productos " w:id="264"/>
      <w:bookmarkEnd w:id="264"/>
      <w:r>
        <w:rPr/>
      </w:r>
      <w:r>
        <w:rPr>
          <w:b/>
          <w:sz w:val="20"/>
        </w:rPr>
        <w:t>Artículo 161. </w:t>
      </w:r>
      <w:r>
        <w:rPr>
          <w:i/>
          <w:sz w:val="20"/>
        </w:rPr>
        <w:t>Distribución de productos de reaseguros por los empleados de las entidades </w:t>
      </w:r>
      <w:r>
        <w:rPr>
          <w:i/>
          <w:sz w:val="20"/>
        </w:rPr>
        <w:t>reaseguradoras.</w:t>
      </w:r>
    </w:p>
    <w:p>
      <w:pPr>
        <w:pStyle w:val="BodyText"/>
        <w:spacing w:line="249" w:lineRule="auto" w:before="110"/>
        <w:ind w:right="1274"/>
      </w:pPr>
      <w:r>
        <w:rPr/>
        <w:t>Serán de aplicación a las entidades reaseguradoras los requisitos contenidos en la subsección 2.ª de la sección 1.ª del capítulo III, entendiéndose hechas a las entidades reaseguradoras las referencias que en dicha subsección se hacen a las entidades aseguradoras.</w:t>
      </w:r>
    </w:p>
    <w:p>
      <w:pPr>
        <w:pStyle w:val="BodyText"/>
        <w:spacing w:before="5"/>
        <w:ind w:left="0" w:firstLine="0"/>
        <w:jc w:val="left"/>
      </w:pPr>
    </w:p>
    <w:p>
      <w:pPr>
        <w:spacing w:before="1"/>
        <w:ind w:left="1074" w:right="0" w:firstLine="0"/>
        <w:jc w:val="both"/>
        <w:rPr>
          <w:i/>
          <w:sz w:val="20"/>
        </w:rPr>
      </w:pPr>
      <w:bookmarkStart w:name="Artículo 162. Concepto de corredores de " w:id="265"/>
      <w:bookmarkEnd w:id="265"/>
      <w:r>
        <w:rPr/>
      </w:r>
      <w:r>
        <w:rPr>
          <w:b/>
          <w:sz w:val="20"/>
        </w:rPr>
        <w:t>Artículo 162. </w:t>
      </w:r>
      <w:r>
        <w:rPr>
          <w:i/>
          <w:sz w:val="20"/>
        </w:rPr>
        <w:t>Concepto de corredores de reaseguros.</w:t>
      </w:r>
    </w:p>
    <w:p>
      <w:pPr>
        <w:pStyle w:val="ListParagraph"/>
        <w:numPr>
          <w:ilvl w:val="0"/>
          <w:numId w:val="275"/>
        </w:numPr>
        <w:tabs>
          <w:tab w:pos="1655" w:val="left" w:leader="none"/>
        </w:tabs>
        <w:spacing w:line="249" w:lineRule="auto" w:before="117" w:after="0"/>
        <w:ind w:left="1074" w:right="1273" w:firstLine="340"/>
        <w:jc w:val="both"/>
        <w:rPr>
          <w:sz w:val="20"/>
        </w:rPr>
      </w:pPr>
      <w:r>
        <w:rPr>
          <w:sz w:val="20"/>
        </w:rPr>
        <w:t>Son corredores de reaseguros las personas físicas o jurídicas que, a cambio de una remuneración,</w:t>
      </w:r>
      <w:r>
        <w:rPr>
          <w:spacing w:val="-3"/>
          <w:sz w:val="20"/>
        </w:rPr>
        <w:t> </w:t>
      </w:r>
      <w:r>
        <w:rPr>
          <w:sz w:val="20"/>
        </w:rPr>
        <w:t>realicen</w:t>
      </w:r>
      <w:r>
        <w:rPr>
          <w:spacing w:val="-3"/>
          <w:sz w:val="20"/>
        </w:rPr>
        <w:t> </w:t>
      </w:r>
      <w:r>
        <w:rPr>
          <w:sz w:val="20"/>
        </w:rPr>
        <w:t>la</w:t>
      </w:r>
      <w:r>
        <w:rPr>
          <w:spacing w:val="-4"/>
          <w:sz w:val="20"/>
        </w:rPr>
        <w:t> </w:t>
      </w:r>
      <w:r>
        <w:rPr>
          <w:sz w:val="20"/>
        </w:rPr>
        <w:t>actividad</w:t>
      </w:r>
      <w:r>
        <w:rPr>
          <w:spacing w:val="-4"/>
          <w:sz w:val="20"/>
        </w:rPr>
        <w:t> </w:t>
      </w:r>
      <w:r>
        <w:rPr>
          <w:sz w:val="20"/>
        </w:rPr>
        <w:t>de</w:t>
      </w:r>
      <w:r>
        <w:rPr>
          <w:spacing w:val="-4"/>
          <w:sz w:val="20"/>
        </w:rPr>
        <w:t> </w:t>
      </w:r>
      <w:r>
        <w:rPr>
          <w:sz w:val="20"/>
        </w:rPr>
        <w:t>distribución</w:t>
      </w:r>
      <w:r>
        <w:rPr>
          <w:spacing w:val="-3"/>
          <w:sz w:val="20"/>
        </w:rPr>
        <w:t> </w:t>
      </w:r>
      <w:r>
        <w:rPr>
          <w:sz w:val="20"/>
        </w:rPr>
        <w:t>de</w:t>
      </w:r>
      <w:r>
        <w:rPr>
          <w:spacing w:val="-4"/>
          <w:sz w:val="20"/>
        </w:rPr>
        <w:t> </w:t>
      </w:r>
      <w:r>
        <w:rPr>
          <w:sz w:val="20"/>
        </w:rPr>
        <w:t>reaseguros</w:t>
      </w:r>
      <w:r>
        <w:rPr>
          <w:spacing w:val="-3"/>
          <w:sz w:val="20"/>
        </w:rPr>
        <w:t> </w:t>
      </w:r>
      <w:r>
        <w:rPr>
          <w:sz w:val="20"/>
        </w:rPr>
        <w:t>definida</w:t>
      </w:r>
      <w:r>
        <w:rPr>
          <w:spacing w:val="-4"/>
          <w:sz w:val="20"/>
        </w:rPr>
        <w:t> </w:t>
      </w:r>
      <w:r>
        <w:rPr>
          <w:sz w:val="20"/>
        </w:rPr>
        <w:t>en</w:t>
      </w:r>
      <w:r>
        <w:rPr>
          <w:spacing w:val="-4"/>
          <w:sz w:val="20"/>
        </w:rPr>
        <w:t> </w:t>
      </w:r>
      <w:r>
        <w:rPr>
          <w:sz w:val="20"/>
        </w:rPr>
        <w:t>el</w:t>
      </w:r>
      <w:r>
        <w:rPr>
          <w:spacing w:val="-3"/>
          <w:sz w:val="20"/>
        </w:rPr>
        <w:t> </w:t>
      </w:r>
      <w:r>
        <w:rPr>
          <w:sz w:val="20"/>
        </w:rPr>
        <w:t>artículo</w:t>
      </w:r>
      <w:r>
        <w:rPr>
          <w:spacing w:val="-4"/>
          <w:sz w:val="20"/>
        </w:rPr>
        <w:t> </w:t>
      </w:r>
      <w:r>
        <w:rPr>
          <w:sz w:val="20"/>
        </w:rPr>
        <w:t>129.</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75"/>
        </w:numPr>
        <w:tabs>
          <w:tab w:pos="1661" w:val="left" w:leader="none"/>
        </w:tabs>
        <w:spacing w:line="249" w:lineRule="auto" w:before="127" w:after="0"/>
        <w:ind w:left="1074" w:right="1274" w:firstLine="340"/>
        <w:jc w:val="both"/>
        <w:rPr>
          <w:sz w:val="20"/>
        </w:rPr>
      </w:pPr>
      <w:r>
        <w:rPr>
          <w:sz w:val="20"/>
        </w:rPr>
        <w:t>Para ejercer la actividad de corredor de reaseguros será preciso estar inscrito en el registro administrativo previsto en el artículo</w:t>
      </w:r>
      <w:r>
        <w:rPr>
          <w:spacing w:val="-8"/>
          <w:sz w:val="20"/>
        </w:rPr>
        <w:t> </w:t>
      </w:r>
      <w:r>
        <w:rPr>
          <w:sz w:val="20"/>
        </w:rPr>
        <w:t>133.</w:t>
      </w:r>
    </w:p>
    <w:p>
      <w:pPr>
        <w:pStyle w:val="BodyText"/>
        <w:spacing w:line="249" w:lineRule="auto" w:before="1"/>
        <w:ind w:right="1272"/>
      </w:pPr>
      <w:r>
        <w:rPr/>
        <w:t>Para figurar inscrito en el citado registro administrativo será necesario cumplir y mantener en todo momento el cumplimiento de los requisitos exigidos en las letras a), c), d), e), g) y h) del artículo 157.1, entendiéndose hechas a los corredores de reaseguros las referencias que en dicho precepto se realizan a los corredores de</w:t>
      </w:r>
      <w:r>
        <w:rPr>
          <w:spacing w:val="-12"/>
        </w:rPr>
        <w:t> </w:t>
      </w:r>
      <w:r>
        <w:rPr/>
        <w:t>seguros.</w:t>
      </w:r>
    </w:p>
    <w:p>
      <w:pPr>
        <w:pStyle w:val="ListParagraph"/>
        <w:numPr>
          <w:ilvl w:val="0"/>
          <w:numId w:val="275"/>
        </w:numPr>
        <w:tabs>
          <w:tab w:pos="1681" w:val="left" w:leader="none"/>
        </w:tabs>
        <w:spacing w:line="249" w:lineRule="auto" w:before="4" w:after="0"/>
        <w:ind w:left="1074" w:right="1272" w:firstLine="340"/>
        <w:jc w:val="both"/>
        <w:rPr>
          <w:sz w:val="20"/>
        </w:rPr>
      </w:pPr>
      <w:r>
        <w:rPr>
          <w:sz w:val="20"/>
        </w:rPr>
        <w:t>La solicitud de inscripción como corredor de reaseguros se dirigirá a la Dirección General de Seguros y Fondos de Pensiones y deberá ir acompañada de los documentos acreditativos del cumplimiento de los requisitos a que se refiere el apartado anterior. El plazo máximo en que debe notificarse la resolución expresa de la solicitud será de tres meses a partir de la fecha de presentación de la solicitud de inscripción. La solicitud de inscripción será denegada cuando no se acredite el cumplimiento de los requisitos exigidos para su concesión.</w:t>
      </w:r>
    </w:p>
    <w:p>
      <w:pPr>
        <w:pStyle w:val="ListParagraph"/>
        <w:numPr>
          <w:ilvl w:val="0"/>
          <w:numId w:val="275"/>
        </w:numPr>
        <w:tabs>
          <w:tab w:pos="1645" w:val="left" w:leader="none"/>
        </w:tabs>
        <w:spacing w:line="249" w:lineRule="auto" w:before="5" w:after="0"/>
        <w:ind w:left="1074" w:right="1274" w:firstLine="340"/>
        <w:jc w:val="both"/>
        <w:rPr>
          <w:sz w:val="20"/>
        </w:rPr>
      </w:pPr>
      <w:r>
        <w:rPr>
          <w:sz w:val="20"/>
        </w:rPr>
        <w:t>La inscripción solo habilitará para ejercer como corredor de reaseguros. Si el corredor de reaseguros pretendiera ejercer simultáneamente la actividad de distribución de seguros, deberá figurar inscrito también como mediador de</w:t>
      </w:r>
      <w:r>
        <w:rPr>
          <w:spacing w:val="-5"/>
          <w:sz w:val="20"/>
        </w:rPr>
        <w:t> </w:t>
      </w:r>
      <w:r>
        <w:rPr>
          <w:sz w:val="20"/>
        </w:rPr>
        <w:t>seguros.</w:t>
      </w:r>
    </w:p>
    <w:p>
      <w:pPr>
        <w:pStyle w:val="ListParagraph"/>
        <w:numPr>
          <w:ilvl w:val="0"/>
          <w:numId w:val="275"/>
        </w:numPr>
        <w:tabs>
          <w:tab w:pos="1650" w:val="left" w:leader="none"/>
        </w:tabs>
        <w:spacing w:line="249" w:lineRule="auto" w:before="3" w:after="0"/>
        <w:ind w:left="1074" w:right="1274" w:firstLine="340"/>
        <w:jc w:val="both"/>
        <w:rPr>
          <w:sz w:val="20"/>
        </w:rPr>
      </w:pPr>
      <w:r>
        <w:rPr>
          <w:sz w:val="20"/>
        </w:rPr>
        <w:t>El corredor de reaseguros deberá, en un plazo máximo de quince días hábiles desde el acuerdo de modificación, notificar a la Dirección General de Seguros y Fondos de Pensiones los cambios en la información facilitada de conformidad con el apartado 3 y que sean relativos a los actos sujetos a inscripción en el registro administrativo de distribuidores de seguros y reaseguros de acuerdo con lo dispuesto en la disposición adicional octava del Real Decreto 1060/2015, de 20 de</w:t>
      </w:r>
      <w:r>
        <w:rPr>
          <w:spacing w:val="-9"/>
          <w:sz w:val="20"/>
        </w:rPr>
        <w:t> </w:t>
      </w:r>
      <w:r>
        <w:rPr>
          <w:sz w:val="20"/>
        </w:rPr>
        <w:t>noviembre.</w:t>
      </w:r>
    </w:p>
    <w:p>
      <w:pPr>
        <w:pStyle w:val="ListParagraph"/>
        <w:numPr>
          <w:ilvl w:val="0"/>
          <w:numId w:val="275"/>
        </w:numPr>
        <w:tabs>
          <w:tab w:pos="1637" w:val="left" w:leader="none"/>
        </w:tabs>
        <w:spacing w:line="240" w:lineRule="auto" w:before="5" w:after="0"/>
        <w:ind w:left="1636" w:right="0" w:hanging="223"/>
        <w:jc w:val="both"/>
        <w:rPr>
          <w:sz w:val="20"/>
        </w:rPr>
      </w:pPr>
      <w:r>
        <w:rPr>
          <w:sz w:val="20"/>
        </w:rPr>
        <w:t>Será de aplicación a los corredores de reaseguros lo previsto en el artículo</w:t>
      </w:r>
      <w:r>
        <w:rPr>
          <w:spacing w:val="-21"/>
          <w:sz w:val="20"/>
        </w:rPr>
        <w:t> </w:t>
      </w:r>
      <w:r>
        <w:rPr>
          <w:sz w:val="20"/>
        </w:rPr>
        <w:t>136.2.</w:t>
      </w:r>
    </w:p>
    <w:p>
      <w:pPr>
        <w:pStyle w:val="ListParagraph"/>
        <w:numPr>
          <w:ilvl w:val="0"/>
          <w:numId w:val="275"/>
        </w:numPr>
        <w:tabs>
          <w:tab w:pos="1640" w:val="left" w:leader="none"/>
        </w:tabs>
        <w:spacing w:line="249" w:lineRule="auto" w:before="10" w:after="0"/>
        <w:ind w:left="1074" w:right="1273" w:firstLine="340"/>
        <w:jc w:val="both"/>
        <w:rPr>
          <w:sz w:val="20"/>
        </w:rPr>
      </w:pPr>
      <w:r>
        <w:rPr>
          <w:sz w:val="20"/>
        </w:rPr>
        <w:t>No serán de aplicación a los mediadores de reaseguros las disposiciones establecidas en la sección 4.ª y en la sección 6.ª del capítulo III del título</w:t>
      </w:r>
      <w:r>
        <w:rPr>
          <w:spacing w:val="-11"/>
          <w:sz w:val="20"/>
        </w:rPr>
        <w:t> </w:t>
      </w:r>
      <w:r>
        <w:rPr>
          <w:sz w:val="20"/>
        </w:rPr>
        <w:t>I.</w:t>
      </w:r>
    </w:p>
    <w:p>
      <w:pPr>
        <w:pStyle w:val="BodyText"/>
        <w:spacing w:before="4"/>
        <w:ind w:left="0" w:firstLine="0"/>
        <w:jc w:val="left"/>
      </w:pPr>
    </w:p>
    <w:p>
      <w:pPr>
        <w:spacing w:before="0"/>
        <w:ind w:left="1074" w:right="0" w:firstLine="0"/>
        <w:jc w:val="both"/>
        <w:rPr>
          <w:i/>
          <w:sz w:val="20"/>
        </w:rPr>
      </w:pPr>
      <w:bookmarkStart w:name="Artículo 163. Relaciones con las entidad" w:id="266"/>
      <w:bookmarkEnd w:id="266"/>
      <w:r>
        <w:rPr/>
      </w:r>
      <w:r>
        <w:rPr>
          <w:b/>
          <w:sz w:val="20"/>
        </w:rPr>
        <w:t>Artículo 163. </w:t>
      </w:r>
      <w:r>
        <w:rPr>
          <w:i/>
          <w:sz w:val="20"/>
        </w:rPr>
        <w:t>Relaciones con las entidades reaseguradoras y con los clientes.</w:t>
      </w:r>
    </w:p>
    <w:p>
      <w:pPr>
        <w:pStyle w:val="ListParagraph"/>
        <w:numPr>
          <w:ilvl w:val="0"/>
          <w:numId w:val="276"/>
        </w:numPr>
        <w:tabs>
          <w:tab w:pos="1649" w:val="left" w:leader="none"/>
        </w:tabs>
        <w:spacing w:line="249" w:lineRule="auto" w:before="118" w:after="0"/>
        <w:ind w:left="1074" w:right="1273" w:firstLine="340"/>
        <w:jc w:val="both"/>
        <w:rPr>
          <w:sz w:val="20"/>
        </w:rPr>
      </w:pPr>
      <w:r>
        <w:rPr>
          <w:sz w:val="20"/>
        </w:rPr>
        <w:t>Las relaciones entre los corredores de reaseguros y las entidades reaseguradoras se regirán por los pactos que las partes acuerden libremente, que tendrán carácter mercantil, aplicándose supletoriamente los preceptos que el Código de Comercio dedica a la comisión mercantil.</w:t>
      </w:r>
    </w:p>
    <w:p>
      <w:pPr>
        <w:pStyle w:val="ListParagraph"/>
        <w:numPr>
          <w:ilvl w:val="0"/>
          <w:numId w:val="276"/>
        </w:numPr>
        <w:tabs>
          <w:tab w:pos="1683" w:val="left" w:leader="none"/>
        </w:tabs>
        <w:spacing w:line="249" w:lineRule="auto" w:before="3" w:after="0"/>
        <w:ind w:left="1074" w:right="1272" w:firstLine="340"/>
        <w:jc w:val="both"/>
        <w:rPr>
          <w:sz w:val="20"/>
        </w:rPr>
      </w:pPr>
      <w:r>
        <w:rPr>
          <w:sz w:val="20"/>
        </w:rPr>
        <w:t>El contrato será retribuido y especificará las comisiones sobre las primas u otros derechos económicos que correspondan al corredor de reaseguros durante la vigencia del contrato y, en su caso, una vez extinguido</w:t>
      </w:r>
      <w:r>
        <w:rPr>
          <w:spacing w:val="-5"/>
          <w:sz w:val="20"/>
        </w:rPr>
        <w:t> </w:t>
      </w:r>
      <w:r>
        <w:rPr>
          <w:sz w:val="20"/>
        </w:rPr>
        <w:t>este.</w:t>
      </w:r>
    </w:p>
    <w:p>
      <w:pPr>
        <w:pStyle w:val="BodyText"/>
        <w:spacing w:before="5"/>
        <w:ind w:left="0" w:firstLine="0"/>
        <w:jc w:val="left"/>
      </w:pPr>
    </w:p>
    <w:p>
      <w:pPr>
        <w:spacing w:before="0"/>
        <w:ind w:left="1074" w:right="0" w:firstLine="0"/>
        <w:jc w:val="both"/>
        <w:rPr>
          <w:i/>
          <w:sz w:val="20"/>
        </w:rPr>
      </w:pPr>
      <w:bookmarkStart w:name="Artículo 164. Obligaciones frente a terc" w:id="267"/>
      <w:bookmarkEnd w:id="267"/>
      <w:r>
        <w:rPr/>
      </w:r>
      <w:r>
        <w:rPr>
          <w:b/>
          <w:sz w:val="20"/>
        </w:rPr>
        <w:t>Artículo 164. </w:t>
      </w:r>
      <w:r>
        <w:rPr>
          <w:i/>
          <w:sz w:val="20"/>
        </w:rPr>
        <w:t>Obligaciones frente a terceros.</w:t>
      </w:r>
    </w:p>
    <w:p>
      <w:pPr>
        <w:pStyle w:val="BodyText"/>
        <w:spacing w:line="249" w:lineRule="auto" w:before="117"/>
        <w:ind w:right="1270"/>
      </w:pPr>
      <w:r>
        <w:rPr/>
        <w:t>Los corredores de reaseguros deberán destacar en toda la publicidad y documentación mercantil de distribución de reaseguros su condición de corredor de reaseguros, así como las circunstancias de estar inscrito en el registro administrativo previsto en el artículo 133, y de tener concertado un seguro de responsabilidad civil, u otra garantía financiera, con arreglo al artículo</w:t>
      </w:r>
      <w:r>
        <w:rPr>
          <w:spacing w:val="-4"/>
        </w:rPr>
        <w:t> </w:t>
      </w:r>
      <w:r>
        <w:rPr/>
        <w:t>162.2.</w:t>
      </w:r>
    </w:p>
    <w:p>
      <w:pPr>
        <w:pStyle w:val="BodyText"/>
        <w:spacing w:before="7"/>
        <w:ind w:left="0" w:firstLine="0"/>
        <w:jc w:val="left"/>
      </w:pPr>
    </w:p>
    <w:p>
      <w:pPr>
        <w:pStyle w:val="Heading2"/>
        <w:spacing w:line="249" w:lineRule="auto"/>
        <w:ind w:left="4673" w:right="1278" w:hanging="3260"/>
        <w:jc w:val="left"/>
      </w:pPr>
      <w:bookmarkStart w:name="Sección 3.ª De los cursos de formación d" w:id="268"/>
      <w:bookmarkEnd w:id="268"/>
      <w:r>
        <w:rPr>
          <w:b w:val="0"/>
          <w:i w:val="0"/>
        </w:rPr>
      </w:r>
      <w:bookmarkStart w:name="_bookmark51" w:id="269"/>
      <w:bookmarkEnd w:id="269"/>
      <w:r>
        <w:rPr>
          <w:b w:val="0"/>
          <w:i w:val="0"/>
        </w:rPr>
      </w:r>
      <w:r>
        <w:rPr>
          <w:i/>
        </w:rPr>
        <w:t>Sección 3.ª De los cursos de formación de los distribuidores de seguros y de </w:t>
      </w:r>
      <w:r>
        <w:rPr/>
        <w:t>reaseguros</w:t>
      </w:r>
    </w:p>
    <w:p>
      <w:pPr>
        <w:pStyle w:val="BodyText"/>
        <w:spacing w:before="8"/>
        <w:ind w:left="0" w:firstLine="0"/>
        <w:jc w:val="left"/>
        <w:rPr>
          <w:b/>
          <w:i/>
          <w:sz w:val="29"/>
        </w:rPr>
      </w:pPr>
    </w:p>
    <w:p>
      <w:pPr>
        <w:spacing w:before="0"/>
        <w:ind w:left="1074" w:right="0" w:firstLine="0"/>
        <w:jc w:val="both"/>
        <w:rPr>
          <w:i/>
          <w:sz w:val="20"/>
        </w:rPr>
      </w:pPr>
      <w:bookmarkStart w:name="Artículo 165. Requisitos y organización " w:id="270"/>
      <w:bookmarkEnd w:id="270"/>
      <w:r>
        <w:rPr/>
      </w:r>
      <w:r>
        <w:rPr>
          <w:b/>
          <w:sz w:val="20"/>
        </w:rPr>
        <w:t>Artículo 165. </w:t>
      </w:r>
      <w:r>
        <w:rPr>
          <w:i/>
          <w:sz w:val="20"/>
        </w:rPr>
        <w:t>Requisitos y organización de los cursos de formación.</w:t>
      </w:r>
    </w:p>
    <w:p>
      <w:pPr>
        <w:pStyle w:val="ListParagraph"/>
        <w:numPr>
          <w:ilvl w:val="0"/>
          <w:numId w:val="277"/>
        </w:numPr>
        <w:tabs>
          <w:tab w:pos="1696" w:val="left" w:leader="none"/>
        </w:tabs>
        <w:spacing w:line="249" w:lineRule="auto" w:before="118" w:after="0"/>
        <w:ind w:left="1074" w:right="1271" w:firstLine="340"/>
        <w:jc w:val="both"/>
        <w:rPr>
          <w:sz w:val="20"/>
        </w:rPr>
      </w:pPr>
      <w:r>
        <w:rPr>
          <w:sz w:val="20"/>
        </w:rPr>
        <w:t>La Dirección General de Seguros y Fondos de Pensiones establecerá mediante resolución las líneas generales y los principios básicos que habrán de cumplir los cursos de formación en materias financieras y de seguros privados, en cuanto a su contenido, organización y ejecución, que deberán ser programados en función de la cualificación profesional y de los conocimientos previos acreditados por los asistentes, todo ello de conformidad con lo previsto en el anexo</w:t>
      </w:r>
      <w:r>
        <w:rPr>
          <w:spacing w:val="-7"/>
          <w:sz w:val="20"/>
        </w:rPr>
        <w:t> </w:t>
      </w:r>
      <w:r>
        <w:rPr>
          <w:sz w:val="20"/>
        </w:rPr>
        <w:t>XII.</w:t>
      </w:r>
    </w:p>
    <w:p>
      <w:pPr>
        <w:pStyle w:val="BodyText"/>
        <w:spacing w:line="249" w:lineRule="auto" w:before="5"/>
        <w:ind w:right="1273"/>
      </w:pPr>
      <w:r>
        <w:rPr/>
        <w:t>Los cursos de formación continua deberán considerar la clase de distribuidor, los productos distribuidos, la función desempeñada y la actividad realizada, y se desarrollarán sobre la base de, al menos, 15 horas de formación al año.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77"/>
        </w:numPr>
        <w:tabs>
          <w:tab w:pos="1660" w:val="left" w:leader="none"/>
        </w:tabs>
        <w:spacing w:line="249" w:lineRule="auto" w:before="127" w:after="0"/>
        <w:ind w:left="1074" w:right="1271" w:firstLine="340"/>
        <w:jc w:val="both"/>
        <w:rPr>
          <w:sz w:val="20"/>
        </w:rPr>
      </w:pPr>
      <w:r>
        <w:rPr>
          <w:sz w:val="20"/>
        </w:rPr>
        <w:t>Reglamentariamente se desarrollarán los requisitos necesarios para poder organizar los cursos de formación, incluido, en su caso, y para los cursos de formación que</w:t>
      </w:r>
      <w:r>
        <w:rPr>
          <w:spacing w:val="5"/>
          <w:sz w:val="20"/>
        </w:rPr>
        <w:t> </w:t>
      </w:r>
      <w:r>
        <w:rPr>
          <w:sz w:val="20"/>
        </w:rPr>
        <w:t>se determinen, la necesidad de autorización previa de la Dirección General de Seguros y Fondos de Pensiones. Los organizadores emitirán las certificaciones que acrediten la superación de los</w:t>
      </w:r>
      <w:r>
        <w:rPr>
          <w:spacing w:val="-3"/>
          <w:sz w:val="20"/>
        </w:rPr>
        <w:t> </w:t>
      </w:r>
      <w:r>
        <w:rPr>
          <w:sz w:val="20"/>
        </w:rPr>
        <w:t>mismos.</w:t>
      </w:r>
    </w:p>
    <w:p>
      <w:pPr>
        <w:pStyle w:val="ListParagraph"/>
        <w:numPr>
          <w:ilvl w:val="0"/>
          <w:numId w:val="277"/>
        </w:numPr>
        <w:tabs>
          <w:tab w:pos="1718" w:val="left" w:leader="none"/>
        </w:tabs>
        <w:spacing w:line="249" w:lineRule="auto" w:before="4" w:after="0"/>
        <w:ind w:left="1074" w:right="1272" w:firstLine="340"/>
        <w:jc w:val="both"/>
        <w:rPr>
          <w:sz w:val="20"/>
        </w:rPr>
      </w:pPr>
      <w:r>
        <w:rPr>
          <w:sz w:val="20"/>
        </w:rPr>
        <w:t>La autorización concedida a los centros de formación por cualquier autoridad competente tendrá eficacia nacional. El titular de la autorización comunicará a la autoridad competente de su Comunidad Autónoma o a la Dirección General de Seguros y Fondos de Pensiones, según corresponda, la apertura de nuevos centros de</w:t>
      </w:r>
      <w:r>
        <w:rPr>
          <w:spacing w:val="-9"/>
          <w:sz w:val="20"/>
        </w:rPr>
        <w:t> </w:t>
      </w:r>
      <w:r>
        <w:rPr>
          <w:sz w:val="20"/>
        </w:rPr>
        <w:t>formación.</w:t>
      </w:r>
    </w:p>
    <w:p>
      <w:pPr>
        <w:pStyle w:val="ListParagraph"/>
        <w:numPr>
          <w:ilvl w:val="0"/>
          <w:numId w:val="277"/>
        </w:numPr>
        <w:tabs>
          <w:tab w:pos="1637" w:val="left" w:leader="none"/>
        </w:tabs>
        <w:spacing w:line="240" w:lineRule="auto" w:before="3" w:after="0"/>
        <w:ind w:left="1636" w:right="0" w:hanging="223"/>
        <w:jc w:val="both"/>
        <w:rPr>
          <w:sz w:val="20"/>
        </w:rPr>
      </w:pPr>
      <w:r>
        <w:rPr>
          <w:sz w:val="20"/>
        </w:rPr>
        <w:t>Los cursos de formación se configurarán atendiendo a lo dispuesto en el anexo</w:t>
      </w:r>
      <w:r>
        <w:rPr>
          <w:spacing w:val="-18"/>
          <w:sz w:val="20"/>
        </w:rPr>
        <w:t> </w:t>
      </w:r>
      <w:r>
        <w:rPr>
          <w:sz w:val="20"/>
        </w:rPr>
        <w:t>XII.</w:t>
      </w:r>
    </w:p>
    <w:p>
      <w:pPr>
        <w:pStyle w:val="BodyText"/>
        <w:spacing w:before="1"/>
        <w:ind w:left="0" w:firstLine="0"/>
        <w:jc w:val="left"/>
        <w:rPr>
          <w:sz w:val="21"/>
        </w:rPr>
      </w:pPr>
    </w:p>
    <w:p>
      <w:pPr>
        <w:pStyle w:val="Heading2"/>
        <w:ind w:right="1613"/>
        <w:rPr>
          <w:i/>
        </w:rPr>
      </w:pPr>
      <w:bookmarkStart w:name="Sección 4.ª De los mecanismos de resoluc" w:id="271"/>
      <w:bookmarkEnd w:id="271"/>
      <w:r>
        <w:rPr>
          <w:b w:val="0"/>
          <w:i w:val="0"/>
        </w:rPr>
      </w:r>
      <w:bookmarkStart w:name="_bookmark52" w:id="272"/>
      <w:bookmarkEnd w:id="272"/>
      <w:r>
        <w:rPr>
          <w:b w:val="0"/>
          <w:i w:val="0"/>
        </w:rPr>
      </w:r>
      <w:r>
        <w:rPr>
          <w:i/>
        </w:rPr>
        <w:t>Sección 4.ª De los mecanismos de resolución de conflictos</w:t>
      </w:r>
    </w:p>
    <w:p>
      <w:pPr>
        <w:pStyle w:val="BodyText"/>
        <w:spacing w:before="5"/>
        <w:ind w:left="0" w:firstLine="0"/>
        <w:jc w:val="left"/>
        <w:rPr>
          <w:b/>
          <w:i/>
          <w:sz w:val="30"/>
        </w:rPr>
      </w:pPr>
    </w:p>
    <w:p>
      <w:pPr>
        <w:spacing w:before="0"/>
        <w:ind w:left="1074" w:right="0" w:firstLine="0"/>
        <w:jc w:val="both"/>
        <w:rPr>
          <w:i/>
          <w:sz w:val="20"/>
        </w:rPr>
      </w:pPr>
      <w:bookmarkStart w:name="Artículo 166. Obligación de atender y re" w:id="273"/>
      <w:bookmarkEnd w:id="273"/>
      <w:r>
        <w:rPr/>
      </w:r>
      <w:r>
        <w:rPr>
          <w:b/>
          <w:sz w:val="20"/>
        </w:rPr>
        <w:t>Artículo 166. </w:t>
      </w:r>
      <w:r>
        <w:rPr>
          <w:i/>
          <w:sz w:val="20"/>
        </w:rPr>
        <w:t>Obligación de atender y resolver quejas y reclamaciones.</w:t>
      </w:r>
    </w:p>
    <w:p>
      <w:pPr>
        <w:pStyle w:val="ListParagraph"/>
        <w:numPr>
          <w:ilvl w:val="0"/>
          <w:numId w:val="278"/>
        </w:numPr>
        <w:tabs>
          <w:tab w:pos="1645" w:val="left" w:leader="none"/>
        </w:tabs>
        <w:spacing w:line="249" w:lineRule="auto" w:before="118" w:after="0"/>
        <w:ind w:left="1074" w:right="1272" w:firstLine="340"/>
        <w:jc w:val="both"/>
        <w:rPr>
          <w:sz w:val="20"/>
        </w:rPr>
      </w:pPr>
      <w:r>
        <w:rPr>
          <w:sz w:val="20"/>
        </w:rPr>
        <w:t>Las entidades aseguradoras, los corredores de seguros, las sucursales en España de mediadores de seguros, así como los mediadores de otros Estados miembros que actúen en España en régimen de libre prestación de servicios, están obligados a atender y resolver las quejas y reclamaciones que se formulen por los sujetos legitimados conforme a lo establecido en el título I y en la normativa sobre protección del cliente de servicios financieros.</w:t>
      </w:r>
    </w:p>
    <w:p>
      <w:pPr>
        <w:pStyle w:val="ListParagraph"/>
        <w:numPr>
          <w:ilvl w:val="0"/>
          <w:numId w:val="278"/>
        </w:numPr>
        <w:tabs>
          <w:tab w:pos="1661" w:val="left" w:leader="none"/>
        </w:tabs>
        <w:spacing w:line="249" w:lineRule="auto" w:before="5" w:after="0"/>
        <w:ind w:left="1074" w:right="1273" w:firstLine="340"/>
        <w:jc w:val="both"/>
        <w:rPr>
          <w:sz w:val="20"/>
        </w:rPr>
      </w:pPr>
      <w:r>
        <w:rPr>
          <w:sz w:val="20"/>
        </w:rPr>
        <w:t>Los departamentos y servicios de atención al cliente de las entidades aseguradoras atenderán y resolverán las quejas y reclamaciones que se presenten en relación con la actuación de sus empleados y agentes de seguros y operadores de banca-seguros, en los términos que establezca la normativa sobre protección del cliente de servicios</w:t>
      </w:r>
      <w:r>
        <w:rPr>
          <w:spacing w:val="-28"/>
          <w:sz w:val="20"/>
        </w:rPr>
        <w:t> </w:t>
      </w:r>
      <w:r>
        <w:rPr>
          <w:sz w:val="20"/>
        </w:rPr>
        <w:t>financieros.</w:t>
      </w:r>
    </w:p>
    <w:p>
      <w:pPr>
        <w:pStyle w:val="ListParagraph"/>
        <w:numPr>
          <w:ilvl w:val="0"/>
          <w:numId w:val="278"/>
        </w:numPr>
        <w:tabs>
          <w:tab w:pos="1655" w:val="left" w:leader="none"/>
        </w:tabs>
        <w:spacing w:line="249" w:lineRule="auto" w:before="3" w:after="0"/>
        <w:ind w:left="1074" w:right="1272" w:firstLine="340"/>
        <w:jc w:val="both"/>
        <w:rPr>
          <w:sz w:val="20"/>
        </w:rPr>
      </w:pPr>
      <w:r>
        <w:rPr>
          <w:sz w:val="20"/>
        </w:rPr>
        <w:t>Los corredores de seguros y los mediadores de seguros de otros Estados miembros que operen en España a través de sucursal, deberán contar con un departamento o servicio de atención al cliente para atender y resolver las quejas y reclamaciones, salvo que encomienden la atención y resolución de la totalidad de las quejas y reclamaciones que reciban a un defensor del cliente, en los términos establecidos en el artículo</w:t>
      </w:r>
      <w:r>
        <w:rPr>
          <w:spacing w:val="-25"/>
          <w:sz w:val="20"/>
        </w:rPr>
        <w:t> </w:t>
      </w:r>
      <w:r>
        <w:rPr>
          <w:sz w:val="20"/>
        </w:rPr>
        <w:t>167.</w:t>
      </w:r>
    </w:p>
    <w:p>
      <w:pPr>
        <w:pStyle w:val="BodyText"/>
        <w:spacing w:line="249" w:lineRule="auto" w:before="4"/>
        <w:ind w:right="1273"/>
      </w:pPr>
      <w:r>
        <w:rPr/>
        <w:t>A estos efectos, podrán contratar externamente el desempeño de las funciones del departamento o servicio de atención al cliente con otra persona o entidad ajena a la estructura de su organización, siempre que reúna los requisitos exigidos en la normativa sobre protección del cliente de servicios financieros.</w:t>
      </w:r>
    </w:p>
    <w:p>
      <w:pPr>
        <w:pStyle w:val="ListParagraph"/>
        <w:numPr>
          <w:ilvl w:val="0"/>
          <w:numId w:val="278"/>
        </w:numPr>
        <w:tabs>
          <w:tab w:pos="1646" w:val="left" w:leader="none"/>
        </w:tabs>
        <w:spacing w:line="249" w:lineRule="auto" w:before="3" w:after="0"/>
        <w:ind w:left="1074" w:right="1274" w:firstLine="340"/>
        <w:jc w:val="both"/>
        <w:rPr>
          <w:sz w:val="20"/>
        </w:rPr>
      </w:pPr>
      <w:r>
        <w:rPr>
          <w:sz w:val="20"/>
        </w:rPr>
        <w:t>El departamento o servicio de atención al cliente podrá ser común a otras sociedades del mismo grupo</w:t>
      </w:r>
      <w:r>
        <w:rPr>
          <w:spacing w:val="-3"/>
          <w:sz w:val="20"/>
        </w:rPr>
        <w:t> </w:t>
      </w:r>
      <w:r>
        <w:rPr>
          <w:sz w:val="20"/>
        </w:rPr>
        <w:t>económico.</w:t>
      </w:r>
    </w:p>
    <w:p>
      <w:pPr>
        <w:pStyle w:val="BodyText"/>
        <w:spacing w:before="5"/>
        <w:ind w:left="0" w:firstLine="0"/>
        <w:jc w:val="left"/>
      </w:pPr>
    </w:p>
    <w:p>
      <w:pPr>
        <w:spacing w:before="0"/>
        <w:ind w:left="1074" w:right="0" w:firstLine="0"/>
        <w:jc w:val="both"/>
        <w:rPr>
          <w:i/>
          <w:sz w:val="20"/>
        </w:rPr>
      </w:pPr>
      <w:bookmarkStart w:name="Artículo 167. Defensor del cliente." w:id="274"/>
      <w:bookmarkEnd w:id="274"/>
      <w:r>
        <w:rPr/>
      </w:r>
      <w:r>
        <w:rPr>
          <w:b/>
          <w:sz w:val="20"/>
        </w:rPr>
        <w:t>Artículo 167. </w:t>
      </w:r>
      <w:r>
        <w:rPr>
          <w:i/>
          <w:sz w:val="20"/>
        </w:rPr>
        <w:t>Defensor del cliente.</w:t>
      </w:r>
    </w:p>
    <w:p>
      <w:pPr>
        <w:pStyle w:val="ListParagraph"/>
        <w:numPr>
          <w:ilvl w:val="0"/>
          <w:numId w:val="279"/>
        </w:numPr>
        <w:tabs>
          <w:tab w:pos="1693" w:val="left" w:leader="none"/>
        </w:tabs>
        <w:spacing w:line="249" w:lineRule="auto" w:before="117" w:after="0"/>
        <w:ind w:left="1074" w:right="1271" w:firstLine="340"/>
        <w:jc w:val="both"/>
        <w:rPr>
          <w:sz w:val="20"/>
        </w:rPr>
      </w:pPr>
      <w:r>
        <w:rPr>
          <w:sz w:val="20"/>
        </w:rPr>
        <w:t>Las entidades aseguradoras y los corredores de seguros, podrán designar, bien individualmente, bien agrupados por ramos de seguro, proximidad geográfica, volumen de negocio o cualquier otro criterio, un defensor del cliente, que habrá de ser una entidad o experto independiente de reconocido prestigio, a quien corresponderá atender y resolver los tipos de quejas y reclamaciones que se sometan a su decisión en el marco de lo que disponga su reglamento de funcionamiento, así como promover el cumplimiento de la normativa sobre transparencia y protección del cliente y de las buenas prácticas y usos financieros, todo ello conforme a lo dispuesto en la normativa sobre protección del cliente de servicios financieros.</w:t>
      </w:r>
    </w:p>
    <w:p>
      <w:pPr>
        <w:pStyle w:val="ListParagraph"/>
        <w:numPr>
          <w:ilvl w:val="0"/>
          <w:numId w:val="279"/>
        </w:numPr>
        <w:tabs>
          <w:tab w:pos="1655" w:val="left" w:leader="none"/>
        </w:tabs>
        <w:spacing w:line="249" w:lineRule="auto" w:before="8" w:after="0"/>
        <w:ind w:left="1074" w:right="1273" w:firstLine="340"/>
        <w:jc w:val="both"/>
        <w:rPr>
          <w:sz w:val="20"/>
        </w:rPr>
      </w:pPr>
      <w:r>
        <w:rPr>
          <w:sz w:val="20"/>
        </w:rPr>
        <w:t>La decisión del defensor del cliente favorable a la reclamación vinculará a la entidad aseguradora o al corredor de seguros. Esta vinculación no será obstáculo a la plenitud de la tutela judicial, al recurso a otros mecanismos de resolución de conflictos ni a la protección administrativa.</w:t>
      </w:r>
    </w:p>
    <w:p>
      <w:pPr>
        <w:pStyle w:val="ListParagraph"/>
        <w:numPr>
          <w:ilvl w:val="0"/>
          <w:numId w:val="279"/>
        </w:numPr>
        <w:tabs>
          <w:tab w:pos="1678" w:val="left" w:leader="none"/>
        </w:tabs>
        <w:spacing w:line="249" w:lineRule="auto" w:before="3" w:after="0"/>
        <w:ind w:left="1074" w:right="1273" w:firstLine="340"/>
        <w:jc w:val="both"/>
        <w:rPr>
          <w:sz w:val="20"/>
        </w:rPr>
      </w:pPr>
      <w:r>
        <w:rPr>
          <w:sz w:val="20"/>
        </w:rPr>
        <w:t>La designación del defensor del cliente podrá efectuarse conjuntamente con otras entidades, de manera que aquel atienda y resuelva las reclamaciones de los clientes de todas ellas, de acuerdo con lo que disponga su reglamento de</w:t>
      </w:r>
      <w:r>
        <w:rPr>
          <w:spacing w:val="-15"/>
          <w:sz w:val="20"/>
        </w:rPr>
        <w:t> </w:t>
      </w:r>
      <w:r>
        <w:rPr>
          <w:sz w:val="20"/>
        </w:rPr>
        <w:t>funcionamiento.</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68. Protección administrativa " w:id="275"/>
      <w:bookmarkEnd w:id="275"/>
      <w:r>
        <w:rPr/>
      </w:r>
      <w:r>
        <w:rPr>
          <w:b/>
          <w:sz w:val="20"/>
        </w:rPr>
        <w:t>Artículo 168. </w:t>
      </w:r>
      <w:r>
        <w:rPr>
          <w:i/>
          <w:sz w:val="20"/>
        </w:rPr>
        <w:t>Protección administrativa del cliente de los servicios financieros.</w:t>
      </w:r>
    </w:p>
    <w:p>
      <w:pPr>
        <w:pStyle w:val="ListParagraph"/>
        <w:numPr>
          <w:ilvl w:val="0"/>
          <w:numId w:val="280"/>
        </w:numPr>
        <w:tabs>
          <w:tab w:pos="1660" w:val="left" w:leader="none"/>
        </w:tabs>
        <w:spacing w:line="249" w:lineRule="auto" w:before="118" w:after="0"/>
        <w:ind w:left="1074" w:right="1272" w:firstLine="340"/>
        <w:jc w:val="both"/>
        <w:rPr>
          <w:sz w:val="20"/>
        </w:rPr>
      </w:pPr>
      <w:r>
        <w:rPr>
          <w:sz w:val="20"/>
        </w:rPr>
        <w:t>El cliente podrá presentar quejas y reclamaciones, relacionadas con sus intereses y derechos legalmente reconocidos, ante el órgano administrativo competente y conforme al procedimiento establecido en la normativa sobre protección del cliente de los servicios financieros y, en su caso, a la normativa en materia de</w:t>
      </w:r>
      <w:r>
        <w:rPr>
          <w:spacing w:val="-9"/>
          <w:sz w:val="20"/>
        </w:rPr>
        <w:t> </w:t>
      </w:r>
      <w:r>
        <w:rPr>
          <w:sz w:val="20"/>
        </w:rPr>
        <w:t>consumo.</w:t>
      </w:r>
    </w:p>
    <w:p>
      <w:pPr>
        <w:pStyle w:val="ListParagraph"/>
        <w:numPr>
          <w:ilvl w:val="0"/>
          <w:numId w:val="280"/>
        </w:numPr>
        <w:tabs>
          <w:tab w:pos="1658" w:val="left" w:leader="none"/>
        </w:tabs>
        <w:spacing w:line="249" w:lineRule="auto" w:before="3" w:after="0"/>
        <w:ind w:left="1074" w:right="1273" w:firstLine="340"/>
        <w:jc w:val="both"/>
        <w:rPr>
          <w:sz w:val="20"/>
        </w:rPr>
      </w:pPr>
      <w:r>
        <w:rPr>
          <w:sz w:val="20"/>
        </w:rPr>
        <w:t>Sin perjuicio de lo dispuesto para las entidades aseguradoras en la normativa sobre protección del cliente de los servicios financieros, tratándose de quejas y reclamaciones referentes a la actuación de mediadores de seguros residentes o domiciliados en España y de sucursales en España de mediadores de seguros residentes en otros Estados miembros, será imprescindible acreditar haber formulado la queja o reclamación previamente ante el departamento o servicio de atención al cliente de la entidad o, en su caso, ante el defensor del</w:t>
      </w:r>
      <w:r>
        <w:rPr>
          <w:spacing w:val="-2"/>
          <w:sz w:val="20"/>
        </w:rPr>
        <w:t> </w:t>
      </w:r>
      <w:r>
        <w:rPr>
          <w:sz w:val="20"/>
        </w:rPr>
        <w:t>cliente.</w:t>
      </w:r>
    </w:p>
    <w:p>
      <w:pPr>
        <w:pStyle w:val="ListParagraph"/>
        <w:numPr>
          <w:ilvl w:val="0"/>
          <w:numId w:val="280"/>
        </w:numPr>
        <w:tabs>
          <w:tab w:pos="1653" w:val="left" w:leader="none"/>
        </w:tabs>
        <w:spacing w:line="249" w:lineRule="auto" w:before="6" w:after="0"/>
        <w:ind w:left="1074" w:right="1272" w:firstLine="340"/>
        <w:jc w:val="both"/>
        <w:rPr>
          <w:sz w:val="20"/>
        </w:rPr>
      </w:pPr>
      <w:r>
        <w:rPr>
          <w:sz w:val="20"/>
        </w:rPr>
        <w:t>Hasta la entrada en vigor de la Ley prevista en la disposición adicional primera de la Ley 7/2017, de 2 de noviembre, por la que se incorpora al ordenamiento jurídico español la Directiva 2013/11/UE, del Parlamento Europeo y del Consejo, de 21 de mayo de 2013, relativa a la resolución alternativa de litigios en materia de consumo, el servicio de reclamaciones de la Dirección General de Seguros y Fondos de Pensiones regulado en el artículo 30 de la Ley 44/2002, de 22 de noviembre, de Medidas de Reforma del Sistema Financiero, atenderá las quejas y reclamaciones que presenten los tomadores, asegurados y beneficiarios por contrato de</w:t>
      </w:r>
      <w:r>
        <w:rPr>
          <w:spacing w:val="-4"/>
          <w:sz w:val="20"/>
        </w:rPr>
        <w:t> </w:t>
      </w:r>
      <w:r>
        <w:rPr>
          <w:sz w:val="20"/>
        </w:rPr>
        <w:t>seguro.</w:t>
      </w:r>
    </w:p>
    <w:p>
      <w:pPr>
        <w:pStyle w:val="BodyText"/>
        <w:spacing w:line="249" w:lineRule="auto" w:before="6"/>
        <w:ind w:right="1271"/>
      </w:pPr>
      <w:r>
        <w:rPr/>
        <w:t>El servicio de reclamaciones de la Dirección General de Seguros y Fondos de Pensiones ajustará su proceder a los principios de proporcionalidad, adecuación, imparcialidad, efectividad e independencia organizativa y funcional.</w:t>
      </w:r>
    </w:p>
    <w:p>
      <w:pPr>
        <w:pStyle w:val="BodyText"/>
        <w:spacing w:before="5"/>
        <w:ind w:left="0" w:firstLine="0"/>
        <w:jc w:val="left"/>
      </w:pPr>
    </w:p>
    <w:p>
      <w:pPr>
        <w:pStyle w:val="Heading2"/>
        <w:spacing w:line="249" w:lineRule="auto"/>
        <w:ind w:right="1610" w:hanging="3"/>
      </w:pPr>
      <w:bookmarkStart w:name="Sección 5.ª De la actividad de los media" w:id="276"/>
      <w:bookmarkEnd w:id="276"/>
      <w:r>
        <w:rPr>
          <w:b w:val="0"/>
          <w:i w:val="0"/>
        </w:rPr>
      </w:r>
      <w:bookmarkStart w:name="_bookmark53" w:id="277"/>
      <w:bookmarkEnd w:id="277"/>
      <w:r>
        <w:rPr>
          <w:b w:val="0"/>
          <w:i w:val="0"/>
        </w:rPr>
      </w:r>
      <w:r>
        <w:rPr>
          <w:i/>
        </w:rPr>
        <w:t>Sección 5.ª De la actividad de los mediadores de seguros y de reaseguros </w:t>
      </w:r>
      <w:r>
        <w:rPr/>
        <w:t>residentes o domiciliados en España en régimen de libre prestación de servicios y en régimen de derecho de establecimiento en otros estados miembros de la Unión Europea</w:t>
      </w:r>
    </w:p>
    <w:p>
      <w:pPr>
        <w:pStyle w:val="BodyText"/>
        <w:spacing w:before="10"/>
        <w:ind w:left="0" w:firstLine="0"/>
        <w:jc w:val="left"/>
        <w:rPr>
          <w:b/>
          <w:i/>
          <w:sz w:val="29"/>
        </w:rPr>
      </w:pPr>
    </w:p>
    <w:p>
      <w:pPr>
        <w:spacing w:before="0"/>
        <w:ind w:left="1074" w:right="0" w:firstLine="0"/>
        <w:jc w:val="both"/>
        <w:rPr>
          <w:i/>
          <w:sz w:val="20"/>
        </w:rPr>
      </w:pPr>
      <w:bookmarkStart w:name="Artículo 169. Ejercicio de actividad en " w:id="278"/>
      <w:bookmarkEnd w:id="278"/>
      <w:r>
        <w:rPr/>
      </w:r>
      <w:r>
        <w:rPr>
          <w:b/>
          <w:sz w:val="20"/>
        </w:rPr>
        <w:t>Artículo 169. </w:t>
      </w:r>
      <w:r>
        <w:rPr>
          <w:i/>
          <w:sz w:val="20"/>
        </w:rPr>
        <w:t>Ejercicio de actividad en régimen de libre prestación de servicios.</w:t>
      </w:r>
    </w:p>
    <w:p>
      <w:pPr>
        <w:pStyle w:val="ListParagraph"/>
        <w:numPr>
          <w:ilvl w:val="0"/>
          <w:numId w:val="281"/>
        </w:numPr>
        <w:tabs>
          <w:tab w:pos="1641" w:val="left" w:leader="none"/>
        </w:tabs>
        <w:spacing w:line="249" w:lineRule="auto" w:before="118" w:after="0"/>
        <w:ind w:left="1074" w:right="1271" w:firstLine="340"/>
        <w:jc w:val="both"/>
        <w:rPr>
          <w:sz w:val="20"/>
        </w:rPr>
      </w:pPr>
      <w:r>
        <w:rPr>
          <w:sz w:val="20"/>
        </w:rPr>
        <w:t>Todo mediador de seguros o de reaseguros residente o domiciliado en España que se proponga ejercer una actividad en régimen de libre prestación de servicios en el territorio de otro Estado miembro, facilitará a la Dirección General de Seguros y Fondos de Pensiones la siguiente</w:t>
      </w:r>
      <w:r>
        <w:rPr>
          <w:spacing w:val="-1"/>
          <w:sz w:val="20"/>
        </w:rPr>
        <w:t> </w:t>
      </w:r>
      <w:r>
        <w:rPr>
          <w:sz w:val="20"/>
        </w:rPr>
        <w:t>información:</w:t>
      </w:r>
    </w:p>
    <w:p>
      <w:pPr>
        <w:pStyle w:val="ListParagraph"/>
        <w:numPr>
          <w:ilvl w:val="0"/>
          <w:numId w:val="282"/>
        </w:numPr>
        <w:tabs>
          <w:tab w:pos="1648" w:val="left" w:leader="none"/>
        </w:tabs>
        <w:spacing w:line="240" w:lineRule="auto" w:before="123" w:after="0"/>
        <w:ind w:left="1647" w:right="0" w:hanging="234"/>
        <w:jc w:val="left"/>
        <w:rPr>
          <w:sz w:val="20"/>
        </w:rPr>
      </w:pPr>
      <w:r>
        <w:rPr>
          <w:sz w:val="20"/>
        </w:rPr>
        <w:t>Nombre, dirección y número de</w:t>
      </w:r>
      <w:r>
        <w:rPr>
          <w:spacing w:val="-5"/>
          <w:sz w:val="20"/>
        </w:rPr>
        <w:t> </w:t>
      </w:r>
      <w:r>
        <w:rPr>
          <w:sz w:val="20"/>
        </w:rPr>
        <w:t>registro.</w:t>
      </w:r>
    </w:p>
    <w:p>
      <w:pPr>
        <w:pStyle w:val="ListParagraph"/>
        <w:numPr>
          <w:ilvl w:val="0"/>
          <w:numId w:val="282"/>
        </w:numPr>
        <w:tabs>
          <w:tab w:pos="1648" w:val="left" w:leader="none"/>
        </w:tabs>
        <w:spacing w:line="240" w:lineRule="auto" w:before="10" w:after="0"/>
        <w:ind w:left="1647" w:right="0" w:hanging="234"/>
        <w:jc w:val="left"/>
        <w:rPr>
          <w:sz w:val="20"/>
        </w:rPr>
      </w:pPr>
      <w:r>
        <w:rPr>
          <w:sz w:val="20"/>
        </w:rPr>
        <w:t>Estado en cuyo territorio tenga previsto</w:t>
      </w:r>
      <w:r>
        <w:rPr>
          <w:spacing w:val="-3"/>
          <w:sz w:val="20"/>
        </w:rPr>
        <w:t> </w:t>
      </w:r>
      <w:r>
        <w:rPr>
          <w:sz w:val="20"/>
        </w:rPr>
        <w:t>operar.</w:t>
      </w:r>
    </w:p>
    <w:p>
      <w:pPr>
        <w:pStyle w:val="ListParagraph"/>
        <w:numPr>
          <w:ilvl w:val="0"/>
          <w:numId w:val="282"/>
        </w:numPr>
        <w:tabs>
          <w:tab w:pos="1646" w:val="left" w:leader="none"/>
        </w:tabs>
        <w:spacing w:line="249" w:lineRule="auto" w:before="10" w:after="0"/>
        <w:ind w:left="1074" w:right="1274" w:firstLine="340"/>
        <w:jc w:val="left"/>
        <w:rPr>
          <w:sz w:val="20"/>
        </w:rPr>
      </w:pPr>
      <w:r>
        <w:rPr>
          <w:sz w:val="20"/>
        </w:rPr>
        <w:t>Clase de mediador y, cuando proceda, identificación de las entidades aseguradoras o reaseguradoras a las que</w:t>
      </w:r>
      <w:r>
        <w:rPr>
          <w:spacing w:val="-4"/>
          <w:sz w:val="20"/>
        </w:rPr>
        <w:t> </w:t>
      </w:r>
      <w:r>
        <w:rPr>
          <w:sz w:val="20"/>
        </w:rPr>
        <w:t>represente.</w:t>
      </w:r>
    </w:p>
    <w:p>
      <w:pPr>
        <w:pStyle w:val="ListParagraph"/>
        <w:numPr>
          <w:ilvl w:val="0"/>
          <w:numId w:val="282"/>
        </w:numPr>
        <w:tabs>
          <w:tab w:pos="1648" w:val="left" w:leader="none"/>
        </w:tabs>
        <w:spacing w:line="240" w:lineRule="auto" w:before="2" w:after="0"/>
        <w:ind w:left="1647" w:right="0" w:hanging="234"/>
        <w:jc w:val="left"/>
        <w:rPr>
          <w:sz w:val="20"/>
        </w:rPr>
      </w:pPr>
      <w:r>
        <w:rPr>
          <w:sz w:val="20"/>
        </w:rPr>
        <w:t>Ramos de seguros en los que tenga previsto realizar la actividad de</w:t>
      </w:r>
      <w:r>
        <w:rPr>
          <w:spacing w:val="-20"/>
          <w:sz w:val="20"/>
        </w:rPr>
        <w:t> </w:t>
      </w:r>
      <w:r>
        <w:rPr>
          <w:sz w:val="20"/>
        </w:rPr>
        <w:t>distribución.</w:t>
      </w:r>
    </w:p>
    <w:p>
      <w:pPr>
        <w:pStyle w:val="ListParagraph"/>
        <w:numPr>
          <w:ilvl w:val="0"/>
          <w:numId w:val="281"/>
        </w:numPr>
        <w:tabs>
          <w:tab w:pos="1656" w:val="left" w:leader="none"/>
        </w:tabs>
        <w:spacing w:line="249" w:lineRule="auto" w:before="130" w:after="0"/>
        <w:ind w:left="1074" w:right="1272" w:firstLine="340"/>
        <w:jc w:val="both"/>
        <w:rPr>
          <w:sz w:val="20"/>
        </w:rPr>
      </w:pPr>
      <w:r>
        <w:rPr>
          <w:sz w:val="20"/>
        </w:rPr>
        <w:t>En el plazo de un mes, a partir de la fecha de recepción de la información a que se refiere el apartado 1, la Dirección General de Seguros y Fondos de Pensiones comunicará dicha información a la autoridad competente del Estado miembro de acogida, salvo que se niegue a realizar dicha comunicación por tener razones para dudar de la estructura organizativa o de la situación financiera del mediador. En caso de negativa a transmitir la información al Estado miembro de acogida, deberá informar de manera motivada por escrito al mediador de seguros o reaseguros, en el mismo</w:t>
      </w:r>
      <w:r>
        <w:rPr>
          <w:spacing w:val="-7"/>
          <w:sz w:val="20"/>
        </w:rPr>
        <w:t> </w:t>
      </w:r>
      <w:r>
        <w:rPr>
          <w:sz w:val="20"/>
        </w:rPr>
        <w:t>plazo.</w:t>
      </w:r>
    </w:p>
    <w:p>
      <w:pPr>
        <w:pStyle w:val="ListParagraph"/>
        <w:numPr>
          <w:ilvl w:val="0"/>
          <w:numId w:val="281"/>
        </w:numPr>
        <w:tabs>
          <w:tab w:pos="1676" w:val="left" w:leader="none"/>
        </w:tabs>
        <w:spacing w:line="249" w:lineRule="auto" w:before="6" w:after="0"/>
        <w:ind w:left="1074" w:right="1272" w:firstLine="340"/>
        <w:jc w:val="both"/>
        <w:rPr>
          <w:sz w:val="20"/>
        </w:rPr>
      </w:pPr>
      <w:r>
        <w:rPr>
          <w:sz w:val="20"/>
        </w:rPr>
        <w:t>La Dirección General de Seguros y Fondos de Pensiones informará por escrito al mediador de seguros o de reaseguros que la autoridad competente del Estado miembro de acogida ha recibido la información y que el mediador puede comenzar a desarrollar su actividad en dicho Estado</w:t>
      </w:r>
      <w:r>
        <w:rPr>
          <w:spacing w:val="-4"/>
          <w:sz w:val="20"/>
        </w:rPr>
        <w:t> </w:t>
      </w:r>
      <w:r>
        <w:rPr>
          <w:sz w:val="20"/>
        </w:rPr>
        <w:t>miembro.</w:t>
      </w:r>
    </w:p>
    <w:p>
      <w:pPr>
        <w:pStyle w:val="BodyText"/>
        <w:spacing w:line="249" w:lineRule="auto" w:before="3"/>
        <w:ind w:right="1273"/>
      </w:pPr>
      <w:r>
        <w:rPr/>
        <w:t>Cuando proceda, la Dirección General de Seguros y Fondos de Pensiones informará al mismo tiempo al mediador que la información relativa a las disposiciones nacionales adoptadas por motivos de interés general de aplicación en el Estado miembro de acogida están disponibles en el sitio web de la Autoridad Europea de Seguros y Pensiones de Jubilación y en el punto de contacto único establecido por el Estado miembro de acogida, así</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hanging="1"/>
      </w:pPr>
      <w:r>
        <w:rPr/>
        <w:t>como que el mediador debe cumplir dichas disposiciones a fin de iniciar sus operaciones en el Estado miembro de acogida.</w:t>
      </w:r>
    </w:p>
    <w:p>
      <w:pPr>
        <w:pStyle w:val="ListParagraph"/>
        <w:numPr>
          <w:ilvl w:val="0"/>
          <w:numId w:val="281"/>
        </w:numPr>
        <w:tabs>
          <w:tab w:pos="1643" w:val="left" w:leader="none"/>
        </w:tabs>
        <w:spacing w:line="249" w:lineRule="auto" w:before="1" w:after="0"/>
        <w:ind w:left="1074" w:right="1272" w:firstLine="340"/>
        <w:jc w:val="both"/>
        <w:rPr>
          <w:sz w:val="20"/>
        </w:rPr>
      </w:pPr>
      <w:r>
        <w:rPr>
          <w:sz w:val="20"/>
        </w:rPr>
        <w:t>Si se produce algún cambio en cualquiera de los datos comunicados en aplicación del apartado 1, el mediador de seguros o de reaseguros informará a la Dirección General de Seguros y Fondos de Pensiones como mínimo un mes antes de que el cambio sea efectivo. La autoridad competente del Estado miembro de acogida será también informada de ese cambio por la Dirección General de Seguros y Fondos de Pensiones, en el plazo máximo de un mes desde la recepción de la</w:t>
      </w:r>
      <w:r>
        <w:rPr>
          <w:spacing w:val="-7"/>
          <w:sz w:val="20"/>
        </w:rPr>
        <w:t> </w:t>
      </w:r>
      <w:r>
        <w:rPr>
          <w:sz w:val="20"/>
        </w:rPr>
        <w:t>información.</w:t>
      </w:r>
    </w:p>
    <w:p>
      <w:pPr>
        <w:pStyle w:val="BodyText"/>
        <w:spacing w:before="8"/>
        <w:ind w:left="0" w:firstLine="0"/>
        <w:jc w:val="left"/>
      </w:pPr>
    </w:p>
    <w:p>
      <w:pPr>
        <w:spacing w:before="0"/>
        <w:ind w:left="1074" w:right="0" w:firstLine="0"/>
        <w:jc w:val="both"/>
        <w:rPr>
          <w:i/>
          <w:sz w:val="20"/>
        </w:rPr>
      </w:pPr>
      <w:bookmarkStart w:name="Artículo 170. Ejercicio de actividad en " w:id="279"/>
      <w:bookmarkEnd w:id="279"/>
      <w:r>
        <w:rPr/>
      </w:r>
      <w:r>
        <w:rPr>
          <w:b/>
          <w:sz w:val="20"/>
        </w:rPr>
        <w:t>Artículo 170. </w:t>
      </w:r>
      <w:r>
        <w:rPr>
          <w:i/>
          <w:sz w:val="20"/>
        </w:rPr>
        <w:t>Ejercicio de actividad en régimen de derecho de establecimiento.</w:t>
      </w:r>
    </w:p>
    <w:p>
      <w:pPr>
        <w:pStyle w:val="ListParagraph"/>
        <w:numPr>
          <w:ilvl w:val="0"/>
          <w:numId w:val="283"/>
        </w:numPr>
        <w:tabs>
          <w:tab w:pos="1641" w:val="left" w:leader="none"/>
        </w:tabs>
        <w:spacing w:line="249" w:lineRule="auto" w:before="117" w:after="0"/>
        <w:ind w:left="1074" w:right="1273" w:firstLine="340"/>
        <w:jc w:val="both"/>
        <w:rPr>
          <w:sz w:val="20"/>
        </w:rPr>
      </w:pPr>
      <w:r>
        <w:rPr>
          <w:sz w:val="20"/>
        </w:rPr>
        <w:t>Todo mediador de seguros o de reaseguros residente o domiciliado en España que se proponga ejercer una actividad en régimen de derecho de establecimiento mediante una sucursal o a través de una presencia permanente en el territorio de otro Estado miembro, facilitará a la Dirección General de Seguros y Fondos de Pensiones la siguiente</w:t>
      </w:r>
      <w:r>
        <w:rPr>
          <w:spacing w:val="-28"/>
          <w:sz w:val="20"/>
        </w:rPr>
        <w:t> </w:t>
      </w:r>
      <w:r>
        <w:rPr>
          <w:sz w:val="20"/>
        </w:rPr>
        <w:t>información:</w:t>
      </w:r>
    </w:p>
    <w:p>
      <w:pPr>
        <w:pStyle w:val="ListParagraph"/>
        <w:numPr>
          <w:ilvl w:val="0"/>
          <w:numId w:val="284"/>
        </w:numPr>
        <w:tabs>
          <w:tab w:pos="1648" w:val="left" w:leader="none"/>
        </w:tabs>
        <w:spacing w:line="240" w:lineRule="auto" w:before="124" w:after="0"/>
        <w:ind w:left="1647" w:right="0" w:hanging="234"/>
        <w:jc w:val="left"/>
        <w:rPr>
          <w:sz w:val="20"/>
        </w:rPr>
      </w:pPr>
      <w:r>
        <w:rPr>
          <w:sz w:val="20"/>
        </w:rPr>
        <w:t>Nombre, dirección y número de</w:t>
      </w:r>
      <w:r>
        <w:rPr>
          <w:spacing w:val="-5"/>
          <w:sz w:val="20"/>
        </w:rPr>
        <w:t> </w:t>
      </w:r>
      <w:r>
        <w:rPr>
          <w:sz w:val="20"/>
        </w:rPr>
        <w:t>registro.</w:t>
      </w:r>
    </w:p>
    <w:p>
      <w:pPr>
        <w:pStyle w:val="ListParagraph"/>
        <w:numPr>
          <w:ilvl w:val="0"/>
          <w:numId w:val="284"/>
        </w:numPr>
        <w:tabs>
          <w:tab w:pos="1666" w:val="left" w:leader="none"/>
        </w:tabs>
        <w:spacing w:line="249" w:lineRule="auto" w:before="10" w:after="0"/>
        <w:ind w:left="1074" w:right="1273" w:firstLine="340"/>
        <w:jc w:val="left"/>
        <w:rPr>
          <w:sz w:val="20"/>
        </w:rPr>
      </w:pPr>
      <w:r>
        <w:rPr>
          <w:sz w:val="20"/>
        </w:rPr>
        <w:t>Estado en cuyo territorio tenga previsto operar, así como dirección de la sucursal en dicho Estado en la que puede obtenerse</w:t>
      </w:r>
      <w:r>
        <w:rPr>
          <w:spacing w:val="-10"/>
          <w:sz w:val="20"/>
        </w:rPr>
        <w:t> </w:t>
      </w:r>
      <w:r>
        <w:rPr>
          <w:sz w:val="20"/>
        </w:rPr>
        <w:t>documentación.</w:t>
      </w:r>
    </w:p>
    <w:p>
      <w:pPr>
        <w:pStyle w:val="ListParagraph"/>
        <w:numPr>
          <w:ilvl w:val="0"/>
          <w:numId w:val="284"/>
        </w:numPr>
        <w:tabs>
          <w:tab w:pos="1646" w:val="left" w:leader="none"/>
        </w:tabs>
        <w:spacing w:line="249" w:lineRule="auto" w:before="1" w:after="0"/>
        <w:ind w:left="1074" w:right="1274" w:firstLine="340"/>
        <w:jc w:val="left"/>
        <w:rPr>
          <w:sz w:val="20"/>
        </w:rPr>
      </w:pPr>
      <w:r>
        <w:rPr>
          <w:sz w:val="20"/>
        </w:rPr>
        <w:t>Clase de mediador y, cuando proceda, identificación de las entidades aseguradoras o reaseguradoras a las que</w:t>
      </w:r>
      <w:r>
        <w:rPr>
          <w:spacing w:val="-4"/>
          <w:sz w:val="20"/>
        </w:rPr>
        <w:t> </w:t>
      </w:r>
      <w:r>
        <w:rPr>
          <w:sz w:val="20"/>
        </w:rPr>
        <w:t>represente.</w:t>
      </w:r>
    </w:p>
    <w:p>
      <w:pPr>
        <w:pStyle w:val="ListParagraph"/>
        <w:numPr>
          <w:ilvl w:val="0"/>
          <w:numId w:val="284"/>
        </w:numPr>
        <w:tabs>
          <w:tab w:pos="1648" w:val="left" w:leader="none"/>
        </w:tabs>
        <w:spacing w:line="240" w:lineRule="auto" w:before="2" w:after="0"/>
        <w:ind w:left="1647" w:right="0" w:hanging="234"/>
        <w:jc w:val="left"/>
        <w:rPr>
          <w:sz w:val="20"/>
        </w:rPr>
      </w:pPr>
      <w:r>
        <w:rPr>
          <w:sz w:val="20"/>
        </w:rPr>
        <w:t>Ramos de seguros en los que tenga previsto realizar la actividad de</w:t>
      </w:r>
      <w:r>
        <w:rPr>
          <w:spacing w:val="-20"/>
          <w:sz w:val="20"/>
        </w:rPr>
        <w:t> </w:t>
      </w:r>
      <w:r>
        <w:rPr>
          <w:sz w:val="20"/>
        </w:rPr>
        <w:t>distribución.</w:t>
      </w:r>
    </w:p>
    <w:p>
      <w:pPr>
        <w:pStyle w:val="ListParagraph"/>
        <w:numPr>
          <w:ilvl w:val="0"/>
          <w:numId w:val="284"/>
        </w:numPr>
        <w:tabs>
          <w:tab w:pos="1752" w:val="left" w:leader="none"/>
        </w:tabs>
        <w:spacing w:line="249" w:lineRule="auto" w:before="10" w:after="0"/>
        <w:ind w:left="1074" w:right="1272" w:firstLine="340"/>
        <w:jc w:val="left"/>
        <w:rPr>
          <w:sz w:val="20"/>
        </w:rPr>
      </w:pPr>
      <w:r>
        <w:rPr>
          <w:sz w:val="20"/>
        </w:rPr>
        <w:t>Identificación de toda persona responsable de la gestión de la sucursal o establecimiento</w:t>
      </w:r>
      <w:r>
        <w:rPr>
          <w:spacing w:val="-2"/>
          <w:sz w:val="20"/>
        </w:rPr>
        <w:t> </w:t>
      </w:r>
      <w:r>
        <w:rPr>
          <w:sz w:val="20"/>
        </w:rPr>
        <w:t>permanente.</w:t>
      </w:r>
    </w:p>
    <w:p>
      <w:pPr>
        <w:pStyle w:val="ListParagraph"/>
        <w:numPr>
          <w:ilvl w:val="0"/>
          <w:numId w:val="283"/>
        </w:numPr>
        <w:tabs>
          <w:tab w:pos="1656" w:val="left" w:leader="none"/>
        </w:tabs>
        <w:spacing w:line="249" w:lineRule="auto" w:before="122" w:after="0"/>
        <w:ind w:left="1074" w:right="1272" w:firstLine="340"/>
        <w:jc w:val="both"/>
        <w:rPr>
          <w:sz w:val="20"/>
        </w:rPr>
      </w:pPr>
      <w:r>
        <w:rPr>
          <w:sz w:val="20"/>
        </w:rPr>
        <w:t>En el plazo de un mes, a partir de la fecha de recepción de la información a que se refiere el apartado 1, la Dirección General de Seguros y Fondos de Pensiones comunicará dicha información a la autoridad competente del Estado miembro de acogida, salvo que se niegue a realizar dicha comunicación por tener razones para dudar de la estructura organizativa o de la situación financiera del mediador. En caso de negativa a transmitir la información al Estado miembro de acogida deberá informar de manera motivada por escrito al mediador de seguros o reaseguros, en el mismo</w:t>
      </w:r>
      <w:r>
        <w:rPr>
          <w:spacing w:val="-7"/>
          <w:sz w:val="20"/>
        </w:rPr>
        <w:t> </w:t>
      </w:r>
      <w:r>
        <w:rPr>
          <w:sz w:val="20"/>
        </w:rPr>
        <w:t>plazo.</w:t>
      </w:r>
    </w:p>
    <w:p>
      <w:pPr>
        <w:pStyle w:val="ListParagraph"/>
        <w:numPr>
          <w:ilvl w:val="0"/>
          <w:numId w:val="283"/>
        </w:numPr>
        <w:tabs>
          <w:tab w:pos="1676" w:val="left" w:leader="none"/>
        </w:tabs>
        <w:spacing w:line="249" w:lineRule="auto" w:before="5" w:after="0"/>
        <w:ind w:left="1074" w:right="1272" w:firstLine="340"/>
        <w:jc w:val="both"/>
        <w:rPr>
          <w:sz w:val="20"/>
        </w:rPr>
      </w:pPr>
      <w:r>
        <w:rPr>
          <w:sz w:val="20"/>
        </w:rPr>
        <w:t>La Dirección General de Seguros y Fondos de Pensiones informará por escrito al mediador de seguros o de reaseguros que la autoridad competente del Estado miembro de acogida ha recibido la</w:t>
      </w:r>
      <w:r>
        <w:rPr>
          <w:spacing w:val="-4"/>
          <w:sz w:val="20"/>
        </w:rPr>
        <w:t> </w:t>
      </w:r>
      <w:r>
        <w:rPr>
          <w:sz w:val="20"/>
        </w:rPr>
        <w:t>información.</w:t>
      </w:r>
    </w:p>
    <w:p>
      <w:pPr>
        <w:pStyle w:val="ListParagraph"/>
        <w:numPr>
          <w:ilvl w:val="0"/>
          <w:numId w:val="283"/>
        </w:numPr>
        <w:tabs>
          <w:tab w:pos="1747" w:val="left" w:leader="none"/>
        </w:tabs>
        <w:spacing w:line="249" w:lineRule="auto" w:before="3" w:after="0"/>
        <w:ind w:left="1074" w:right="1273" w:firstLine="340"/>
        <w:jc w:val="both"/>
        <w:rPr>
          <w:sz w:val="20"/>
        </w:rPr>
      </w:pPr>
      <w:r>
        <w:rPr>
          <w:sz w:val="20"/>
        </w:rPr>
        <w:t>La Dirección General de Seguros y Fondos de Pensiones comunicará</w:t>
      </w:r>
      <w:r>
        <w:rPr>
          <w:spacing w:val="21"/>
          <w:sz w:val="20"/>
        </w:rPr>
        <w:t> </w:t>
      </w:r>
      <w:r>
        <w:rPr>
          <w:sz w:val="20"/>
        </w:rPr>
        <w:t>las disposiciones adoptadas por motivos de interés general por el Estado miembro de acogida al mediador y le informará de que puede iniciar su actividad en el Estado miembro de acogida siempre que cumpla tales</w:t>
      </w:r>
      <w:r>
        <w:rPr>
          <w:spacing w:val="-2"/>
          <w:sz w:val="20"/>
        </w:rPr>
        <w:t> </w:t>
      </w:r>
      <w:r>
        <w:rPr>
          <w:sz w:val="20"/>
        </w:rPr>
        <w:t>disposiciones.</w:t>
      </w:r>
    </w:p>
    <w:p>
      <w:pPr>
        <w:pStyle w:val="BodyText"/>
        <w:spacing w:line="249" w:lineRule="auto" w:before="3"/>
        <w:ind w:right="1271"/>
      </w:pPr>
      <w:r>
        <w:rPr/>
        <w:t>Si la Dirección General de Seguros y Fondos de Pensiones no recibiera en el plazo de un mes de la autoridad competente del Estado miembro de acogida, información sobre las disposiciones nacionales adoptadas por motivos de interés general de aplicación en dicho Estado miembro, informará al mediador de que puede iniciar su actividad en el Estado miembro de</w:t>
      </w:r>
      <w:r>
        <w:rPr>
          <w:spacing w:val="-2"/>
        </w:rPr>
        <w:t> </w:t>
      </w:r>
      <w:r>
        <w:rPr/>
        <w:t>acogida.</w:t>
      </w:r>
    </w:p>
    <w:p>
      <w:pPr>
        <w:pStyle w:val="ListParagraph"/>
        <w:numPr>
          <w:ilvl w:val="0"/>
          <w:numId w:val="283"/>
        </w:numPr>
        <w:tabs>
          <w:tab w:pos="1643" w:val="left" w:leader="none"/>
        </w:tabs>
        <w:spacing w:line="249" w:lineRule="auto" w:before="4" w:after="0"/>
        <w:ind w:left="1074" w:right="1272" w:firstLine="340"/>
        <w:jc w:val="both"/>
        <w:rPr>
          <w:sz w:val="20"/>
        </w:rPr>
      </w:pPr>
      <w:r>
        <w:rPr>
          <w:sz w:val="20"/>
        </w:rPr>
        <w:t>Si se produce algún cambio en cualquiera de los datos comunicados en aplicación del apartado 1, el mediador de seguros o de reaseguros informará a la Dirección General de Seguros y Fondos de Pensiones como mínimo un mes antes de que el cambio sea efectivo. La autoridad competente del Estado miembro de acogida será también informada de ese cambio por la Dirección General de Seguros y Fondos de Pensiones, en el plazo máximo de un mes desde la recepción de la</w:t>
      </w:r>
      <w:r>
        <w:rPr>
          <w:spacing w:val="-7"/>
          <w:sz w:val="20"/>
        </w:rPr>
        <w:t> </w:t>
      </w:r>
      <w:r>
        <w:rPr>
          <w:sz w:val="20"/>
        </w:rPr>
        <w:t>información.</w:t>
      </w:r>
    </w:p>
    <w:p>
      <w:pPr>
        <w:pStyle w:val="ListParagraph"/>
        <w:numPr>
          <w:ilvl w:val="0"/>
          <w:numId w:val="283"/>
        </w:numPr>
        <w:tabs>
          <w:tab w:pos="1648" w:val="left" w:leader="none"/>
        </w:tabs>
        <w:spacing w:line="249" w:lineRule="auto" w:before="5" w:after="0"/>
        <w:ind w:left="1074" w:right="1273" w:firstLine="340"/>
        <w:jc w:val="both"/>
        <w:rPr>
          <w:sz w:val="20"/>
        </w:rPr>
      </w:pPr>
      <w:r>
        <w:rPr>
          <w:sz w:val="20"/>
        </w:rPr>
        <w:t>A efectos de lo dispuesto en este artículo, se asimilará a una sucursal toda presencia permanente de un mediador en el territorio de otro Estado miembro de la Unión Europea que sea equivalente a una</w:t>
      </w:r>
      <w:r>
        <w:rPr>
          <w:spacing w:val="-4"/>
          <w:sz w:val="20"/>
        </w:rPr>
        <w:t> </w:t>
      </w:r>
      <w:r>
        <w:rPr>
          <w:sz w:val="20"/>
        </w:rPr>
        <w:t>sucursal.</w:t>
      </w:r>
    </w:p>
    <w:p>
      <w:pPr>
        <w:pStyle w:val="BodyText"/>
        <w:spacing w:before="5"/>
        <w:ind w:left="0" w:firstLine="0"/>
        <w:jc w:val="left"/>
      </w:pPr>
    </w:p>
    <w:p>
      <w:pPr>
        <w:spacing w:before="0"/>
        <w:ind w:left="1074" w:right="0" w:firstLine="0"/>
        <w:jc w:val="both"/>
        <w:rPr>
          <w:i/>
          <w:sz w:val="20"/>
        </w:rPr>
      </w:pPr>
      <w:bookmarkStart w:name="Artículo 171. Remisión general." w:id="280"/>
      <w:bookmarkEnd w:id="280"/>
      <w:r>
        <w:rPr/>
      </w:r>
      <w:r>
        <w:rPr>
          <w:b/>
          <w:sz w:val="20"/>
        </w:rPr>
        <w:t>Artículo 171. </w:t>
      </w:r>
      <w:r>
        <w:rPr>
          <w:i/>
          <w:sz w:val="20"/>
        </w:rPr>
        <w:t>Remisión general.</w:t>
      </w:r>
    </w:p>
    <w:p>
      <w:pPr>
        <w:pStyle w:val="BodyText"/>
        <w:spacing w:line="249" w:lineRule="auto" w:before="118"/>
        <w:ind w:right="1272"/>
      </w:pPr>
      <w:r>
        <w:rPr/>
        <w:t>En lo no previsto en esta sección, los mediadores de seguros y de reaseguros residentes o domiciliados en España que ejerzan la actividad en régimen de libre prestación de servicios o en régimen de derecho de establecimiento, se ajustarán a las disposiciones del capítulo III.</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pStyle w:val="Heading2"/>
        <w:ind w:right="1609"/>
        <w:rPr>
          <w:i/>
        </w:rPr>
      </w:pPr>
      <w:bookmarkStart w:name="Sección 6.ª Obligaciones de información " w:id="281"/>
      <w:bookmarkEnd w:id="281"/>
      <w:r>
        <w:rPr>
          <w:b w:val="0"/>
          <w:i w:val="0"/>
        </w:rPr>
      </w:r>
      <w:bookmarkStart w:name="_bookmark54" w:id="282"/>
      <w:bookmarkEnd w:id="282"/>
      <w:r>
        <w:rPr>
          <w:b w:val="0"/>
          <w:i w:val="0"/>
        </w:rPr>
      </w:r>
      <w:r>
        <w:rPr>
          <w:i/>
        </w:rPr>
        <w:t>Sección 6.ª Obligaciones de información y normas de conducta</w:t>
      </w:r>
    </w:p>
    <w:p>
      <w:pPr>
        <w:pStyle w:val="BodyText"/>
        <w:spacing w:before="0"/>
        <w:ind w:left="0" w:firstLine="0"/>
        <w:jc w:val="left"/>
        <w:rPr>
          <w:b/>
          <w:i/>
          <w:sz w:val="22"/>
        </w:rPr>
      </w:pPr>
    </w:p>
    <w:p>
      <w:pPr>
        <w:pStyle w:val="BodyText"/>
        <w:spacing w:before="154"/>
        <w:ind w:left="1414" w:right="1612" w:firstLine="0"/>
        <w:jc w:val="center"/>
      </w:pPr>
      <w:bookmarkStart w:name="Subsección 1.ª Obligaciones generales de" w:id="283"/>
      <w:bookmarkEnd w:id="283"/>
      <w:r>
        <w:rPr/>
      </w:r>
      <w:bookmarkStart w:name="_bookmark55" w:id="284"/>
      <w:bookmarkEnd w:id="284"/>
      <w:r>
        <w:rPr/>
      </w:r>
      <w:r>
        <w:rPr/>
        <w:t>Subsección 1.ª Obligaciones generales de información</w:t>
      </w:r>
    </w:p>
    <w:p>
      <w:pPr>
        <w:pStyle w:val="BodyText"/>
        <w:spacing w:before="5"/>
        <w:ind w:left="0" w:firstLine="0"/>
        <w:jc w:val="left"/>
        <w:rPr>
          <w:sz w:val="30"/>
        </w:rPr>
      </w:pPr>
    </w:p>
    <w:p>
      <w:pPr>
        <w:spacing w:before="0"/>
        <w:ind w:left="1074" w:right="0" w:firstLine="0"/>
        <w:jc w:val="both"/>
        <w:rPr>
          <w:i/>
          <w:sz w:val="20"/>
        </w:rPr>
      </w:pPr>
      <w:bookmarkStart w:name="Artículo 172. Principio general." w:id="285"/>
      <w:bookmarkEnd w:id="285"/>
      <w:r>
        <w:rPr/>
      </w:r>
      <w:r>
        <w:rPr>
          <w:b/>
          <w:sz w:val="20"/>
        </w:rPr>
        <w:t>Artículo 172. </w:t>
      </w:r>
      <w:r>
        <w:rPr>
          <w:i/>
          <w:sz w:val="20"/>
        </w:rPr>
        <w:t>Principio general.</w:t>
      </w:r>
    </w:p>
    <w:p>
      <w:pPr>
        <w:pStyle w:val="ListParagraph"/>
        <w:numPr>
          <w:ilvl w:val="0"/>
          <w:numId w:val="285"/>
        </w:numPr>
        <w:tabs>
          <w:tab w:pos="1748" w:val="left" w:leader="none"/>
        </w:tabs>
        <w:spacing w:line="249" w:lineRule="auto" w:before="118" w:after="0"/>
        <w:ind w:left="1074" w:right="1275" w:firstLine="340"/>
        <w:jc w:val="both"/>
        <w:rPr>
          <w:sz w:val="20"/>
        </w:rPr>
      </w:pPr>
      <w:r>
        <w:rPr>
          <w:sz w:val="20"/>
        </w:rPr>
        <w:t>Los distribuidores de seguros actuarán siempre con honestidad, equidad y profesionalidad en beneficio de los intereses de sus</w:t>
      </w:r>
      <w:r>
        <w:rPr>
          <w:spacing w:val="-12"/>
          <w:sz w:val="20"/>
        </w:rPr>
        <w:t> </w:t>
      </w:r>
      <w:r>
        <w:rPr>
          <w:sz w:val="20"/>
        </w:rPr>
        <w:t>clientes.</w:t>
      </w:r>
    </w:p>
    <w:p>
      <w:pPr>
        <w:pStyle w:val="ListParagraph"/>
        <w:numPr>
          <w:ilvl w:val="0"/>
          <w:numId w:val="285"/>
        </w:numPr>
        <w:tabs>
          <w:tab w:pos="1702" w:val="left" w:leader="none"/>
        </w:tabs>
        <w:spacing w:line="249" w:lineRule="auto" w:before="2" w:after="0"/>
        <w:ind w:left="1074" w:right="1273" w:firstLine="340"/>
        <w:jc w:val="both"/>
        <w:rPr>
          <w:sz w:val="20"/>
        </w:rPr>
      </w:pPr>
      <w:r>
        <w:rPr>
          <w:sz w:val="20"/>
        </w:rPr>
        <w:t>Toda la información relativa al ámbito del título I, incluidas las comunicaciones publicitarias dirigidas por los distribuidores de seguros a los clientes o posibles clientes debe ser precisa, clara y no engañosa. Las comunicaciones publicitarias serán claramente identificables como</w:t>
      </w:r>
      <w:r>
        <w:rPr>
          <w:spacing w:val="-2"/>
          <w:sz w:val="20"/>
        </w:rPr>
        <w:t> </w:t>
      </w:r>
      <w:r>
        <w:rPr>
          <w:sz w:val="20"/>
        </w:rPr>
        <w:t>tales.</w:t>
      </w:r>
    </w:p>
    <w:p>
      <w:pPr>
        <w:pStyle w:val="ListParagraph"/>
        <w:numPr>
          <w:ilvl w:val="0"/>
          <w:numId w:val="285"/>
        </w:numPr>
        <w:tabs>
          <w:tab w:pos="1696" w:val="left" w:leader="none"/>
        </w:tabs>
        <w:spacing w:line="249" w:lineRule="auto" w:before="3" w:after="0"/>
        <w:ind w:left="1074" w:right="1272" w:firstLine="340"/>
        <w:jc w:val="both"/>
        <w:rPr>
          <w:sz w:val="20"/>
        </w:rPr>
      </w:pPr>
      <w:r>
        <w:rPr>
          <w:sz w:val="20"/>
        </w:rPr>
        <w:t>Los distribuidores de seguros no podrán ser remunerados, ni podrán evaluar el rendimiento de sus empleados, de un modo que entre en conflicto con su obligación de actuar en el mejor interés de sus clientes. En particular, un distribuidor de seguros no establecerá ningún sistema de remuneración, de objetivos de ventas o de otra índole que pueda constituir un incentivo para que este o sus empleados recomienden un determinado producto de seguro a un cliente si el distribuidor de seguros puede ofrecer un producto diferente que se ajuste mejor a las necesidades del</w:t>
      </w:r>
      <w:r>
        <w:rPr>
          <w:spacing w:val="-12"/>
          <w:sz w:val="20"/>
        </w:rPr>
        <w:t> </w:t>
      </w:r>
      <w:r>
        <w:rPr>
          <w:sz w:val="20"/>
        </w:rPr>
        <w:t>cliente.</w:t>
      </w:r>
    </w:p>
    <w:p>
      <w:pPr>
        <w:pStyle w:val="BodyText"/>
        <w:spacing w:before="8"/>
        <w:ind w:left="0" w:firstLine="0"/>
        <w:jc w:val="left"/>
      </w:pPr>
    </w:p>
    <w:p>
      <w:pPr>
        <w:spacing w:before="0"/>
        <w:ind w:left="1074" w:right="0" w:firstLine="0"/>
        <w:jc w:val="both"/>
        <w:rPr>
          <w:i/>
          <w:sz w:val="20"/>
        </w:rPr>
      </w:pPr>
      <w:bookmarkStart w:name="Artículo 173. Información general previa" w:id="286"/>
      <w:bookmarkEnd w:id="286"/>
      <w:r>
        <w:rPr/>
      </w:r>
      <w:r>
        <w:rPr>
          <w:b/>
          <w:sz w:val="20"/>
        </w:rPr>
        <w:t>Artículo 173. </w:t>
      </w:r>
      <w:r>
        <w:rPr>
          <w:i/>
          <w:sz w:val="20"/>
        </w:rPr>
        <w:t>Información general previa a proporcionar por el mediador de seguros.</w:t>
      </w:r>
    </w:p>
    <w:p>
      <w:pPr>
        <w:pStyle w:val="BodyText"/>
        <w:spacing w:line="249" w:lineRule="auto" w:before="118"/>
        <w:ind w:right="1273"/>
      </w:pPr>
      <w:r>
        <w:rPr/>
        <w:t>1. Antes de la celebración de un contrato de seguro, el mediador de seguros deberá proporcionar al cliente, con suficiente antelación, la información siguiente:</w:t>
      </w:r>
    </w:p>
    <w:p>
      <w:pPr>
        <w:pStyle w:val="ListParagraph"/>
        <w:numPr>
          <w:ilvl w:val="0"/>
          <w:numId w:val="286"/>
        </w:numPr>
        <w:tabs>
          <w:tab w:pos="1648" w:val="left" w:leader="none"/>
        </w:tabs>
        <w:spacing w:line="240" w:lineRule="auto" w:before="121" w:after="0"/>
        <w:ind w:left="1647" w:right="0" w:hanging="234"/>
        <w:jc w:val="both"/>
        <w:rPr>
          <w:sz w:val="20"/>
        </w:rPr>
      </w:pPr>
      <w:r>
        <w:rPr>
          <w:sz w:val="20"/>
        </w:rPr>
        <w:t>Su identidad y dirección, así como su condición de mediador de</w:t>
      </w:r>
      <w:r>
        <w:rPr>
          <w:spacing w:val="-10"/>
          <w:sz w:val="20"/>
        </w:rPr>
        <w:t> </w:t>
      </w:r>
      <w:r>
        <w:rPr>
          <w:sz w:val="20"/>
        </w:rPr>
        <w:t>seguros.</w:t>
      </w:r>
    </w:p>
    <w:p>
      <w:pPr>
        <w:pStyle w:val="ListParagraph"/>
        <w:numPr>
          <w:ilvl w:val="0"/>
          <w:numId w:val="286"/>
        </w:numPr>
        <w:tabs>
          <w:tab w:pos="1648" w:val="left" w:leader="none"/>
        </w:tabs>
        <w:spacing w:line="240" w:lineRule="auto" w:before="10" w:after="0"/>
        <w:ind w:left="1647" w:right="0" w:hanging="234"/>
        <w:jc w:val="both"/>
        <w:rPr>
          <w:sz w:val="20"/>
        </w:rPr>
      </w:pPr>
      <w:r>
        <w:rPr>
          <w:sz w:val="20"/>
        </w:rPr>
        <w:t>Si ofrece asesoramiento en relación con los productos de seguro</w:t>
      </w:r>
      <w:r>
        <w:rPr>
          <w:spacing w:val="-14"/>
          <w:sz w:val="20"/>
        </w:rPr>
        <w:t> </w:t>
      </w:r>
      <w:r>
        <w:rPr>
          <w:sz w:val="20"/>
        </w:rPr>
        <w:t>comercializados.</w:t>
      </w:r>
    </w:p>
    <w:p>
      <w:pPr>
        <w:pStyle w:val="ListParagraph"/>
        <w:numPr>
          <w:ilvl w:val="0"/>
          <w:numId w:val="286"/>
        </w:numPr>
        <w:tabs>
          <w:tab w:pos="1644" w:val="left" w:leader="none"/>
        </w:tabs>
        <w:spacing w:line="249" w:lineRule="auto" w:before="10" w:after="0"/>
        <w:ind w:left="1074" w:right="1273" w:firstLine="340"/>
        <w:jc w:val="both"/>
        <w:rPr>
          <w:sz w:val="20"/>
        </w:rPr>
      </w:pPr>
      <w:r>
        <w:rPr>
          <w:sz w:val="20"/>
        </w:rPr>
        <w:t>Los procedimientos contemplados en la sección 4.ª del capítulo III, que permitan a los clientes y a otras partes interesadas presentar quejas sobre los mediadores de seguros y sobre los procedimientos de resolución extrajudicial de</w:t>
      </w:r>
      <w:r>
        <w:rPr>
          <w:spacing w:val="-9"/>
          <w:sz w:val="20"/>
        </w:rPr>
        <w:t> </w:t>
      </w:r>
      <w:r>
        <w:rPr>
          <w:sz w:val="20"/>
        </w:rPr>
        <w:t>conflictos.</w:t>
      </w:r>
    </w:p>
    <w:p>
      <w:pPr>
        <w:pStyle w:val="ListParagraph"/>
        <w:numPr>
          <w:ilvl w:val="0"/>
          <w:numId w:val="286"/>
        </w:numPr>
        <w:tabs>
          <w:tab w:pos="1668" w:val="left" w:leader="none"/>
        </w:tabs>
        <w:spacing w:line="249" w:lineRule="auto" w:before="3" w:after="0"/>
        <w:ind w:left="1074" w:right="1273" w:firstLine="340"/>
        <w:jc w:val="both"/>
        <w:rPr>
          <w:sz w:val="20"/>
        </w:rPr>
      </w:pPr>
      <w:r>
        <w:rPr>
          <w:sz w:val="20"/>
        </w:rPr>
        <w:t>El tratamiento de sus datos de carácter personal, de conformidad con lo establecido en el artículo 5.1 de la Ley Orgánica 3/2018, de 5 de diciembre, de Protección de Datos Personales y garantía de los derechos</w:t>
      </w:r>
      <w:r>
        <w:rPr>
          <w:spacing w:val="-7"/>
          <w:sz w:val="20"/>
        </w:rPr>
        <w:t> </w:t>
      </w:r>
      <w:r>
        <w:rPr>
          <w:sz w:val="20"/>
        </w:rPr>
        <w:t>digitales.</w:t>
      </w:r>
    </w:p>
    <w:p>
      <w:pPr>
        <w:pStyle w:val="ListParagraph"/>
        <w:numPr>
          <w:ilvl w:val="0"/>
          <w:numId w:val="286"/>
        </w:numPr>
        <w:tabs>
          <w:tab w:pos="1648" w:val="left" w:leader="none"/>
        </w:tabs>
        <w:spacing w:line="240" w:lineRule="auto" w:before="2" w:after="0"/>
        <w:ind w:left="1647" w:right="0" w:hanging="234"/>
        <w:jc w:val="both"/>
        <w:rPr>
          <w:sz w:val="20"/>
        </w:rPr>
      </w:pPr>
      <w:r>
        <w:rPr>
          <w:sz w:val="20"/>
        </w:rPr>
        <w:t>El registro en el que esté inscrito y los medios para comprobar dicha</w:t>
      </w:r>
      <w:r>
        <w:rPr>
          <w:spacing w:val="-18"/>
          <w:sz w:val="20"/>
        </w:rPr>
        <w:t> </w:t>
      </w:r>
      <w:r>
        <w:rPr>
          <w:sz w:val="20"/>
        </w:rPr>
        <w:t>inscripción.</w:t>
      </w:r>
    </w:p>
    <w:p>
      <w:pPr>
        <w:pStyle w:val="ListParagraph"/>
        <w:numPr>
          <w:ilvl w:val="0"/>
          <w:numId w:val="286"/>
        </w:numPr>
        <w:tabs>
          <w:tab w:pos="1614" w:val="left" w:leader="none"/>
        </w:tabs>
        <w:spacing w:line="249" w:lineRule="auto" w:before="10" w:after="0"/>
        <w:ind w:left="1074" w:right="1274" w:firstLine="340"/>
        <w:jc w:val="both"/>
        <w:rPr>
          <w:sz w:val="20"/>
        </w:rPr>
      </w:pPr>
      <w:r>
        <w:rPr>
          <w:sz w:val="20"/>
        </w:rPr>
        <w:t>Si actúa en representación del cliente o actúa en nombre y por cuenta de la entidad aseguradora.</w:t>
      </w:r>
    </w:p>
    <w:p>
      <w:pPr>
        <w:pStyle w:val="ListParagraph"/>
        <w:numPr>
          <w:ilvl w:val="0"/>
          <w:numId w:val="286"/>
        </w:numPr>
        <w:tabs>
          <w:tab w:pos="1692" w:val="left" w:leader="none"/>
        </w:tabs>
        <w:spacing w:line="249" w:lineRule="auto" w:before="2" w:after="0"/>
        <w:ind w:left="1074" w:right="1275" w:firstLine="340"/>
        <w:jc w:val="both"/>
        <w:rPr>
          <w:sz w:val="20"/>
        </w:rPr>
      </w:pPr>
      <w:r>
        <w:rPr>
          <w:sz w:val="20"/>
        </w:rPr>
        <w:t>Si posee una participación directa o indirecta del 10 por ciento o superior de los derechos de voto o del capital en una entidad aseguradora</w:t>
      </w:r>
      <w:r>
        <w:rPr>
          <w:spacing w:val="-18"/>
          <w:sz w:val="20"/>
        </w:rPr>
        <w:t> </w:t>
      </w:r>
      <w:r>
        <w:rPr>
          <w:sz w:val="20"/>
        </w:rPr>
        <w:t>determinada.</w:t>
      </w:r>
    </w:p>
    <w:p>
      <w:pPr>
        <w:pStyle w:val="ListParagraph"/>
        <w:numPr>
          <w:ilvl w:val="0"/>
          <w:numId w:val="286"/>
        </w:numPr>
        <w:tabs>
          <w:tab w:pos="1695" w:val="left" w:leader="none"/>
        </w:tabs>
        <w:spacing w:line="249" w:lineRule="auto" w:before="2" w:after="0"/>
        <w:ind w:left="1074" w:right="1274" w:firstLine="340"/>
        <w:jc w:val="both"/>
        <w:rPr>
          <w:sz w:val="20"/>
        </w:rPr>
      </w:pPr>
      <w:r>
        <w:rPr>
          <w:sz w:val="20"/>
        </w:rPr>
        <w:t>Si una entidad aseguradora determinada o una empresa matriz de dicha entidad posee una participación directa o indirecta del 10 por ciento o superior de los derechos de voto o del capital del mediador de</w:t>
      </w:r>
      <w:r>
        <w:rPr>
          <w:spacing w:val="-5"/>
          <w:sz w:val="20"/>
        </w:rPr>
        <w:t> </w:t>
      </w:r>
      <w:r>
        <w:rPr>
          <w:sz w:val="20"/>
        </w:rPr>
        <w:t>seguros.</w:t>
      </w:r>
    </w:p>
    <w:p>
      <w:pPr>
        <w:pStyle w:val="ListParagraph"/>
        <w:numPr>
          <w:ilvl w:val="0"/>
          <w:numId w:val="286"/>
        </w:numPr>
        <w:tabs>
          <w:tab w:pos="1581" w:val="left" w:leader="none"/>
        </w:tabs>
        <w:spacing w:line="240" w:lineRule="auto" w:before="2" w:after="0"/>
        <w:ind w:left="1580" w:right="0" w:hanging="167"/>
        <w:jc w:val="both"/>
        <w:rPr>
          <w:sz w:val="20"/>
        </w:rPr>
      </w:pPr>
      <w:r>
        <w:rPr>
          <w:sz w:val="20"/>
        </w:rPr>
        <w:t>Por lo que se refiere al contrato ofrecido o sobre el cual se ha asesorado,</w:t>
      </w:r>
      <w:r>
        <w:rPr>
          <w:spacing w:val="-14"/>
          <w:sz w:val="20"/>
        </w:rPr>
        <w:t> </w:t>
      </w:r>
      <w:r>
        <w:rPr>
          <w:sz w:val="20"/>
        </w:rPr>
        <w:t>si:</w:t>
      </w:r>
    </w:p>
    <w:p>
      <w:pPr>
        <w:pStyle w:val="ListParagraph"/>
        <w:numPr>
          <w:ilvl w:val="0"/>
          <w:numId w:val="287"/>
        </w:numPr>
        <w:tabs>
          <w:tab w:pos="1583" w:val="left" w:leader="none"/>
        </w:tabs>
        <w:spacing w:line="240" w:lineRule="auto" w:before="130" w:after="0"/>
        <w:ind w:left="1582" w:right="0" w:hanging="169"/>
        <w:jc w:val="both"/>
        <w:rPr>
          <w:sz w:val="20"/>
        </w:rPr>
      </w:pPr>
      <w:r>
        <w:rPr>
          <w:sz w:val="20"/>
        </w:rPr>
        <w:t>º Facilita asesoramiento basándose en un análisis objetivo y</w:t>
      </w:r>
      <w:r>
        <w:rPr>
          <w:spacing w:val="-16"/>
          <w:sz w:val="20"/>
        </w:rPr>
        <w:t> </w:t>
      </w:r>
      <w:r>
        <w:rPr>
          <w:sz w:val="20"/>
        </w:rPr>
        <w:t>personalizado;</w:t>
      </w:r>
    </w:p>
    <w:p>
      <w:pPr>
        <w:pStyle w:val="ListParagraph"/>
        <w:numPr>
          <w:ilvl w:val="0"/>
          <w:numId w:val="287"/>
        </w:numPr>
        <w:tabs>
          <w:tab w:pos="1583" w:val="left" w:leader="none"/>
        </w:tabs>
        <w:spacing w:line="249" w:lineRule="auto" w:before="10" w:after="0"/>
        <w:ind w:left="1074" w:right="1273" w:firstLine="340"/>
        <w:jc w:val="both"/>
        <w:rPr>
          <w:sz w:val="20"/>
        </w:rPr>
      </w:pPr>
      <w:r>
        <w:rPr>
          <w:sz w:val="20"/>
        </w:rPr>
        <w:t>º está contractualmente obligado a realizar actividades de distribución de seguros exclusivamente con una, o, en su caso, autorizado con varias entidades aseguradoras, en cuyo caso deberá informar de los nombres de dichas entidades aseguradoras, o</w:t>
      </w:r>
      <w:r>
        <w:rPr>
          <w:spacing w:val="-35"/>
          <w:sz w:val="20"/>
        </w:rPr>
        <w:t> </w:t>
      </w:r>
      <w:r>
        <w:rPr>
          <w:sz w:val="20"/>
        </w:rPr>
        <w:t>bien;</w:t>
      </w:r>
    </w:p>
    <w:p>
      <w:pPr>
        <w:pStyle w:val="ListParagraph"/>
        <w:numPr>
          <w:ilvl w:val="0"/>
          <w:numId w:val="287"/>
        </w:numPr>
        <w:tabs>
          <w:tab w:pos="1582" w:val="left" w:leader="none"/>
        </w:tabs>
        <w:spacing w:line="249" w:lineRule="auto" w:before="3" w:after="0"/>
        <w:ind w:left="1074" w:right="1274" w:firstLine="340"/>
        <w:jc w:val="both"/>
        <w:rPr>
          <w:sz w:val="20"/>
        </w:rPr>
      </w:pPr>
      <w:r>
        <w:rPr>
          <w:sz w:val="20"/>
        </w:rPr>
        <w:t>º no está contractualmente obligado a realizar actividades de distribución de seguros exclusivamente con una o varias entidades aseguradoras y no facilita asesoramiento basándose en un análisis objetivo y personalizado, en cuyo caso deberá informar de los nombres de las entidades aseguradoras con las que pueda realizar, o de hecho realice, actividades de distribución de seguros del producto de seguro</w:t>
      </w:r>
      <w:r>
        <w:rPr>
          <w:spacing w:val="-16"/>
          <w:sz w:val="20"/>
        </w:rPr>
        <w:t> </w:t>
      </w:r>
      <w:r>
        <w:rPr>
          <w:sz w:val="20"/>
        </w:rPr>
        <w:t>ofertado;</w:t>
      </w:r>
    </w:p>
    <w:p>
      <w:pPr>
        <w:pStyle w:val="ListParagraph"/>
        <w:numPr>
          <w:ilvl w:val="0"/>
          <w:numId w:val="287"/>
        </w:numPr>
        <w:tabs>
          <w:tab w:pos="1582" w:val="left" w:leader="none"/>
        </w:tabs>
        <w:spacing w:line="249" w:lineRule="auto" w:before="4" w:after="0"/>
        <w:ind w:left="1074" w:right="1272" w:firstLine="340"/>
        <w:jc w:val="both"/>
        <w:rPr>
          <w:sz w:val="20"/>
        </w:rPr>
      </w:pPr>
      <w:r>
        <w:rPr>
          <w:sz w:val="20"/>
        </w:rPr>
        <w:t>º adicionalmente, en el caso de los operadores de banca-seguros, deberán comunicar a sus clientes que el asesoramiento prestado se facilita con la finalidad de contratar un seguro y no cualquier otro producto que pudiera comercializar la entidad de crédito o el establecimiento financiero de</w:t>
      </w:r>
      <w:r>
        <w:rPr>
          <w:spacing w:val="-3"/>
          <w:sz w:val="20"/>
        </w:rPr>
        <w:t> </w:t>
      </w:r>
      <w:r>
        <w:rPr>
          <w:sz w:val="20"/>
        </w:rPr>
        <w:t>crédito.</w:t>
      </w:r>
    </w:p>
    <w:p>
      <w:pPr>
        <w:pStyle w:val="ListParagraph"/>
        <w:numPr>
          <w:ilvl w:val="0"/>
          <w:numId w:val="286"/>
        </w:numPr>
        <w:tabs>
          <w:tab w:pos="1581" w:val="left" w:leader="none"/>
        </w:tabs>
        <w:spacing w:line="240" w:lineRule="auto" w:before="123" w:after="0"/>
        <w:ind w:left="1580" w:right="0" w:hanging="167"/>
        <w:jc w:val="both"/>
        <w:rPr>
          <w:sz w:val="20"/>
        </w:rPr>
      </w:pPr>
      <w:r>
        <w:rPr>
          <w:sz w:val="20"/>
        </w:rPr>
        <w:t>La naturaleza de la remuneración recibida en relación con el contrato de</w:t>
      </w:r>
      <w:r>
        <w:rPr>
          <w:spacing w:val="-11"/>
          <w:sz w:val="20"/>
        </w:rPr>
        <w:t> </w:t>
      </w:r>
      <w:r>
        <w:rPr>
          <w:sz w:val="20"/>
        </w:rPr>
        <w:t>seguro.</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86"/>
        </w:numPr>
        <w:tabs>
          <w:tab w:pos="1637" w:val="left" w:leader="none"/>
        </w:tabs>
        <w:spacing w:line="240" w:lineRule="auto" w:before="127" w:after="0"/>
        <w:ind w:left="1636" w:right="0" w:hanging="223"/>
        <w:jc w:val="both"/>
        <w:rPr>
          <w:sz w:val="20"/>
        </w:rPr>
      </w:pPr>
      <w:r>
        <w:rPr>
          <w:sz w:val="20"/>
        </w:rPr>
        <w:t>Si, en relación con el contrato de seguro,</w:t>
      </w:r>
      <w:r>
        <w:rPr>
          <w:spacing w:val="-4"/>
          <w:sz w:val="20"/>
        </w:rPr>
        <w:t> </w:t>
      </w:r>
      <w:r>
        <w:rPr>
          <w:sz w:val="20"/>
        </w:rPr>
        <w:t>trabajan:</w:t>
      </w:r>
    </w:p>
    <w:p>
      <w:pPr>
        <w:pStyle w:val="BodyText"/>
        <w:spacing w:line="249" w:lineRule="auto" w:before="130"/>
        <w:ind w:left="1414" w:right="1278" w:firstLine="0"/>
        <w:jc w:val="left"/>
      </w:pPr>
      <w:r>
        <w:rPr/>
        <w:t>1.º A cambio de un honorario, esto es, la remuneración la abona directamente el cliente; 2.º a cambio de una comisión de algún tipo, esto es, la remuneración está incluida en la</w:t>
      </w:r>
    </w:p>
    <w:p>
      <w:pPr>
        <w:pStyle w:val="BodyText"/>
        <w:spacing w:before="1"/>
        <w:ind w:firstLine="0"/>
        <w:jc w:val="left"/>
      </w:pPr>
      <w:r>
        <w:rPr/>
        <w:t>prima de seguro;</w:t>
      </w:r>
    </w:p>
    <w:p>
      <w:pPr>
        <w:pStyle w:val="ListParagraph"/>
        <w:numPr>
          <w:ilvl w:val="0"/>
          <w:numId w:val="288"/>
        </w:numPr>
        <w:tabs>
          <w:tab w:pos="1583" w:val="left" w:leader="none"/>
        </w:tabs>
        <w:spacing w:line="249" w:lineRule="auto" w:before="10" w:after="0"/>
        <w:ind w:left="1074" w:right="1272" w:firstLine="340"/>
        <w:jc w:val="left"/>
        <w:rPr>
          <w:sz w:val="20"/>
        </w:rPr>
      </w:pPr>
      <w:r>
        <w:rPr>
          <w:sz w:val="20"/>
        </w:rPr>
        <w:t>º a cambio de cualquier otro tipo de remuneración, incluida cualquier posible ventaja económica ofrecida u otorgada en relación con el contrato de seguro,</w:t>
      </w:r>
      <w:r>
        <w:rPr>
          <w:spacing w:val="-13"/>
          <w:sz w:val="20"/>
        </w:rPr>
        <w:t> </w:t>
      </w:r>
      <w:r>
        <w:rPr>
          <w:sz w:val="20"/>
        </w:rPr>
        <w:t>o</w:t>
      </w:r>
    </w:p>
    <w:p>
      <w:pPr>
        <w:pStyle w:val="ListParagraph"/>
        <w:numPr>
          <w:ilvl w:val="0"/>
          <w:numId w:val="288"/>
        </w:numPr>
        <w:tabs>
          <w:tab w:pos="1583" w:val="left" w:leader="none"/>
        </w:tabs>
        <w:spacing w:line="249" w:lineRule="auto" w:before="2" w:after="0"/>
        <w:ind w:left="1074" w:right="1272" w:firstLine="340"/>
        <w:jc w:val="left"/>
        <w:rPr>
          <w:sz w:val="20"/>
        </w:rPr>
      </w:pPr>
      <w:r>
        <w:rPr>
          <w:sz w:val="20"/>
        </w:rPr>
        <w:t>º sobre la base de una combinación de cualquiera de los tipos de</w:t>
      </w:r>
      <w:r>
        <w:rPr>
          <w:spacing w:val="30"/>
          <w:sz w:val="20"/>
        </w:rPr>
        <w:t> </w:t>
      </w:r>
      <w:r>
        <w:rPr>
          <w:sz w:val="20"/>
        </w:rPr>
        <w:t>remuneración especificados en los apartados 1.º, 2.º y</w:t>
      </w:r>
      <w:r>
        <w:rPr>
          <w:spacing w:val="-9"/>
          <w:sz w:val="20"/>
        </w:rPr>
        <w:t> </w:t>
      </w:r>
      <w:r>
        <w:rPr>
          <w:sz w:val="20"/>
        </w:rPr>
        <w:t>3.º</w:t>
      </w:r>
    </w:p>
    <w:p>
      <w:pPr>
        <w:pStyle w:val="ListParagraph"/>
        <w:numPr>
          <w:ilvl w:val="0"/>
          <w:numId w:val="289"/>
        </w:numPr>
        <w:tabs>
          <w:tab w:pos="1693" w:val="left" w:leader="none"/>
        </w:tabs>
        <w:spacing w:line="249" w:lineRule="auto" w:before="122" w:after="0"/>
        <w:ind w:left="1074" w:right="1275" w:firstLine="340"/>
        <w:jc w:val="both"/>
        <w:rPr>
          <w:sz w:val="20"/>
        </w:rPr>
      </w:pPr>
      <w:r>
        <w:rPr>
          <w:sz w:val="20"/>
        </w:rPr>
        <w:t>Cuando el cliente acuerde por escrito con el mediador de seguros el abono de honorarios, este informará al cliente del importe de dicho honorario o, cuando ello no sea posible, el método para</w:t>
      </w:r>
      <w:r>
        <w:rPr>
          <w:spacing w:val="-4"/>
          <w:sz w:val="20"/>
        </w:rPr>
        <w:t> </w:t>
      </w:r>
      <w:r>
        <w:rPr>
          <w:sz w:val="20"/>
        </w:rPr>
        <w:t>calcularlo.</w:t>
      </w:r>
    </w:p>
    <w:p>
      <w:pPr>
        <w:pStyle w:val="ListParagraph"/>
        <w:numPr>
          <w:ilvl w:val="0"/>
          <w:numId w:val="289"/>
        </w:numPr>
        <w:tabs>
          <w:tab w:pos="1678" w:val="left" w:leader="none"/>
        </w:tabs>
        <w:spacing w:line="249" w:lineRule="auto" w:before="2" w:after="0"/>
        <w:ind w:left="1074" w:right="1273" w:firstLine="340"/>
        <w:jc w:val="both"/>
        <w:rPr>
          <w:sz w:val="20"/>
        </w:rPr>
      </w:pPr>
      <w:r>
        <w:rPr>
          <w:sz w:val="20"/>
        </w:rPr>
        <w:t>Si con posterioridad a la celebración del contrato, el cliente efectúa, en virtud del contrato de seguro, algún pago distinto de las primas periódicas y los pagos previstos, se le facilitará también la información a que se refiere el presente artículo en relación con cada uno de esos</w:t>
      </w:r>
      <w:r>
        <w:rPr>
          <w:spacing w:val="-4"/>
          <w:sz w:val="20"/>
        </w:rPr>
        <w:t> </w:t>
      </w:r>
      <w:r>
        <w:rPr>
          <w:sz w:val="20"/>
        </w:rPr>
        <w:t>pagos.</w:t>
      </w:r>
    </w:p>
    <w:p>
      <w:pPr>
        <w:pStyle w:val="ListParagraph"/>
        <w:numPr>
          <w:ilvl w:val="0"/>
          <w:numId w:val="289"/>
        </w:numPr>
        <w:tabs>
          <w:tab w:pos="1677" w:val="left" w:leader="none"/>
        </w:tabs>
        <w:spacing w:line="249" w:lineRule="auto" w:before="3" w:after="0"/>
        <w:ind w:left="1074" w:right="1273" w:firstLine="340"/>
        <w:jc w:val="both"/>
        <w:rPr>
          <w:sz w:val="20"/>
        </w:rPr>
      </w:pPr>
      <w:r>
        <w:rPr>
          <w:sz w:val="20"/>
        </w:rPr>
        <w:t>El deber de información previo regulado en los apartados anteriores también será exigible con ocasión de la modificación o prórroga del contrato de seguro si se han producido alteraciones en la información inicialmente</w:t>
      </w:r>
      <w:r>
        <w:rPr>
          <w:spacing w:val="-8"/>
          <w:sz w:val="20"/>
        </w:rPr>
        <w:t> </w:t>
      </w:r>
      <w:r>
        <w:rPr>
          <w:sz w:val="20"/>
        </w:rPr>
        <w:t>suministrada.</w:t>
      </w:r>
    </w:p>
    <w:p>
      <w:pPr>
        <w:pStyle w:val="BodyText"/>
        <w:spacing w:before="5"/>
        <w:ind w:left="0" w:firstLine="0"/>
        <w:jc w:val="left"/>
      </w:pPr>
    </w:p>
    <w:p>
      <w:pPr>
        <w:spacing w:before="0"/>
        <w:ind w:left="1074" w:right="0" w:firstLine="0"/>
        <w:jc w:val="left"/>
        <w:rPr>
          <w:i/>
          <w:sz w:val="20"/>
        </w:rPr>
      </w:pPr>
      <w:bookmarkStart w:name="Artículo 174. Información general previa" w:id="287"/>
      <w:bookmarkEnd w:id="287"/>
      <w:r>
        <w:rPr/>
      </w:r>
      <w:r>
        <w:rPr>
          <w:b/>
          <w:sz w:val="20"/>
        </w:rPr>
        <w:t>Artículo 174. </w:t>
      </w:r>
      <w:r>
        <w:rPr>
          <w:i/>
          <w:sz w:val="20"/>
        </w:rPr>
        <w:t>Información general previa a proporcionar por la entidad aseguradora.</w:t>
      </w:r>
    </w:p>
    <w:p>
      <w:pPr>
        <w:pStyle w:val="ListParagraph"/>
        <w:numPr>
          <w:ilvl w:val="0"/>
          <w:numId w:val="290"/>
        </w:numPr>
        <w:tabs>
          <w:tab w:pos="1677" w:val="left" w:leader="none"/>
        </w:tabs>
        <w:spacing w:line="249" w:lineRule="auto" w:before="118" w:after="0"/>
        <w:ind w:left="1074" w:right="1274" w:firstLine="340"/>
        <w:jc w:val="both"/>
        <w:rPr>
          <w:sz w:val="20"/>
        </w:rPr>
      </w:pPr>
      <w:r>
        <w:rPr>
          <w:sz w:val="20"/>
        </w:rPr>
        <w:t>Antes de la celebración de un contrato de seguro, la entidad aseguradora deberá proporcionar al cliente, con suficiente antelación, la información</w:t>
      </w:r>
      <w:r>
        <w:rPr>
          <w:spacing w:val="-12"/>
          <w:sz w:val="20"/>
        </w:rPr>
        <w:t> </w:t>
      </w:r>
      <w:r>
        <w:rPr>
          <w:sz w:val="20"/>
        </w:rPr>
        <w:t>siguiente:</w:t>
      </w:r>
    </w:p>
    <w:p>
      <w:pPr>
        <w:pStyle w:val="ListParagraph"/>
        <w:numPr>
          <w:ilvl w:val="0"/>
          <w:numId w:val="291"/>
        </w:numPr>
        <w:tabs>
          <w:tab w:pos="1648" w:val="left" w:leader="none"/>
        </w:tabs>
        <w:spacing w:line="240" w:lineRule="auto" w:before="122" w:after="0"/>
        <w:ind w:left="1647" w:right="0" w:hanging="234"/>
        <w:jc w:val="both"/>
        <w:rPr>
          <w:sz w:val="20"/>
        </w:rPr>
      </w:pPr>
      <w:r>
        <w:rPr>
          <w:sz w:val="20"/>
        </w:rPr>
        <w:t>Su identidad y dirección, así como su condición de entidad</w:t>
      </w:r>
      <w:r>
        <w:rPr>
          <w:spacing w:val="-12"/>
          <w:sz w:val="20"/>
        </w:rPr>
        <w:t> </w:t>
      </w:r>
      <w:r>
        <w:rPr>
          <w:sz w:val="20"/>
        </w:rPr>
        <w:t>aseguradora.</w:t>
      </w:r>
    </w:p>
    <w:p>
      <w:pPr>
        <w:pStyle w:val="ListParagraph"/>
        <w:numPr>
          <w:ilvl w:val="0"/>
          <w:numId w:val="291"/>
        </w:numPr>
        <w:tabs>
          <w:tab w:pos="1648" w:val="left" w:leader="none"/>
        </w:tabs>
        <w:spacing w:line="240" w:lineRule="auto" w:before="10" w:after="0"/>
        <w:ind w:left="1647" w:right="0" w:hanging="234"/>
        <w:jc w:val="both"/>
        <w:rPr>
          <w:sz w:val="20"/>
        </w:rPr>
      </w:pPr>
      <w:r>
        <w:rPr>
          <w:sz w:val="20"/>
        </w:rPr>
        <w:t>Si ofrece asesoramiento en relación con los productos de seguro</w:t>
      </w:r>
      <w:r>
        <w:rPr>
          <w:spacing w:val="-14"/>
          <w:sz w:val="20"/>
        </w:rPr>
        <w:t> </w:t>
      </w:r>
      <w:r>
        <w:rPr>
          <w:sz w:val="20"/>
        </w:rPr>
        <w:t>comercializados.</w:t>
      </w:r>
    </w:p>
    <w:p>
      <w:pPr>
        <w:pStyle w:val="ListParagraph"/>
        <w:numPr>
          <w:ilvl w:val="0"/>
          <w:numId w:val="291"/>
        </w:numPr>
        <w:tabs>
          <w:tab w:pos="1648" w:val="left" w:leader="none"/>
        </w:tabs>
        <w:spacing w:line="249" w:lineRule="auto" w:before="10" w:after="0"/>
        <w:ind w:left="1074" w:right="1273" w:firstLine="340"/>
        <w:jc w:val="both"/>
        <w:rPr>
          <w:sz w:val="20"/>
        </w:rPr>
      </w:pPr>
      <w:r>
        <w:rPr>
          <w:sz w:val="20"/>
        </w:rPr>
        <w:t>Los procedimientos contemplados en la sección 4.ª del capítulo III que permitan a los clientes y otras partes interesadas presentar quejas sobre las entidades aseguradoras, y sobre los procedimientos de resolución extrajudicial de</w:t>
      </w:r>
      <w:r>
        <w:rPr>
          <w:spacing w:val="-9"/>
          <w:sz w:val="20"/>
        </w:rPr>
        <w:t> </w:t>
      </w:r>
      <w:r>
        <w:rPr>
          <w:sz w:val="20"/>
        </w:rPr>
        <w:t>conflictos.</w:t>
      </w:r>
    </w:p>
    <w:p>
      <w:pPr>
        <w:pStyle w:val="ListParagraph"/>
        <w:numPr>
          <w:ilvl w:val="0"/>
          <w:numId w:val="291"/>
        </w:numPr>
        <w:tabs>
          <w:tab w:pos="1686" w:val="left" w:leader="none"/>
        </w:tabs>
        <w:spacing w:line="249" w:lineRule="auto" w:before="2" w:after="0"/>
        <w:ind w:left="1074" w:right="1273" w:firstLine="340"/>
        <w:jc w:val="both"/>
        <w:rPr>
          <w:sz w:val="20"/>
        </w:rPr>
      </w:pPr>
      <w:r>
        <w:rPr>
          <w:sz w:val="20"/>
        </w:rPr>
        <w:t>La naturaleza de la remuneración percibida por sus empleados en relación con el contrato de</w:t>
      </w:r>
      <w:r>
        <w:rPr>
          <w:spacing w:val="-2"/>
          <w:sz w:val="20"/>
        </w:rPr>
        <w:t> </w:t>
      </w:r>
      <w:r>
        <w:rPr>
          <w:sz w:val="20"/>
        </w:rPr>
        <w:t>seguro.</w:t>
      </w:r>
    </w:p>
    <w:p>
      <w:pPr>
        <w:pStyle w:val="ListParagraph"/>
        <w:numPr>
          <w:ilvl w:val="0"/>
          <w:numId w:val="290"/>
        </w:numPr>
        <w:tabs>
          <w:tab w:pos="1670" w:val="left" w:leader="none"/>
        </w:tabs>
        <w:spacing w:line="249" w:lineRule="auto" w:before="122" w:after="0"/>
        <w:ind w:left="1074" w:right="1273" w:firstLine="340"/>
        <w:jc w:val="both"/>
        <w:rPr>
          <w:sz w:val="20"/>
        </w:rPr>
      </w:pPr>
      <w:r>
        <w:rPr>
          <w:sz w:val="20"/>
        </w:rPr>
        <w:t>Si con posterioridad a la celebración del contrato, el cliente efectúa algún pago en virtud del contrato de seguro distinto de las primas periódicas y los pagos previstos, se le facilitará también la información a que se refiere el presente artículo en relación con cada uno de esos</w:t>
      </w:r>
      <w:r>
        <w:rPr>
          <w:spacing w:val="-4"/>
          <w:sz w:val="20"/>
        </w:rPr>
        <w:t> </w:t>
      </w:r>
      <w:r>
        <w:rPr>
          <w:sz w:val="20"/>
        </w:rPr>
        <w:t>pagos.</w:t>
      </w:r>
    </w:p>
    <w:p>
      <w:pPr>
        <w:pStyle w:val="ListParagraph"/>
        <w:numPr>
          <w:ilvl w:val="0"/>
          <w:numId w:val="290"/>
        </w:numPr>
        <w:tabs>
          <w:tab w:pos="1677" w:val="left" w:leader="none"/>
        </w:tabs>
        <w:spacing w:line="249" w:lineRule="auto" w:before="3" w:after="0"/>
        <w:ind w:left="1074" w:right="1273" w:firstLine="340"/>
        <w:jc w:val="both"/>
        <w:rPr>
          <w:sz w:val="20"/>
        </w:rPr>
      </w:pPr>
      <w:r>
        <w:rPr>
          <w:sz w:val="20"/>
        </w:rPr>
        <w:t>El deber de información previo regulado en los apartados anteriores también será exigible con ocasión de la modificación o prórroga del contrato de seguro si se han producido alteraciones en la información inicialmente</w:t>
      </w:r>
      <w:r>
        <w:rPr>
          <w:spacing w:val="-8"/>
          <w:sz w:val="20"/>
        </w:rPr>
        <w:t> </w:t>
      </w:r>
      <w:r>
        <w:rPr>
          <w:sz w:val="20"/>
        </w:rPr>
        <w:t>suministrada.</w:t>
      </w:r>
    </w:p>
    <w:p>
      <w:pPr>
        <w:pStyle w:val="BodyText"/>
        <w:spacing w:before="5"/>
        <w:ind w:left="0" w:firstLine="0"/>
        <w:jc w:val="left"/>
      </w:pPr>
    </w:p>
    <w:p>
      <w:pPr>
        <w:spacing w:line="249" w:lineRule="auto" w:before="0"/>
        <w:ind w:left="1074" w:right="1273" w:firstLine="0"/>
        <w:jc w:val="both"/>
        <w:rPr>
          <w:i/>
          <w:sz w:val="20"/>
        </w:rPr>
      </w:pPr>
      <w:bookmarkStart w:name="Artículo 175. Información y asesoramient" w:id="288"/>
      <w:bookmarkEnd w:id="288"/>
      <w:r>
        <w:rPr/>
      </w:r>
      <w:r>
        <w:rPr>
          <w:b/>
          <w:sz w:val="20"/>
        </w:rPr>
        <w:t>Artículo 175. </w:t>
      </w:r>
      <w:r>
        <w:rPr>
          <w:i/>
          <w:sz w:val="20"/>
        </w:rPr>
        <w:t>Información y asesoramiento previos que deberán proporcionar los </w:t>
      </w:r>
      <w:r>
        <w:rPr>
          <w:i/>
          <w:sz w:val="20"/>
        </w:rPr>
        <w:t>distribuidores de seguros sobre el contrato de seguro.</w:t>
      </w:r>
    </w:p>
    <w:p>
      <w:pPr>
        <w:pStyle w:val="ListParagraph"/>
        <w:numPr>
          <w:ilvl w:val="0"/>
          <w:numId w:val="292"/>
        </w:numPr>
        <w:tabs>
          <w:tab w:pos="1715" w:val="left" w:leader="none"/>
        </w:tabs>
        <w:spacing w:line="249" w:lineRule="auto" w:before="109" w:after="0"/>
        <w:ind w:left="1074" w:right="1272" w:firstLine="340"/>
        <w:jc w:val="both"/>
        <w:rPr>
          <w:sz w:val="20"/>
        </w:rPr>
      </w:pPr>
      <w:r>
        <w:rPr>
          <w:sz w:val="20"/>
        </w:rPr>
        <w:t>Antes de la celebración de un contrato de seguro, el distribuidor de seguros determinará, basándose en informaciones obtenidas del cliente, las exigencias y las necesidades de dicho cliente y facilitará al mismo información objetiva acerca del producto de seguro de forma comprensible, de modo que el cliente pueda tomar una decisión fundada.</w:t>
      </w:r>
    </w:p>
    <w:p>
      <w:pPr>
        <w:pStyle w:val="BodyText"/>
        <w:spacing w:line="249" w:lineRule="auto" w:before="4"/>
        <w:ind w:right="1274"/>
      </w:pPr>
      <w:r>
        <w:rPr/>
        <w:t>Cualquier contrato que se proponga debe respetar las exigencias y necesidades del cliente en materia de seguros.</w:t>
      </w:r>
    </w:p>
    <w:p>
      <w:pPr>
        <w:pStyle w:val="ListParagraph"/>
        <w:numPr>
          <w:ilvl w:val="0"/>
          <w:numId w:val="292"/>
        </w:numPr>
        <w:tabs>
          <w:tab w:pos="1668" w:val="left" w:leader="none"/>
        </w:tabs>
        <w:spacing w:line="249" w:lineRule="auto" w:before="2" w:after="0"/>
        <w:ind w:left="1074" w:right="1272" w:firstLine="340"/>
        <w:jc w:val="both"/>
        <w:rPr>
          <w:sz w:val="20"/>
        </w:rPr>
      </w:pPr>
      <w:r>
        <w:rPr>
          <w:sz w:val="20"/>
        </w:rPr>
        <w:t>Si se facilita asesoramiento antes de la celebración de un contrato determinado, el distribuidor de seguros facilitará al cliente una recomendación personalizada en la que explique por qué un producto concreto satisfará mejor las exigencias y necesidades del cliente.</w:t>
      </w:r>
    </w:p>
    <w:p>
      <w:pPr>
        <w:pStyle w:val="BodyText"/>
        <w:spacing w:line="249" w:lineRule="auto" w:before="3"/>
        <w:ind w:right="1273"/>
      </w:pPr>
      <w:r>
        <w:rPr/>
        <w:t>Cuando un mediador de seguros informe a su cliente de que facilita asesoramiento basado en un análisis objetivo y personalizado, deberá prestar ese asesoramiento sobre la base del análisis de un número suficiente de contratos de seguro ofrecidos en el mercado, de</w:t>
      </w:r>
      <w:r>
        <w:rPr>
          <w:spacing w:val="43"/>
        </w:rPr>
        <w:t> </w:t>
      </w:r>
      <w:r>
        <w:rPr/>
        <w:t>modo</w:t>
      </w:r>
      <w:r>
        <w:rPr>
          <w:spacing w:val="44"/>
        </w:rPr>
        <w:t> </w:t>
      </w:r>
      <w:r>
        <w:rPr/>
        <w:t>que</w:t>
      </w:r>
      <w:r>
        <w:rPr>
          <w:spacing w:val="43"/>
        </w:rPr>
        <w:t> </w:t>
      </w:r>
      <w:r>
        <w:rPr/>
        <w:t>pueda</w:t>
      </w:r>
      <w:r>
        <w:rPr>
          <w:spacing w:val="44"/>
        </w:rPr>
        <w:t> </w:t>
      </w:r>
      <w:r>
        <w:rPr/>
        <w:t>formular</w:t>
      </w:r>
      <w:r>
        <w:rPr>
          <w:spacing w:val="43"/>
        </w:rPr>
        <w:t> </w:t>
      </w:r>
      <w:r>
        <w:rPr/>
        <w:t>una</w:t>
      </w:r>
      <w:r>
        <w:rPr>
          <w:spacing w:val="44"/>
        </w:rPr>
        <w:t> </w:t>
      </w:r>
      <w:r>
        <w:rPr/>
        <w:t>recomendación</w:t>
      </w:r>
      <w:r>
        <w:rPr>
          <w:spacing w:val="43"/>
        </w:rPr>
        <w:t> </w:t>
      </w:r>
      <w:r>
        <w:rPr/>
        <w:t>personalizada,</w:t>
      </w:r>
      <w:r>
        <w:rPr>
          <w:spacing w:val="44"/>
        </w:rPr>
        <w:t> </w:t>
      </w:r>
      <w:r>
        <w:rPr/>
        <w:t>ateniéndose</w:t>
      </w:r>
      <w:r>
        <w:rPr>
          <w:spacing w:val="43"/>
        </w:rPr>
        <w:t> </w:t>
      </w:r>
      <w:r>
        <w:rPr/>
        <w:t>a</w:t>
      </w:r>
      <w:r>
        <w:rPr>
          <w:spacing w:val="44"/>
        </w:rPr>
        <w:t> </w:t>
      </w:r>
      <w:r>
        <w:rPr/>
        <w:t>criterios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profesionales, respecto al contrato de seguro que sería adecuado a las necesidades del cliente.</w:t>
      </w:r>
    </w:p>
    <w:p>
      <w:pPr>
        <w:pStyle w:val="ListParagraph"/>
        <w:numPr>
          <w:ilvl w:val="0"/>
          <w:numId w:val="292"/>
        </w:numPr>
        <w:tabs>
          <w:tab w:pos="1654" w:val="left" w:leader="none"/>
        </w:tabs>
        <w:spacing w:line="249" w:lineRule="auto" w:before="1" w:after="0"/>
        <w:ind w:left="1074" w:right="1272" w:firstLine="340"/>
        <w:jc w:val="both"/>
        <w:rPr>
          <w:sz w:val="20"/>
        </w:rPr>
      </w:pPr>
      <w:r>
        <w:rPr>
          <w:sz w:val="20"/>
        </w:rPr>
        <w:t>Las precisiones a que se refieren los apartados 1 y 2 se modularán en función de la complejidad del producto de seguro propuesto y del tipo de</w:t>
      </w:r>
      <w:r>
        <w:rPr>
          <w:spacing w:val="-10"/>
          <w:sz w:val="20"/>
        </w:rPr>
        <w:t> </w:t>
      </w:r>
      <w:r>
        <w:rPr>
          <w:sz w:val="20"/>
        </w:rPr>
        <w:t>cliente.</w:t>
      </w:r>
    </w:p>
    <w:p>
      <w:pPr>
        <w:pStyle w:val="ListParagraph"/>
        <w:numPr>
          <w:ilvl w:val="0"/>
          <w:numId w:val="292"/>
        </w:numPr>
        <w:tabs>
          <w:tab w:pos="1638" w:val="left" w:leader="none"/>
        </w:tabs>
        <w:spacing w:line="249" w:lineRule="auto" w:before="2" w:after="0"/>
        <w:ind w:left="1074" w:right="1273" w:firstLine="340"/>
        <w:jc w:val="both"/>
        <w:rPr>
          <w:sz w:val="20"/>
        </w:rPr>
      </w:pPr>
      <w:r>
        <w:rPr>
          <w:sz w:val="20"/>
        </w:rPr>
        <w:t>Sin perjuicio de lo dispuesto en los artículos 122, 123, 124, 125 y 126 del Real Decreto 1060/2015, de 20 de noviembre, antes de la celebración del contrato, ya se ofrezca o no asesoramiento e independientemente de que el producto de seguro forme parte de un paquete con arreglo al artículo 184, el distribuidor de seguros suministrará al cliente la información pertinente sobre el producto de seguro de forma comprensible, de modo que el cliente pueda tomar una decisión fundada, y atendiendo a la complejidad del producto de seguro y al tipo de</w:t>
      </w:r>
      <w:r>
        <w:rPr>
          <w:spacing w:val="-3"/>
          <w:sz w:val="20"/>
        </w:rPr>
        <w:t> </w:t>
      </w:r>
      <w:r>
        <w:rPr>
          <w:sz w:val="20"/>
        </w:rPr>
        <w:t>cliente.</w:t>
      </w:r>
    </w:p>
    <w:p>
      <w:pPr>
        <w:pStyle w:val="ListParagraph"/>
        <w:numPr>
          <w:ilvl w:val="0"/>
          <w:numId w:val="292"/>
        </w:numPr>
        <w:tabs>
          <w:tab w:pos="1668" w:val="left" w:leader="none"/>
        </w:tabs>
        <w:spacing w:line="249" w:lineRule="auto" w:before="6" w:after="0"/>
        <w:ind w:left="1074" w:right="1274" w:firstLine="340"/>
        <w:jc w:val="both"/>
        <w:rPr>
          <w:sz w:val="20"/>
        </w:rPr>
      </w:pPr>
      <w:r>
        <w:rPr>
          <w:sz w:val="20"/>
        </w:rPr>
        <w:t>Los mediadores de seguros de otros Estados de la Unión Europea que ejerzan en España en régimen de derecho de establecimiento o en régimen de libre prestación de servicios deberán informar a sus clientes en los mismos términos previstos en los apartados anteriores, acerca de si realizan un asesoramiento basado en un análisis objetivo y personalizado o de si están o no contractualmente obligados a realizar actividades de distribución de seguros exclusivamente con una o varias entidades</w:t>
      </w:r>
      <w:r>
        <w:rPr>
          <w:spacing w:val="-22"/>
          <w:sz w:val="20"/>
        </w:rPr>
        <w:t> </w:t>
      </w:r>
      <w:r>
        <w:rPr>
          <w:sz w:val="20"/>
        </w:rPr>
        <w:t>aseguradoras.</w:t>
      </w:r>
    </w:p>
    <w:p>
      <w:pPr>
        <w:pStyle w:val="BodyText"/>
        <w:spacing w:before="7"/>
        <w:ind w:left="0" w:firstLine="0"/>
        <w:jc w:val="left"/>
      </w:pPr>
    </w:p>
    <w:p>
      <w:pPr>
        <w:spacing w:line="249" w:lineRule="auto" w:before="0"/>
        <w:ind w:left="1074" w:right="1275" w:hanging="1"/>
        <w:jc w:val="both"/>
        <w:rPr>
          <w:i/>
          <w:sz w:val="20"/>
        </w:rPr>
      </w:pPr>
      <w:bookmarkStart w:name="Artículo 176. Deber general de informaci" w:id="289"/>
      <w:bookmarkEnd w:id="289"/>
      <w:r>
        <w:rPr/>
      </w:r>
      <w:r>
        <w:rPr>
          <w:b/>
          <w:sz w:val="20"/>
        </w:rPr>
        <w:t>Artículo 176. </w:t>
      </w:r>
      <w:r>
        <w:rPr>
          <w:i/>
          <w:sz w:val="20"/>
        </w:rPr>
        <w:t>Deber general de información previa sobre el contrato de seguro distinto al </w:t>
      </w:r>
      <w:r>
        <w:rPr>
          <w:i/>
          <w:sz w:val="20"/>
        </w:rPr>
        <w:t>seguro de vida: documento de información previa.</w:t>
      </w:r>
    </w:p>
    <w:p>
      <w:pPr>
        <w:pStyle w:val="ListParagraph"/>
        <w:numPr>
          <w:ilvl w:val="0"/>
          <w:numId w:val="293"/>
        </w:numPr>
        <w:tabs>
          <w:tab w:pos="1663" w:val="left" w:leader="none"/>
        </w:tabs>
        <w:spacing w:line="249" w:lineRule="auto" w:before="109" w:after="0"/>
        <w:ind w:left="1074" w:right="1273" w:firstLine="340"/>
        <w:jc w:val="both"/>
        <w:rPr>
          <w:sz w:val="20"/>
        </w:rPr>
      </w:pPr>
      <w:r>
        <w:rPr>
          <w:sz w:val="20"/>
        </w:rPr>
        <w:t>En relación con la distribución de productos de seguro distintos del seguro de vida, según la clasificación del anexo I de la Ley 20/2015, de 14 de julio, se facilitará la información a que se refiere el artículo 175.4 mediante un documento de información previa sobre productos de seguro, en papel o en otro soporte duradero, para la distribución de productos de seguro distintos del seguro de vida. A estos productos les será de aplicación el Reglamento de ejecución (UE) 2017/1469 de la Comisión, de 11 de agosto de 2017, por el que se establece un formato de presentación normalizado para el documento de información sobre productos de</w:t>
      </w:r>
      <w:r>
        <w:rPr>
          <w:spacing w:val="-3"/>
          <w:sz w:val="20"/>
        </w:rPr>
        <w:t> </w:t>
      </w:r>
      <w:r>
        <w:rPr>
          <w:sz w:val="20"/>
        </w:rPr>
        <w:t>seguro.</w:t>
      </w:r>
    </w:p>
    <w:p>
      <w:pPr>
        <w:pStyle w:val="ListParagraph"/>
        <w:numPr>
          <w:ilvl w:val="0"/>
          <w:numId w:val="293"/>
        </w:numPr>
        <w:tabs>
          <w:tab w:pos="1639" w:val="left" w:leader="none"/>
        </w:tabs>
        <w:spacing w:line="249" w:lineRule="auto" w:before="7" w:after="0"/>
        <w:ind w:left="1074" w:right="1273" w:firstLine="340"/>
        <w:jc w:val="both"/>
        <w:rPr>
          <w:sz w:val="20"/>
        </w:rPr>
      </w:pPr>
      <w:r>
        <w:rPr>
          <w:sz w:val="20"/>
        </w:rPr>
        <w:t>La entidad aseguradora o, en su caso, el mediador de seguros cuando sea este el que diseñe el producto de seguro, deberá elaborar el documento de información previa sobre el producto de seguro al que se refiere el apartado</w:t>
      </w:r>
      <w:r>
        <w:rPr>
          <w:spacing w:val="-9"/>
          <w:sz w:val="20"/>
        </w:rPr>
        <w:t> </w:t>
      </w:r>
      <w:r>
        <w:rPr>
          <w:sz w:val="20"/>
        </w:rPr>
        <w:t>1.</w:t>
      </w:r>
    </w:p>
    <w:p>
      <w:pPr>
        <w:pStyle w:val="ListParagraph"/>
        <w:numPr>
          <w:ilvl w:val="0"/>
          <w:numId w:val="293"/>
        </w:numPr>
        <w:tabs>
          <w:tab w:pos="1659" w:val="left" w:leader="none"/>
        </w:tabs>
        <w:spacing w:line="249" w:lineRule="auto" w:before="2" w:after="0"/>
        <w:ind w:left="1074" w:right="1274" w:firstLine="340"/>
        <w:jc w:val="both"/>
        <w:rPr>
          <w:sz w:val="20"/>
        </w:rPr>
      </w:pPr>
      <w:r>
        <w:rPr>
          <w:sz w:val="20"/>
        </w:rPr>
        <w:t>El documento de información previa sobre el producto de seguro deberá cumplir los siguientes requisitos:</w:t>
      </w:r>
    </w:p>
    <w:p>
      <w:pPr>
        <w:pStyle w:val="ListParagraph"/>
        <w:numPr>
          <w:ilvl w:val="0"/>
          <w:numId w:val="294"/>
        </w:numPr>
        <w:tabs>
          <w:tab w:pos="1648" w:val="left" w:leader="none"/>
        </w:tabs>
        <w:spacing w:line="240" w:lineRule="auto" w:before="122" w:after="0"/>
        <w:ind w:left="1647" w:right="0" w:hanging="234"/>
        <w:jc w:val="both"/>
        <w:rPr>
          <w:sz w:val="20"/>
        </w:rPr>
      </w:pPr>
      <w:r>
        <w:rPr>
          <w:sz w:val="20"/>
        </w:rPr>
        <w:t>Será un documento breve e</w:t>
      </w:r>
      <w:r>
        <w:rPr>
          <w:spacing w:val="-6"/>
          <w:sz w:val="20"/>
        </w:rPr>
        <w:t> </w:t>
      </w:r>
      <w:r>
        <w:rPr>
          <w:sz w:val="20"/>
        </w:rPr>
        <w:t>independiente.</w:t>
      </w:r>
    </w:p>
    <w:p>
      <w:pPr>
        <w:pStyle w:val="ListParagraph"/>
        <w:numPr>
          <w:ilvl w:val="0"/>
          <w:numId w:val="294"/>
        </w:numPr>
        <w:tabs>
          <w:tab w:pos="1697" w:val="left" w:leader="none"/>
        </w:tabs>
        <w:spacing w:line="249" w:lineRule="auto" w:before="10" w:after="0"/>
        <w:ind w:left="1074" w:right="1272" w:firstLine="340"/>
        <w:jc w:val="both"/>
        <w:rPr>
          <w:sz w:val="20"/>
        </w:rPr>
      </w:pPr>
      <w:r>
        <w:rPr>
          <w:sz w:val="20"/>
        </w:rPr>
        <w:t>Tendrá una presentación y una estructura claras que permitan su fácil lectura, y utilizará caracteres de un tamaño</w:t>
      </w:r>
      <w:r>
        <w:rPr>
          <w:spacing w:val="-4"/>
          <w:sz w:val="20"/>
        </w:rPr>
        <w:t> </w:t>
      </w:r>
      <w:r>
        <w:rPr>
          <w:sz w:val="20"/>
        </w:rPr>
        <w:t>legible.</w:t>
      </w:r>
    </w:p>
    <w:p>
      <w:pPr>
        <w:pStyle w:val="ListParagraph"/>
        <w:numPr>
          <w:ilvl w:val="0"/>
          <w:numId w:val="294"/>
        </w:numPr>
        <w:tabs>
          <w:tab w:pos="1642" w:val="left" w:leader="none"/>
        </w:tabs>
        <w:spacing w:line="249" w:lineRule="auto" w:before="2" w:after="0"/>
        <w:ind w:left="1074" w:right="1272" w:firstLine="340"/>
        <w:jc w:val="both"/>
        <w:rPr>
          <w:sz w:val="20"/>
        </w:rPr>
      </w:pPr>
      <w:r>
        <w:rPr>
          <w:sz w:val="20"/>
        </w:rPr>
        <w:t>En caso de que el original se haya elaborado en color, no deberá perder claridad si se imprime o fotocopia en blanco y</w:t>
      </w:r>
      <w:r>
        <w:rPr>
          <w:spacing w:val="-6"/>
          <w:sz w:val="20"/>
        </w:rPr>
        <w:t> </w:t>
      </w:r>
      <w:r>
        <w:rPr>
          <w:sz w:val="20"/>
        </w:rPr>
        <w:t>negro.</w:t>
      </w:r>
    </w:p>
    <w:p>
      <w:pPr>
        <w:pStyle w:val="ListParagraph"/>
        <w:numPr>
          <w:ilvl w:val="0"/>
          <w:numId w:val="294"/>
        </w:numPr>
        <w:tabs>
          <w:tab w:pos="1661" w:val="left" w:leader="none"/>
        </w:tabs>
        <w:spacing w:line="249" w:lineRule="auto" w:before="1" w:after="0"/>
        <w:ind w:left="1074" w:right="1273" w:firstLine="340"/>
        <w:jc w:val="both"/>
        <w:rPr>
          <w:sz w:val="20"/>
        </w:rPr>
      </w:pPr>
      <w:r>
        <w:rPr>
          <w:sz w:val="20"/>
        </w:rPr>
        <w:t>Se redactará en las lenguas oficiales, o en una de las lenguas oficiales, utilizadas en la parte del Estado miembro en el que se distribuya el producto de seguro, o en otra lengua si así lo acuerdan el cliente y el</w:t>
      </w:r>
      <w:r>
        <w:rPr>
          <w:spacing w:val="-8"/>
          <w:sz w:val="20"/>
        </w:rPr>
        <w:t> </w:t>
      </w:r>
      <w:r>
        <w:rPr>
          <w:sz w:val="20"/>
        </w:rPr>
        <w:t>distribuidor.</w:t>
      </w:r>
    </w:p>
    <w:p>
      <w:pPr>
        <w:pStyle w:val="ListParagraph"/>
        <w:numPr>
          <w:ilvl w:val="0"/>
          <w:numId w:val="294"/>
        </w:numPr>
        <w:tabs>
          <w:tab w:pos="1648" w:val="left" w:leader="none"/>
        </w:tabs>
        <w:spacing w:line="240" w:lineRule="auto" w:before="3" w:after="0"/>
        <w:ind w:left="1647" w:right="0" w:hanging="234"/>
        <w:jc w:val="both"/>
        <w:rPr>
          <w:sz w:val="20"/>
        </w:rPr>
      </w:pPr>
      <w:r>
        <w:rPr>
          <w:sz w:val="20"/>
        </w:rPr>
        <w:t>Será preciso y no</w:t>
      </w:r>
      <w:r>
        <w:rPr>
          <w:spacing w:val="-3"/>
          <w:sz w:val="20"/>
        </w:rPr>
        <w:t> </w:t>
      </w:r>
      <w:r>
        <w:rPr>
          <w:sz w:val="20"/>
        </w:rPr>
        <w:t>engañoso.</w:t>
      </w:r>
    </w:p>
    <w:p>
      <w:pPr>
        <w:pStyle w:val="ListParagraph"/>
        <w:numPr>
          <w:ilvl w:val="0"/>
          <w:numId w:val="294"/>
        </w:numPr>
        <w:tabs>
          <w:tab w:pos="1609" w:val="left" w:leader="none"/>
        </w:tabs>
        <w:spacing w:line="249" w:lineRule="auto" w:before="10" w:after="0"/>
        <w:ind w:left="1074" w:right="1273" w:firstLine="340"/>
        <w:jc w:val="both"/>
        <w:rPr>
          <w:sz w:val="20"/>
        </w:rPr>
      </w:pPr>
      <w:r>
        <w:rPr>
          <w:sz w:val="20"/>
        </w:rPr>
        <w:t>Incluirá el título «documento de información sobre el producto de seguro» en la parte superior de la primera</w:t>
      </w:r>
      <w:r>
        <w:rPr>
          <w:spacing w:val="-4"/>
          <w:sz w:val="20"/>
        </w:rPr>
        <w:t> </w:t>
      </w:r>
      <w:r>
        <w:rPr>
          <w:sz w:val="20"/>
        </w:rPr>
        <w:t>página.</w:t>
      </w:r>
    </w:p>
    <w:p>
      <w:pPr>
        <w:pStyle w:val="ListParagraph"/>
        <w:numPr>
          <w:ilvl w:val="0"/>
          <w:numId w:val="294"/>
        </w:numPr>
        <w:tabs>
          <w:tab w:pos="1670" w:val="left" w:leader="none"/>
        </w:tabs>
        <w:spacing w:line="249" w:lineRule="auto" w:before="1" w:after="0"/>
        <w:ind w:left="1074" w:right="1273" w:firstLine="340"/>
        <w:jc w:val="both"/>
        <w:rPr>
          <w:sz w:val="20"/>
        </w:rPr>
      </w:pPr>
      <w:r>
        <w:rPr>
          <w:sz w:val="20"/>
        </w:rPr>
        <w:t>Incluirá una declaración de que la información precontractual y contractual completa relativa al producto se facilita en otros</w:t>
      </w:r>
      <w:r>
        <w:rPr>
          <w:spacing w:val="-7"/>
          <w:sz w:val="20"/>
        </w:rPr>
        <w:t> </w:t>
      </w:r>
      <w:r>
        <w:rPr>
          <w:sz w:val="20"/>
        </w:rPr>
        <w:t>documentos.</w:t>
      </w:r>
    </w:p>
    <w:p>
      <w:pPr>
        <w:pStyle w:val="ListParagraph"/>
        <w:numPr>
          <w:ilvl w:val="0"/>
          <w:numId w:val="293"/>
        </w:numPr>
        <w:tabs>
          <w:tab w:pos="1684" w:val="left" w:leader="none"/>
        </w:tabs>
        <w:spacing w:line="249" w:lineRule="auto" w:before="122" w:after="0"/>
        <w:ind w:left="1074" w:right="1273" w:firstLine="340"/>
        <w:jc w:val="both"/>
        <w:rPr>
          <w:sz w:val="20"/>
        </w:rPr>
      </w:pPr>
      <w:r>
        <w:rPr>
          <w:sz w:val="20"/>
        </w:rPr>
        <w:t>El documento de información sobre el producto de seguro contendrá la siguiente información:</w:t>
      </w:r>
    </w:p>
    <w:p>
      <w:pPr>
        <w:pStyle w:val="ListParagraph"/>
        <w:numPr>
          <w:ilvl w:val="0"/>
          <w:numId w:val="295"/>
        </w:numPr>
        <w:tabs>
          <w:tab w:pos="1648" w:val="left" w:leader="none"/>
        </w:tabs>
        <w:spacing w:line="240" w:lineRule="auto" w:before="122" w:after="0"/>
        <w:ind w:left="1647" w:right="0" w:hanging="234"/>
        <w:jc w:val="both"/>
        <w:rPr>
          <w:sz w:val="20"/>
        </w:rPr>
      </w:pPr>
      <w:r>
        <w:rPr>
          <w:sz w:val="20"/>
        </w:rPr>
        <w:t>Información sobre el tipo de</w:t>
      </w:r>
      <w:r>
        <w:rPr>
          <w:spacing w:val="-3"/>
          <w:sz w:val="20"/>
        </w:rPr>
        <w:t> </w:t>
      </w:r>
      <w:r>
        <w:rPr>
          <w:sz w:val="20"/>
        </w:rPr>
        <w:t>seguro.</w:t>
      </w:r>
    </w:p>
    <w:p>
      <w:pPr>
        <w:pStyle w:val="ListParagraph"/>
        <w:numPr>
          <w:ilvl w:val="0"/>
          <w:numId w:val="295"/>
        </w:numPr>
        <w:tabs>
          <w:tab w:pos="1750" w:val="left" w:leader="none"/>
        </w:tabs>
        <w:spacing w:line="249" w:lineRule="auto" w:before="10" w:after="0"/>
        <w:ind w:left="1074" w:right="1274" w:firstLine="340"/>
        <w:jc w:val="both"/>
        <w:rPr>
          <w:sz w:val="20"/>
        </w:rPr>
      </w:pPr>
      <w:r>
        <w:rPr>
          <w:sz w:val="20"/>
        </w:rPr>
        <w:t>Un resumen de las coberturas del seguro, incluidos los principales riesgos asegurados, la suma asegurada y, cuando proceda, el ámbito geográfico de aplicación, así como un resumen de los riesgos</w:t>
      </w:r>
      <w:r>
        <w:rPr>
          <w:spacing w:val="-4"/>
          <w:sz w:val="20"/>
        </w:rPr>
        <w:t> </w:t>
      </w:r>
      <w:r>
        <w:rPr>
          <w:sz w:val="20"/>
        </w:rPr>
        <w:t>excluidos.</w:t>
      </w:r>
    </w:p>
    <w:p>
      <w:pPr>
        <w:pStyle w:val="ListParagraph"/>
        <w:numPr>
          <w:ilvl w:val="0"/>
          <w:numId w:val="295"/>
        </w:numPr>
        <w:tabs>
          <w:tab w:pos="1637" w:val="left" w:leader="none"/>
        </w:tabs>
        <w:spacing w:line="240" w:lineRule="auto" w:before="2" w:after="0"/>
        <w:ind w:left="1636" w:right="0" w:hanging="223"/>
        <w:jc w:val="both"/>
        <w:rPr>
          <w:sz w:val="20"/>
        </w:rPr>
      </w:pPr>
      <w:r>
        <w:rPr>
          <w:sz w:val="20"/>
        </w:rPr>
        <w:t>Las condiciones de pago de las primas, y la duración de los</w:t>
      </w:r>
      <w:r>
        <w:rPr>
          <w:spacing w:val="-16"/>
          <w:sz w:val="20"/>
        </w:rPr>
        <w:t> </w:t>
      </w:r>
      <w:r>
        <w:rPr>
          <w:sz w:val="20"/>
        </w:rPr>
        <w:t>pagos.</w:t>
      </w:r>
    </w:p>
    <w:p>
      <w:pPr>
        <w:pStyle w:val="ListParagraph"/>
        <w:numPr>
          <w:ilvl w:val="0"/>
          <w:numId w:val="295"/>
        </w:numPr>
        <w:tabs>
          <w:tab w:pos="1674" w:val="left" w:leader="none"/>
        </w:tabs>
        <w:spacing w:line="249" w:lineRule="auto" w:before="10" w:after="0"/>
        <w:ind w:left="1074" w:right="1277" w:firstLine="340"/>
        <w:jc w:val="both"/>
        <w:rPr>
          <w:sz w:val="20"/>
        </w:rPr>
      </w:pPr>
      <w:r>
        <w:rPr>
          <w:sz w:val="20"/>
        </w:rPr>
        <w:t>Las principales exclusiones, sobre las cuales no es posible presentar solicitudes de indemnización.</w:t>
      </w:r>
    </w:p>
    <w:p>
      <w:pPr>
        <w:pStyle w:val="ListParagraph"/>
        <w:numPr>
          <w:ilvl w:val="0"/>
          <w:numId w:val="295"/>
        </w:numPr>
        <w:tabs>
          <w:tab w:pos="1648" w:val="left" w:leader="none"/>
        </w:tabs>
        <w:spacing w:line="240" w:lineRule="auto" w:before="2" w:after="0"/>
        <w:ind w:left="1647" w:right="0" w:hanging="234"/>
        <w:jc w:val="both"/>
        <w:rPr>
          <w:sz w:val="20"/>
        </w:rPr>
      </w:pPr>
      <w:r>
        <w:rPr>
          <w:sz w:val="20"/>
        </w:rPr>
        <w:t>Las obligaciones al comienzo del</w:t>
      </w:r>
      <w:r>
        <w:rPr>
          <w:spacing w:val="-5"/>
          <w:sz w:val="20"/>
        </w:rPr>
        <w:t> </w:t>
      </w:r>
      <w:r>
        <w:rPr>
          <w:sz w:val="20"/>
        </w:rPr>
        <w:t>contrato.</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295"/>
        </w:numPr>
        <w:tabs>
          <w:tab w:pos="1593" w:val="left" w:leader="none"/>
        </w:tabs>
        <w:spacing w:line="240" w:lineRule="auto" w:before="127" w:after="0"/>
        <w:ind w:left="1592" w:right="0" w:hanging="179"/>
        <w:jc w:val="left"/>
        <w:rPr>
          <w:sz w:val="20"/>
        </w:rPr>
      </w:pPr>
      <w:r>
        <w:rPr>
          <w:sz w:val="20"/>
        </w:rPr>
        <w:t>Las obligaciones durante la vigencia del</w:t>
      </w:r>
      <w:r>
        <w:rPr>
          <w:spacing w:val="-7"/>
          <w:sz w:val="20"/>
        </w:rPr>
        <w:t> </w:t>
      </w:r>
      <w:r>
        <w:rPr>
          <w:sz w:val="20"/>
        </w:rPr>
        <w:t>contrato.</w:t>
      </w:r>
    </w:p>
    <w:p>
      <w:pPr>
        <w:pStyle w:val="ListParagraph"/>
        <w:numPr>
          <w:ilvl w:val="0"/>
          <w:numId w:val="295"/>
        </w:numPr>
        <w:tabs>
          <w:tab w:pos="1648" w:val="left" w:leader="none"/>
        </w:tabs>
        <w:spacing w:line="240" w:lineRule="auto" w:before="10" w:after="0"/>
        <w:ind w:left="1647" w:right="0" w:hanging="234"/>
        <w:jc w:val="left"/>
        <w:rPr>
          <w:sz w:val="20"/>
        </w:rPr>
      </w:pPr>
      <w:r>
        <w:rPr>
          <w:sz w:val="20"/>
        </w:rPr>
        <w:t>Las obligaciones en caso de solicitud de</w:t>
      </w:r>
      <w:r>
        <w:rPr>
          <w:spacing w:val="-8"/>
          <w:sz w:val="20"/>
        </w:rPr>
        <w:t> </w:t>
      </w:r>
      <w:r>
        <w:rPr>
          <w:sz w:val="20"/>
        </w:rPr>
        <w:t>indemnización.</w:t>
      </w:r>
    </w:p>
    <w:p>
      <w:pPr>
        <w:pStyle w:val="ListParagraph"/>
        <w:numPr>
          <w:ilvl w:val="0"/>
          <w:numId w:val="295"/>
        </w:numPr>
        <w:tabs>
          <w:tab w:pos="1648" w:val="left" w:leader="none"/>
        </w:tabs>
        <w:spacing w:line="240" w:lineRule="auto" w:before="10" w:after="0"/>
        <w:ind w:left="1647" w:right="0" w:hanging="234"/>
        <w:jc w:val="left"/>
        <w:rPr>
          <w:sz w:val="20"/>
        </w:rPr>
      </w:pPr>
      <w:r>
        <w:rPr>
          <w:sz w:val="20"/>
        </w:rPr>
        <w:t>La duración del contrato, incluidas las fechas de comienzo y de</w:t>
      </w:r>
      <w:r>
        <w:rPr>
          <w:spacing w:val="-14"/>
          <w:sz w:val="20"/>
        </w:rPr>
        <w:t> </w:t>
      </w:r>
      <w:r>
        <w:rPr>
          <w:sz w:val="20"/>
        </w:rPr>
        <w:t>expiración.</w:t>
      </w:r>
    </w:p>
    <w:p>
      <w:pPr>
        <w:pStyle w:val="ListParagraph"/>
        <w:numPr>
          <w:ilvl w:val="0"/>
          <w:numId w:val="295"/>
        </w:numPr>
        <w:tabs>
          <w:tab w:pos="1581" w:val="left" w:leader="none"/>
        </w:tabs>
        <w:spacing w:line="240" w:lineRule="auto" w:before="10" w:after="0"/>
        <w:ind w:left="1580" w:right="0" w:hanging="167"/>
        <w:jc w:val="left"/>
        <w:rPr>
          <w:sz w:val="20"/>
        </w:rPr>
      </w:pPr>
      <w:r>
        <w:rPr>
          <w:sz w:val="20"/>
        </w:rPr>
        <w:t>Las modalidades de rescisión del</w:t>
      </w:r>
      <w:r>
        <w:rPr>
          <w:spacing w:val="-4"/>
          <w:sz w:val="20"/>
        </w:rPr>
        <w:t> </w:t>
      </w:r>
      <w:r>
        <w:rPr>
          <w:sz w:val="20"/>
        </w:rPr>
        <w:t>contrato.</w:t>
      </w:r>
    </w:p>
    <w:p>
      <w:pPr>
        <w:pStyle w:val="ListParagraph"/>
        <w:numPr>
          <w:ilvl w:val="0"/>
          <w:numId w:val="293"/>
        </w:numPr>
        <w:tabs>
          <w:tab w:pos="1682" w:val="left" w:leader="none"/>
        </w:tabs>
        <w:spacing w:line="249" w:lineRule="auto" w:before="130" w:after="0"/>
        <w:ind w:left="1074" w:right="1273" w:firstLine="340"/>
        <w:jc w:val="both"/>
        <w:rPr>
          <w:sz w:val="20"/>
        </w:rPr>
      </w:pPr>
      <w:r>
        <w:rPr>
          <w:sz w:val="20"/>
        </w:rPr>
        <w:t>En relación con los seguros a los que resulta de aplicación lo dispuesto en este artículo, no será necesario suministrar la información establecida en los artículos 122, 125 y 126 del Real Decreto 1060/2015, de 20 de noviembre, en la medida en que la misma se entienda debidamente suministrada con arreglo al documento de información sobre el producto de</w:t>
      </w:r>
      <w:r>
        <w:rPr>
          <w:spacing w:val="-3"/>
          <w:sz w:val="20"/>
        </w:rPr>
        <w:t> </w:t>
      </w:r>
      <w:r>
        <w:rPr>
          <w:sz w:val="20"/>
        </w:rPr>
        <w:t>seguro.</w:t>
      </w:r>
    </w:p>
    <w:p>
      <w:pPr>
        <w:pStyle w:val="BodyText"/>
        <w:spacing w:before="6"/>
        <w:ind w:left="0" w:firstLine="0"/>
        <w:jc w:val="left"/>
      </w:pPr>
    </w:p>
    <w:p>
      <w:pPr>
        <w:spacing w:before="0"/>
        <w:ind w:left="1074" w:right="0" w:firstLine="0"/>
        <w:jc w:val="both"/>
        <w:rPr>
          <w:i/>
          <w:sz w:val="20"/>
        </w:rPr>
      </w:pPr>
      <w:bookmarkStart w:name="Artículo 177. Exención de la obligación " w:id="290"/>
      <w:bookmarkEnd w:id="290"/>
      <w:r>
        <w:rPr/>
      </w:r>
      <w:r>
        <w:rPr>
          <w:b/>
          <w:sz w:val="20"/>
        </w:rPr>
        <w:t>Artículo 177. </w:t>
      </w:r>
      <w:r>
        <w:rPr>
          <w:i/>
          <w:sz w:val="20"/>
        </w:rPr>
        <w:t>Exención de la obligación de información previa.</w:t>
      </w:r>
    </w:p>
    <w:p>
      <w:pPr>
        <w:pStyle w:val="BodyText"/>
        <w:spacing w:line="249" w:lineRule="auto" w:before="118"/>
        <w:ind w:right="1273"/>
      </w:pPr>
      <w:r>
        <w:rPr/>
        <w:t>No será obligatorio facilitar la información contemplada en los artículos 173, 174, 175 y 176 cuando el distribuidor de seguros ejerza actividades de distribución en relación con los seguros de grandes riesgos.</w:t>
      </w:r>
    </w:p>
    <w:p>
      <w:pPr>
        <w:pStyle w:val="BodyText"/>
        <w:spacing w:before="4"/>
        <w:ind w:left="0" w:firstLine="0"/>
        <w:jc w:val="left"/>
        <w:rPr>
          <w:sz w:val="25"/>
        </w:rPr>
      </w:pPr>
    </w:p>
    <w:p>
      <w:pPr>
        <w:pStyle w:val="BodyText"/>
        <w:spacing w:line="249" w:lineRule="auto" w:before="0"/>
        <w:ind w:left="3884" w:right="1278" w:hanging="2470"/>
        <w:jc w:val="left"/>
      </w:pPr>
      <w:bookmarkStart w:name="Subsección 2.ª Requisitos adicionales en" w:id="291"/>
      <w:bookmarkEnd w:id="291"/>
      <w:r>
        <w:rPr/>
      </w:r>
      <w:bookmarkStart w:name="_bookmark56" w:id="292"/>
      <w:bookmarkEnd w:id="292"/>
      <w:r>
        <w:rPr/>
      </w:r>
      <w:r>
        <w:rPr/>
        <w:t>Subsección 2.ª Requisitos adicionales en relación con la distribución de productos de inversión basados en seguros</w:t>
      </w:r>
    </w:p>
    <w:p>
      <w:pPr>
        <w:pStyle w:val="BodyText"/>
        <w:spacing w:before="8"/>
        <w:ind w:left="0" w:firstLine="0"/>
        <w:jc w:val="left"/>
        <w:rPr>
          <w:sz w:val="29"/>
        </w:rPr>
      </w:pPr>
    </w:p>
    <w:p>
      <w:pPr>
        <w:spacing w:before="1"/>
        <w:ind w:left="1074" w:right="0" w:firstLine="0"/>
        <w:jc w:val="both"/>
        <w:rPr>
          <w:i/>
          <w:sz w:val="20"/>
        </w:rPr>
      </w:pPr>
      <w:bookmarkStart w:name="Artículo 178. Ámbito de aplicación de lo" w:id="293"/>
      <w:bookmarkEnd w:id="293"/>
      <w:r>
        <w:rPr/>
      </w:r>
      <w:r>
        <w:rPr>
          <w:b/>
          <w:sz w:val="20"/>
        </w:rPr>
        <w:t>Artículo 178. </w:t>
      </w:r>
      <w:r>
        <w:rPr>
          <w:i/>
          <w:sz w:val="20"/>
        </w:rPr>
        <w:t>Ámbito de aplicación de los requisitos adicionales.</w:t>
      </w:r>
    </w:p>
    <w:p>
      <w:pPr>
        <w:pStyle w:val="BodyText"/>
        <w:spacing w:line="249" w:lineRule="auto" w:before="117"/>
        <w:ind w:right="1273"/>
      </w:pPr>
      <w:r>
        <w:rPr/>
        <w:t>La presente subsección establece requisitos adicionales de información a los aplicables a la distribución de seguros de conformidad con los artículos 172, 173, 174, 175 y 176, cuando la distribución de seguros se refiera a la comercialización de productos de inversión basados en seguros realizada</w:t>
      </w:r>
      <w:r>
        <w:rPr>
          <w:spacing w:val="-3"/>
        </w:rPr>
        <w:t> </w:t>
      </w:r>
      <w:r>
        <w:rPr/>
        <w:t>por:</w:t>
      </w:r>
    </w:p>
    <w:p>
      <w:pPr>
        <w:pStyle w:val="ListParagraph"/>
        <w:numPr>
          <w:ilvl w:val="0"/>
          <w:numId w:val="296"/>
        </w:numPr>
        <w:tabs>
          <w:tab w:pos="1648" w:val="left" w:leader="none"/>
        </w:tabs>
        <w:spacing w:line="240" w:lineRule="auto" w:before="123" w:after="0"/>
        <w:ind w:left="1647" w:right="0" w:hanging="234"/>
        <w:jc w:val="left"/>
        <w:rPr>
          <w:sz w:val="20"/>
        </w:rPr>
      </w:pPr>
      <w:r>
        <w:rPr>
          <w:sz w:val="20"/>
        </w:rPr>
        <w:t>Un mediador de</w:t>
      </w:r>
      <w:r>
        <w:rPr>
          <w:spacing w:val="-3"/>
          <w:sz w:val="20"/>
        </w:rPr>
        <w:t> </w:t>
      </w:r>
      <w:r>
        <w:rPr>
          <w:sz w:val="20"/>
        </w:rPr>
        <w:t>seguros.</w:t>
      </w:r>
    </w:p>
    <w:p>
      <w:pPr>
        <w:pStyle w:val="ListParagraph"/>
        <w:numPr>
          <w:ilvl w:val="0"/>
          <w:numId w:val="296"/>
        </w:numPr>
        <w:tabs>
          <w:tab w:pos="1648" w:val="left" w:leader="none"/>
        </w:tabs>
        <w:spacing w:line="240" w:lineRule="auto" w:before="10" w:after="0"/>
        <w:ind w:left="1647" w:right="0" w:hanging="234"/>
        <w:jc w:val="left"/>
        <w:rPr>
          <w:sz w:val="20"/>
        </w:rPr>
      </w:pPr>
      <w:r>
        <w:rPr>
          <w:sz w:val="20"/>
        </w:rPr>
        <w:t>Una entidad</w:t>
      </w:r>
      <w:r>
        <w:rPr>
          <w:spacing w:val="-3"/>
          <w:sz w:val="20"/>
        </w:rPr>
        <w:t> </w:t>
      </w:r>
      <w:r>
        <w:rPr>
          <w:sz w:val="20"/>
        </w:rPr>
        <w:t>aseguradora.</w:t>
      </w:r>
    </w:p>
    <w:p>
      <w:pPr>
        <w:pStyle w:val="BodyText"/>
        <w:spacing w:before="1"/>
        <w:ind w:left="0" w:firstLine="0"/>
        <w:jc w:val="left"/>
        <w:rPr>
          <w:sz w:val="21"/>
        </w:rPr>
      </w:pPr>
    </w:p>
    <w:p>
      <w:pPr>
        <w:spacing w:before="1"/>
        <w:ind w:left="1074" w:right="0" w:firstLine="0"/>
        <w:jc w:val="both"/>
        <w:rPr>
          <w:i/>
          <w:sz w:val="20"/>
        </w:rPr>
      </w:pPr>
      <w:bookmarkStart w:name="Artículo 179. Prevención de conflictos d" w:id="294"/>
      <w:bookmarkEnd w:id="294"/>
      <w:r>
        <w:rPr/>
      </w:r>
      <w:r>
        <w:rPr>
          <w:b/>
          <w:sz w:val="20"/>
        </w:rPr>
        <w:t>Artículo 179. </w:t>
      </w:r>
      <w:r>
        <w:rPr>
          <w:i/>
          <w:sz w:val="20"/>
        </w:rPr>
        <w:t>Prevención de conflictos de interés.</w:t>
      </w:r>
    </w:p>
    <w:p>
      <w:pPr>
        <w:pStyle w:val="ListParagraph"/>
        <w:numPr>
          <w:ilvl w:val="0"/>
          <w:numId w:val="297"/>
        </w:numPr>
        <w:tabs>
          <w:tab w:pos="1681" w:val="left" w:leader="none"/>
        </w:tabs>
        <w:spacing w:line="249" w:lineRule="auto" w:before="117" w:after="0"/>
        <w:ind w:left="1074" w:right="1275" w:firstLine="340"/>
        <w:jc w:val="both"/>
        <w:rPr>
          <w:sz w:val="20"/>
        </w:rPr>
      </w:pPr>
      <w:r>
        <w:rPr>
          <w:sz w:val="20"/>
        </w:rPr>
        <w:t>Sin perjuicio de lo dispuesto en el artículo 172, los mediadores de seguros y las entidades aseguradoras que distribuyan productos de inversión basados en seguros adoptarán todas las medidas oportunas para detectar los posibles conflictos de interés que surjan entre ellos mismos, incluidos sus órganos de dirección y empleados o cualquier persona directa o indirectamente ligada a ellos por vínculos de control, y sus clientes, o entre un cliente y otro, en el ejercicio de actividades de distribución de</w:t>
      </w:r>
      <w:r>
        <w:rPr>
          <w:spacing w:val="-21"/>
          <w:sz w:val="20"/>
        </w:rPr>
        <w:t> </w:t>
      </w:r>
      <w:r>
        <w:rPr>
          <w:sz w:val="20"/>
        </w:rPr>
        <w:t>seguros.</w:t>
      </w:r>
    </w:p>
    <w:p>
      <w:pPr>
        <w:pStyle w:val="ListParagraph"/>
        <w:numPr>
          <w:ilvl w:val="0"/>
          <w:numId w:val="297"/>
        </w:numPr>
        <w:tabs>
          <w:tab w:pos="1718" w:val="left" w:leader="none"/>
        </w:tabs>
        <w:spacing w:line="249" w:lineRule="auto" w:before="5" w:after="0"/>
        <w:ind w:left="1074" w:right="1274" w:firstLine="340"/>
        <w:jc w:val="both"/>
        <w:rPr>
          <w:sz w:val="20"/>
        </w:rPr>
      </w:pPr>
      <w:r>
        <w:rPr>
          <w:sz w:val="20"/>
        </w:rPr>
        <w:t>Los mediadores de seguros y las entidades aseguradoras adoptarán medidas organizativas eficaces destinadas a impedir que las situaciones de conflictos de interés detectadas con arreglo a lo dispuesto en el anterior apartado perjudiquen los intereses de sus clientes. Tales medidas serán proporcionales a las actividades realizadas, los productos de seguro comercializados y la clase de</w:t>
      </w:r>
      <w:r>
        <w:rPr>
          <w:spacing w:val="-5"/>
          <w:sz w:val="20"/>
        </w:rPr>
        <w:t> </w:t>
      </w:r>
      <w:r>
        <w:rPr>
          <w:sz w:val="20"/>
        </w:rPr>
        <w:t>distribuidor.</w:t>
      </w:r>
    </w:p>
    <w:p>
      <w:pPr>
        <w:pStyle w:val="ListParagraph"/>
        <w:numPr>
          <w:ilvl w:val="0"/>
          <w:numId w:val="297"/>
        </w:numPr>
        <w:tabs>
          <w:tab w:pos="1641" w:val="left" w:leader="none"/>
        </w:tabs>
        <w:spacing w:line="249" w:lineRule="auto" w:before="4" w:after="0"/>
        <w:ind w:left="1074" w:right="1272" w:firstLine="340"/>
        <w:jc w:val="both"/>
        <w:rPr>
          <w:sz w:val="20"/>
        </w:rPr>
      </w:pPr>
      <w:r>
        <w:rPr>
          <w:sz w:val="20"/>
        </w:rPr>
        <w:t>En caso de que las medidas adoptadas de conformidad con el apartado anterior por el mediador de seguros o la entidad aseguradora para gestionar las situaciones de conflictos de interés detectadas no sean suficientes para garantizar, con un grado razonable de seguridad, que se eviten los riesgos de perjuicio a los intereses de los clientes, el mediador de seguros o la entidad aseguradora informarán claramente al cliente de la naturaleza general o del origen de tales conflictos de interés, con el tiempo suficiente antes de celebrarse un contrato de</w:t>
      </w:r>
      <w:r>
        <w:rPr>
          <w:spacing w:val="-3"/>
          <w:sz w:val="20"/>
        </w:rPr>
        <w:t> </w:t>
      </w:r>
      <w:r>
        <w:rPr>
          <w:sz w:val="20"/>
        </w:rPr>
        <w:t>seguro.</w:t>
      </w:r>
    </w:p>
    <w:p>
      <w:pPr>
        <w:pStyle w:val="ListParagraph"/>
        <w:numPr>
          <w:ilvl w:val="0"/>
          <w:numId w:val="297"/>
        </w:numPr>
        <w:tabs>
          <w:tab w:pos="1637" w:val="left" w:leader="none"/>
        </w:tabs>
        <w:spacing w:line="240" w:lineRule="auto" w:before="6" w:after="0"/>
        <w:ind w:left="1636" w:right="0" w:hanging="223"/>
        <w:jc w:val="both"/>
        <w:rPr>
          <w:sz w:val="20"/>
        </w:rPr>
      </w:pPr>
      <w:r>
        <w:rPr>
          <w:sz w:val="20"/>
        </w:rPr>
        <w:t>La información a que se hace referencia en el apartado 3, se</w:t>
      </w:r>
      <w:r>
        <w:rPr>
          <w:spacing w:val="-14"/>
          <w:sz w:val="20"/>
        </w:rPr>
        <w:t> </w:t>
      </w:r>
      <w:r>
        <w:rPr>
          <w:sz w:val="20"/>
        </w:rPr>
        <w:t>facilitará:</w:t>
      </w:r>
    </w:p>
    <w:p>
      <w:pPr>
        <w:pStyle w:val="ListParagraph"/>
        <w:numPr>
          <w:ilvl w:val="0"/>
          <w:numId w:val="298"/>
        </w:numPr>
        <w:tabs>
          <w:tab w:pos="1648" w:val="left" w:leader="none"/>
        </w:tabs>
        <w:spacing w:line="240" w:lineRule="auto" w:before="130" w:after="0"/>
        <w:ind w:left="1647" w:right="0" w:hanging="234"/>
        <w:jc w:val="both"/>
        <w:rPr>
          <w:sz w:val="20"/>
        </w:rPr>
      </w:pPr>
      <w:r>
        <w:rPr>
          <w:sz w:val="20"/>
        </w:rPr>
        <w:t>En un soporte duradero,</w:t>
      </w:r>
      <w:r>
        <w:rPr>
          <w:spacing w:val="-3"/>
          <w:sz w:val="20"/>
        </w:rPr>
        <w:t> </w:t>
      </w:r>
      <w:r>
        <w:rPr>
          <w:sz w:val="20"/>
        </w:rPr>
        <w:t>y;</w:t>
      </w:r>
    </w:p>
    <w:p>
      <w:pPr>
        <w:pStyle w:val="ListParagraph"/>
        <w:numPr>
          <w:ilvl w:val="0"/>
          <w:numId w:val="298"/>
        </w:numPr>
        <w:tabs>
          <w:tab w:pos="1688" w:val="left" w:leader="none"/>
        </w:tabs>
        <w:spacing w:line="249" w:lineRule="auto" w:before="10" w:after="0"/>
        <w:ind w:left="1074" w:right="1272" w:firstLine="340"/>
        <w:jc w:val="both"/>
        <w:rPr>
          <w:sz w:val="20"/>
        </w:rPr>
      </w:pPr>
      <w:r>
        <w:rPr>
          <w:sz w:val="20"/>
        </w:rPr>
        <w:t>con suficiente detalle, teniendo en cuenta la naturaleza del cliente, para permitirle tomar una decisión fundada con respecto a las actividades de distribución de seguros en cuyo contexto surja el conflicto de</w:t>
      </w:r>
      <w:r>
        <w:rPr>
          <w:spacing w:val="-3"/>
          <w:sz w:val="20"/>
        </w:rPr>
        <w:t> </w:t>
      </w:r>
      <w:r>
        <w:rPr>
          <w:sz w:val="20"/>
        </w:rPr>
        <w:t>interés.</w:t>
      </w:r>
    </w:p>
    <w:p>
      <w:pPr>
        <w:pStyle w:val="BodyText"/>
        <w:spacing w:before="5"/>
        <w:ind w:left="0" w:firstLine="0"/>
        <w:jc w:val="left"/>
      </w:pPr>
    </w:p>
    <w:p>
      <w:pPr>
        <w:spacing w:before="0"/>
        <w:ind w:left="1074" w:right="0" w:firstLine="0"/>
        <w:jc w:val="both"/>
        <w:rPr>
          <w:i/>
          <w:sz w:val="20"/>
        </w:rPr>
      </w:pPr>
      <w:bookmarkStart w:name="Artículo 180. Información previa a facil" w:id="295"/>
      <w:bookmarkEnd w:id="295"/>
      <w:r>
        <w:rPr/>
      </w:r>
      <w:r>
        <w:rPr>
          <w:b/>
          <w:sz w:val="20"/>
        </w:rPr>
        <w:t>Artículo 180. </w:t>
      </w:r>
      <w:r>
        <w:rPr>
          <w:i/>
          <w:sz w:val="20"/>
        </w:rPr>
        <w:t>Información previa a facilitar a los clientes.</w:t>
      </w:r>
    </w:p>
    <w:p>
      <w:pPr>
        <w:pStyle w:val="ListParagraph"/>
        <w:numPr>
          <w:ilvl w:val="0"/>
          <w:numId w:val="299"/>
        </w:numPr>
        <w:tabs>
          <w:tab w:pos="1639" w:val="left" w:leader="none"/>
        </w:tabs>
        <w:spacing w:line="249" w:lineRule="auto" w:before="118" w:after="0"/>
        <w:ind w:left="1074" w:right="1274" w:firstLine="340"/>
        <w:jc w:val="both"/>
        <w:rPr>
          <w:sz w:val="20"/>
        </w:rPr>
      </w:pPr>
      <w:r>
        <w:rPr>
          <w:sz w:val="20"/>
        </w:rPr>
        <w:t>Sin perjuicio de la información general a proporcionar por los mediadores de seguros y entidades</w:t>
      </w:r>
      <w:r>
        <w:rPr>
          <w:spacing w:val="37"/>
          <w:sz w:val="20"/>
        </w:rPr>
        <w:t> </w:t>
      </w:r>
      <w:r>
        <w:rPr>
          <w:sz w:val="20"/>
        </w:rPr>
        <w:t>aseguradoras</w:t>
      </w:r>
      <w:r>
        <w:rPr>
          <w:spacing w:val="37"/>
          <w:sz w:val="20"/>
        </w:rPr>
        <w:t> </w:t>
      </w:r>
      <w:r>
        <w:rPr>
          <w:sz w:val="20"/>
        </w:rPr>
        <w:t>de</w:t>
      </w:r>
      <w:r>
        <w:rPr>
          <w:spacing w:val="37"/>
          <w:sz w:val="20"/>
        </w:rPr>
        <w:t> </w:t>
      </w:r>
      <w:r>
        <w:rPr>
          <w:sz w:val="20"/>
        </w:rPr>
        <w:t>conformidad</w:t>
      </w:r>
      <w:r>
        <w:rPr>
          <w:spacing w:val="38"/>
          <w:sz w:val="20"/>
        </w:rPr>
        <w:t> </w:t>
      </w:r>
      <w:r>
        <w:rPr>
          <w:sz w:val="20"/>
        </w:rPr>
        <w:t>con</w:t>
      </w:r>
      <w:r>
        <w:rPr>
          <w:spacing w:val="37"/>
          <w:sz w:val="20"/>
        </w:rPr>
        <w:t> </w:t>
      </w:r>
      <w:r>
        <w:rPr>
          <w:sz w:val="20"/>
        </w:rPr>
        <w:t>lo</w:t>
      </w:r>
      <w:r>
        <w:rPr>
          <w:spacing w:val="37"/>
          <w:sz w:val="20"/>
        </w:rPr>
        <w:t> </w:t>
      </w:r>
      <w:r>
        <w:rPr>
          <w:sz w:val="20"/>
        </w:rPr>
        <w:t>dispuesto</w:t>
      </w:r>
      <w:r>
        <w:rPr>
          <w:spacing w:val="37"/>
          <w:sz w:val="20"/>
        </w:rPr>
        <w:t> </w:t>
      </w:r>
      <w:r>
        <w:rPr>
          <w:sz w:val="20"/>
        </w:rPr>
        <w:t>en</w:t>
      </w:r>
      <w:r>
        <w:rPr>
          <w:spacing w:val="38"/>
          <w:sz w:val="20"/>
        </w:rPr>
        <w:t> </w:t>
      </w:r>
      <w:r>
        <w:rPr>
          <w:sz w:val="20"/>
        </w:rPr>
        <w:t>los</w:t>
      </w:r>
      <w:r>
        <w:rPr>
          <w:spacing w:val="37"/>
          <w:sz w:val="20"/>
        </w:rPr>
        <w:t> </w:t>
      </w:r>
      <w:r>
        <w:rPr>
          <w:sz w:val="20"/>
        </w:rPr>
        <w:t>artículos</w:t>
      </w:r>
      <w:r>
        <w:rPr>
          <w:spacing w:val="37"/>
          <w:sz w:val="20"/>
        </w:rPr>
        <w:t> </w:t>
      </w:r>
      <w:r>
        <w:rPr>
          <w:sz w:val="20"/>
        </w:rPr>
        <w:t>173</w:t>
      </w:r>
      <w:r>
        <w:rPr>
          <w:spacing w:val="37"/>
          <w:sz w:val="20"/>
        </w:rPr>
        <w:t> </w:t>
      </w:r>
      <w:r>
        <w:rPr>
          <w:sz w:val="20"/>
        </w:rPr>
        <w:t>y</w:t>
      </w:r>
      <w:r>
        <w:rPr>
          <w:spacing w:val="38"/>
          <w:sz w:val="20"/>
        </w:rPr>
        <w:t> </w:t>
      </w:r>
      <w:r>
        <w:rPr>
          <w:sz w:val="20"/>
        </w:rPr>
        <w:t>174,</w:t>
      </w:r>
      <w:r>
        <w:rPr>
          <w:spacing w:val="37"/>
          <w:sz w:val="20"/>
        </w:rPr>
        <w:t> </w:t>
      </w:r>
      <w:r>
        <w:rPr>
          <w:sz w:val="20"/>
        </w:rPr>
        <w:t>se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1" w:hanging="1"/>
      </w:pPr>
      <w:r>
        <w:rPr/>
        <w:t>facilitará a los clientes, con el tiempo suficiente antes de celebrarse un contrato, información adecuada sobre los productos de inversión basados en seguros objeto de distribución, así como sobre los costes y gastos asociados. Dicha información incluirá, como mínimo, lo siguiente:</w:t>
      </w:r>
    </w:p>
    <w:p>
      <w:pPr>
        <w:pStyle w:val="ListParagraph"/>
        <w:numPr>
          <w:ilvl w:val="0"/>
          <w:numId w:val="300"/>
        </w:numPr>
        <w:tabs>
          <w:tab w:pos="1664" w:val="left" w:leader="none"/>
        </w:tabs>
        <w:spacing w:line="249" w:lineRule="auto" w:before="123" w:after="0"/>
        <w:ind w:left="1074" w:right="1274" w:firstLine="340"/>
        <w:jc w:val="both"/>
        <w:rPr>
          <w:sz w:val="20"/>
        </w:rPr>
      </w:pPr>
      <w:r>
        <w:rPr>
          <w:sz w:val="20"/>
        </w:rPr>
        <w:t>Cuando se ofrezca asesoramiento, el mediador de seguros o la entidad aseguradora indicarán si entregarán al cliente evaluaciones periódicas de la idoneidad del producto de inversión basado en seguros recomendado a dicho cliente, a que se hace referencia en el artículo</w:t>
      </w:r>
      <w:r>
        <w:rPr>
          <w:spacing w:val="-2"/>
          <w:sz w:val="20"/>
        </w:rPr>
        <w:t> </w:t>
      </w:r>
      <w:r>
        <w:rPr>
          <w:sz w:val="20"/>
        </w:rPr>
        <w:t>181;</w:t>
      </w:r>
    </w:p>
    <w:p>
      <w:pPr>
        <w:pStyle w:val="ListParagraph"/>
        <w:numPr>
          <w:ilvl w:val="0"/>
          <w:numId w:val="300"/>
        </w:numPr>
        <w:tabs>
          <w:tab w:pos="1669" w:val="left" w:leader="none"/>
        </w:tabs>
        <w:spacing w:line="249" w:lineRule="auto" w:before="3" w:after="0"/>
        <w:ind w:left="1074" w:right="1275" w:firstLine="340"/>
        <w:jc w:val="both"/>
        <w:rPr>
          <w:sz w:val="20"/>
        </w:rPr>
      </w:pPr>
      <w:r>
        <w:rPr>
          <w:sz w:val="20"/>
        </w:rPr>
        <w:t>orientaciones y advertencias sobre los riesgos conexos a los productos de inversión basados en seguros o a determinadas estrategias de inversión</w:t>
      </w:r>
      <w:r>
        <w:rPr>
          <w:spacing w:val="-19"/>
          <w:sz w:val="20"/>
        </w:rPr>
        <w:t> </w:t>
      </w:r>
      <w:r>
        <w:rPr>
          <w:sz w:val="20"/>
        </w:rPr>
        <w:t>propuestas;</w:t>
      </w:r>
    </w:p>
    <w:p>
      <w:pPr>
        <w:pStyle w:val="ListParagraph"/>
        <w:numPr>
          <w:ilvl w:val="0"/>
          <w:numId w:val="300"/>
        </w:numPr>
        <w:tabs>
          <w:tab w:pos="1718" w:val="left" w:leader="none"/>
        </w:tabs>
        <w:spacing w:line="249" w:lineRule="auto" w:before="2" w:after="0"/>
        <w:ind w:left="1074" w:right="1273" w:firstLine="340"/>
        <w:jc w:val="both"/>
        <w:rPr>
          <w:sz w:val="20"/>
        </w:rPr>
      </w:pPr>
      <w:r>
        <w:rPr>
          <w:sz w:val="20"/>
        </w:rPr>
        <w:t>información sobre todos los costes y gastos asociados, incluidos el coste de asesoramiento, cuando proceda, el coste del producto de inversión basado en seguros recomendado o comercializado al cliente y la forma en que este podrá pagarlo, así como cualesquiera pagos relacionados con</w:t>
      </w:r>
      <w:r>
        <w:rPr>
          <w:spacing w:val="-2"/>
          <w:sz w:val="20"/>
        </w:rPr>
        <w:t> </w:t>
      </w:r>
      <w:r>
        <w:rPr>
          <w:sz w:val="20"/>
        </w:rPr>
        <w:t>terceros.</w:t>
      </w:r>
    </w:p>
    <w:p>
      <w:pPr>
        <w:pStyle w:val="BodyText"/>
        <w:spacing w:line="249" w:lineRule="auto" w:before="123"/>
        <w:ind w:right="1272"/>
      </w:pPr>
      <w:r>
        <w:rPr/>
        <w:t>La información sobre todos los costes y gastos, incluidos los relacionados con la distribución del producto de inversión basado en seguros, que no sean causados por la existencia de un riesgo de mercado subyacente, estará agregada de forma que el cliente pueda comprender el coste total así como el efecto acumulativo sobre el rendimiento de la inversión, suministrándose, a solicitud del cliente, un desglose de los costes y gastos por conceptos. Cuando proceda, esta información se facilitará al cliente de manera periódica, y como mínimo una vez al año, durante el ciclo de vida de la inversión.</w:t>
      </w:r>
    </w:p>
    <w:p>
      <w:pPr>
        <w:pStyle w:val="BodyText"/>
        <w:spacing w:line="249" w:lineRule="auto" w:before="6"/>
        <w:ind w:right="1273"/>
      </w:pPr>
      <w:r>
        <w:rPr/>
        <w:t>La información a que se refiere este apartado se proporcionará de forma comprensible, de tal modo que los clientes puedan entender razonablemente la naturaleza y los riesgos del producto de inversión basado en seguros ofrecido y, por tanto, adoptar decisiones de inversión fundadas.</w:t>
      </w:r>
    </w:p>
    <w:p>
      <w:pPr>
        <w:pStyle w:val="ListParagraph"/>
        <w:numPr>
          <w:ilvl w:val="0"/>
          <w:numId w:val="299"/>
        </w:numPr>
        <w:tabs>
          <w:tab w:pos="1680" w:val="left" w:leader="none"/>
        </w:tabs>
        <w:spacing w:line="249" w:lineRule="auto" w:before="3" w:after="0"/>
        <w:ind w:left="1074" w:right="1272" w:firstLine="340"/>
        <w:jc w:val="both"/>
        <w:rPr>
          <w:sz w:val="20"/>
        </w:rPr>
      </w:pPr>
      <w:r>
        <w:rPr>
          <w:sz w:val="20"/>
        </w:rPr>
        <w:t>Cuando se informe al cliente que el asesoramiento en los productos de inversión basados en seguros en los que el tomador asuma el riesgo de la inversión, se ofrece de forma independiente basado en un análisis objetivo y personalizado, los mediadores de seguros no aceptarán ni retendrán honorarios, comisiones u otros beneficios monetarios o  no monetarios abonados o proporcionados por un tercero o por una persona que actúe por cuenta de un tercero en relación con la distribución de este tipo de productos. Serán comunicados con claridad y excluidos de lo dispuesto en el presente apartado los beneficios no monetarios menores que no perjudiquen la calidad del correspondiente servicio al cliente y cuya escala y naturaleza sean tales que no pueda considerarse que afectan al cumplimiento por el mediador de seguros de actuar con honestidad, imparcialidad y profesionalidad, en el mejor interés de sus</w:t>
      </w:r>
      <w:r>
        <w:rPr>
          <w:spacing w:val="-8"/>
          <w:sz w:val="20"/>
        </w:rPr>
        <w:t> </w:t>
      </w:r>
      <w:r>
        <w:rPr>
          <w:sz w:val="20"/>
        </w:rPr>
        <w:t>clientes.</w:t>
      </w:r>
    </w:p>
    <w:p>
      <w:pPr>
        <w:pStyle w:val="ListParagraph"/>
        <w:numPr>
          <w:ilvl w:val="0"/>
          <w:numId w:val="299"/>
        </w:numPr>
        <w:tabs>
          <w:tab w:pos="1643" w:val="left" w:leader="none"/>
        </w:tabs>
        <w:spacing w:line="249" w:lineRule="auto" w:before="9" w:after="0"/>
        <w:ind w:left="1074" w:right="1272" w:firstLine="340"/>
        <w:jc w:val="both"/>
        <w:rPr>
          <w:sz w:val="20"/>
        </w:rPr>
      </w:pPr>
      <w:r>
        <w:rPr>
          <w:sz w:val="20"/>
        </w:rPr>
        <w:t>Sin perjuicio de lo dispuesto en el artículo 173.1.j), k), y 3, solo se considerará que las entidades aseguradoras o los mediadores de seguros cumplen las obligaciones de actuar siempre con honestidad, equidad y profesionalidad en beneficio de los intereses de sus clientes, o las referidas a la prevención de conflictos de interés del artículo 179, en los casos en que abonen o cobren honorarios o comisiones, o proporcionen o reciban cualquier beneficio no monetario en relación con la distribución de productos de inversión basados en seguros o un servicio auxiliar a cualquiera o de cualquiera, excepto el cliente o la persona que actúe en nombre de este, cuando el pago o beneficio no</w:t>
      </w:r>
      <w:r>
        <w:rPr>
          <w:spacing w:val="-22"/>
          <w:sz w:val="20"/>
        </w:rPr>
        <w:t> </w:t>
      </w:r>
      <w:r>
        <w:rPr>
          <w:sz w:val="20"/>
        </w:rPr>
        <w:t>perjudique:</w:t>
      </w:r>
    </w:p>
    <w:p>
      <w:pPr>
        <w:pStyle w:val="ListParagraph"/>
        <w:numPr>
          <w:ilvl w:val="0"/>
          <w:numId w:val="301"/>
        </w:numPr>
        <w:tabs>
          <w:tab w:pos="1648" w:val="left" w:leader="none"/>
        </w:tabs>
        <w:spacing w:line="240" w:lineRule="auto" w:before="127" w:after="0"/>
        <w:ind w:left="1647" w:right="0" w:hanging="234"/>
        <w:jc w:val="left"/>
        <w:rPr>
          <w:sz w:val="20"/>
        </w:rPr>
      </w:pPr>
      <w:r>
        <w:rPr>
          <w:sz w:val="20"/>
        </w:rPr>
        <w:t>La calidad del correspondiente servicio al cliente,</w:t>
      </w:r>
      <w:r>
        <w:rPr>
          <w:spacing w:val="-4"/>
          <w:sz w:val="20"/>
        </w:rPr>
        <w:t> </w:t>
      </w:r>
      <w:r>
        <w:rPr>
          <w:sz w:val="20"/>
        </w:rPr>
        <w:t>y;</w:t>
      </w:r>
    </w:p>
    <w:p>
      <w:pPr>
        <w:pStyle w:val="ListParagraph"/>
        <w:numPr>
          <w:ilvl w:val="0"/>
          <w:numId w:val="301"/>
        </w:numPr>
        <w:tabs>
          <w:tab w:pos="1653" w:val="left" w:leader="none"/>
        </w:tabs>
        <w:spacing w:line="249" w:lineRule="auto" w:before="10" w:after="0"/>
        <w:ind w:left="1074" w:right="1275" w:firstLine="340"/>
        <w:jc w:val="both"/>
        <w:rPr>
          <w:sz w:val="20"/>
        </w:rPr>
      </w:pPr>
      <w:r>
        <w:rPr>
          <w:sz w:val="20"/>
        </w:rPr>
        <w:t>el cumplimiento de la obligación del mediador de seguros o la entidad aseguradora de actuar</w:t>
      </w:r>
      <w:r>
        <w:rPr>
          <w:spacing w:val="-4"/>
          <w:sz w:val="20"/>
        </w:rPr>
        <w:t> </w:t>
      </w:r>
      <w:r>
        <w:rPr>
          <w:sz w:val="20"/>
        </w:rPr>
        <w:t>con</w:t>
      </w:r>
      <w:r>
        <w:rPr>
          <w:spacing w:val="-3"/>
          <w:sz w:val="20"/>
        </w:rPr>
        <w:t> </w:t>
      </w:r>
      <w:r>
        <w:rPr>
          <w:sz w:val="20"/>
        </w:rPr>
        <w:t>honestidad,</w:t>
      </w:r>
      <w:r>
        <w:rPr>
          <w:spacing w:val="-4"/>
          <w:sz w:val="20"/>
        </w:rPr>
        <w:t> </w:t>
      </w:r>
      <w:r>
        <w:rPr>
          <w:sz w:val="20"/>
        </w:rPr>
        <w:t>imparcialidad</w:t>
      </w:r>
      <w:r>
        <w:rPr>
          <w:spacing w:val="-4"/>
          <w:sz w:val="20"/>
        </w:rPr>
        <w:t> </w:t>
      </w:r>
      <w:r>
        <w:rPr>
          <w:sz w:val="20"/>
        </w:rPr>
        <w:t>y</w:t>
      </w:r>
      <w:r>
        <w:rPr>
          <w:spacing w:val="-3"/>
          <w:sz w:val="20"/>
        </w:rPr>
        <w:t> </w:t>
      </w:r>
      <w:r>
        <w:rPr>
          <w:sz w:val="20"/>
        </w:rPr>
        <w:t>profesionalidad,</w:t>
      </w:r>
      <w:r>
        <w:rPr>
          <w:spacing w:val="-4"/>
          <w:sz w:val="20"/>
        </w:rPr>
        <w:t> </w:t>
      </w:r>
      <w:r>
        <w:rPr>
          <w:sz w:val="20"/>
        </w:rPr>
        <w:t>en</w:t>
      </w:r>
      <w:r>
        <w:rPr>
          <w:spacing w:val="-3"/>
          <w:sz w:val="20"/>
        </w:rPr>
        <w:t> </w:t>
      </w:r>
      <w:r>
        <w:rPr>
          <w:sz w:val="20"/>
        </w:rPr>
        <w:t>el</w:t>
      </w:r>
      <w:r>
        <w:rPr>
          <w:spacing w:val="-4"/>
          <w:sz w:val="20"/>
        </w:rPr>
        <w:t> </w:t>
      </w:r>
      <w:r>
        <w:rPr>
          <w:sz w:val="20"/>
        </w:rPr>
        <w:t>mejor</w:t>
      </w:r>
      <w:r>
        <w:rPr>
          <w:spacing w:val="-3"/>
          <w:sz w:val="20"/>
        </w:rPr>
        <w:t> </w:t>
      </w:r>
      <w:r>
        <w:rPr>
          <w:sz w:val="20"/>
        </w:rPr>
        <w:t>interés</w:t>
      </w:r>
      <w:r>
        <w:rPr>
          <w:spacing w:val="-4"/>
          <w:sz w:val="20"/>
        </w:rPr>
        <w:t> </w:t>
      </w:r>
      <w:r>
        <w:rPr>
          <w:sz w:val="20"/>
        </w:rPr>
        <w:t>de</w:t>
      </w:r>
      <w:r>
        <w:rPr>
          <w:spacing w:val="-4"/>
          <w:sz w:val="20"/>
        </w:rPr>
        <w:t> </w:t>
      </w:r>
      <w:r>
        <w:rPr>
          <w:sz w:val="20"/>
        </w:rPr>
        <w:t>sus</w:t>
      </w:r>
      <w:r>
        <w:rPr>
          <w:spacing w:val="-3"/>
          <w:sz w:val="20"/>
        </w:rPr>
        <w:t> </w:t>
      </w:r>
      <w:r>
        <w:rPr>
          <w:sz w:val="20"/>
        </w:rPr>
        <w:t>clientes.</w:t>
      </w:r>
    </w:p>
    <w:p>
      <w:pPr>
        <w:pStyle w:val="ListParagraph"/>
        <w:numPr>
          <w:ilvl w:val="0"/>
          <w:numId w:val="299"/>
        </w:numPr>
        <w:tabs>
          <w:tab w:pos="1647" w:val="left" w:leader="none"/>
        </w:tabs>
        <w:spacing w:line="249" w:lineRule="auto" w:before="121" w:after="0"/>
        <w:ind w:left="1074" w:right="1275" w:firstLine="340"/>
        <w:jc w:val="both"/>
        <w:rPr>
          <w:sz w:val="20"/>
        </w:rPr>
      </w:pPr>
      <w:r>
        <w:rPr>
          <w:sz w:val="20"/>
        </w:rPr>
        <w:t>En el caso de distribución a clientes profesionales de productos de inversión basados en seguros, no será obligatorio facilitar la información prevista en el presente</w:t>
      </w:r>
      <w:r>
        <w:rPr>
          <w:spacing w:val="-32"/>
          <w:sz w:val="20"/>
        </w:rPr>
        <w:t> </w:t>
      </w:r>
      <w:r>
        <w:rPr>
          <w:sz w:val="20"/>
        </w:rPr>
        <w:t>artículo.</w:t>
      </w:r>
    </w:p>
    <w:p>
      <w:pPr>
        <w:pStyle w:val="ListParagraph"/>
        <w:numPr>
          <w:ilvl w:val="0"/>
          <w:numId w:val="299"/>
        </w:numPr>
        <w:tabs>
          <w:tab w:pos="1684" w:val="left" w:leader="none"/>
        </w:tabs>
        <w:spacing w:line="249" w:lineRule="auto" w:before="2" w:after="0"/>
        <w:ind w:left="1074" w:right="1272" w:firstLine="340"/>
        <w:jc w:val="both"/>
        <w:rPr>
          <w:sz w:val="20"/>
        </w:rPr>
      </w:pPr>
      <w:r>
        <w:rPr>
          <w:sz w:val="20"/>
        </w:rPr>
        <w:t>La persona titular del Ministerio de Asuntos Económicos y Transformación Digital podrá establecer, en relación con los productos de inversión basados en seguros en los que el tomador asuma el riesgo de la inversión, requisitos adicionales de información al cliente antes de suscribir el contrato y una vez suscrito el mismo, en particular sobre el deber de revelar al cliente, de forma completa, exacta y comprensible, la existencia, naturaleza y cuantía de los pagos o beneficios a que se refiere el apartado 3 o, cuando dicha cuantía no pueda determinarse, el método de cálculo de esa</w:t>
      </w:r>
      <w:r>
        <w:rPr>
          <w:spacing w:val="-9"/>
          <w:sz w:val="20"/>
        </w:rPr>
        <w:t> </w:t>
      </w:r>
      <w:r>
        <w:rPr>
          <w:sz w:val="20"/>
        </w:rPr>
        <w:t>cuantía.</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181. Análisis de idoneidad y ad" w:id="296"/>
      <w:bookmarkEnd w:id="296"/>
      <w:r>
        <w:rPr/>
      </w:r>
      <w:r>
        <w:rPr>
          <w:b/>
          <w:sz w:val="20"/>
        </w:rPr>
        <w:t>Artículo 181. </w:t>
      </w:r>
      <w:r>
        <w:rPr>
          <w:i/>
          <w:sz w:val="20"/>
        </w:rPr>
        <w:t>Análisis de idoneidad y adecuación e información a los clientes.</w:t>
      </w:r>
    </w:p>
    <w:p>
      <w:pPr>
        <w:pStyle w:val="ListParagraph"/>
        <w:numPr>
          <w:ilvl w:val="0"/>
          <w:numId w:val="302"/>
        </w:numPr>
        <w:tabs>
          <w:tab w:pos="1641" w:val="left" w:leader="none"/>
        </w:tabs>
        <w:spacing w:line="249" w:lineRule="auto" w:before="118" w:after="0"/>
        <w:ind w:left="1074" w:right="1272" w:firstLine="340"/>
        <w:jc w:val="both"/>
        <w:rPr>
          <w:sz w:val="20"/>
        </w:rPr>
      </w:pPr>
      <w:r>
        <w:rPr>
          <w:sz w:val="20"/>
        </w:rPr>
        <w:t>Sin perjuicio de lo dispuesto en el artículo 175.1, referido a la obligación de determinar las exigencias y necesidades del cliente con carácter previo a la celebración de un contrato de seguro, cuando el mediador de seguros o la entidad aseguradora realicen actividades de distribución de seguros en las que ofrezcan asesoramiento sobre un producto de inversión basado en seguros, obtendrán también en todo caso la siguiente información sobre el cliente o cliente</w:t>
      </w:r>
      <w:r>
        <w:rPr>
          <w:spacing w:val="-2"/>
          <w:sz w:val="20"/>
        </w:rPr>
        <w:t> </w:t>
      </w:r>
      <w:r>
        <w:rPr>
          <w:sz w:val="20"/>
        </w:rPr>
        <w:t>potencial:</w:t>
      </w:r>
    </w:p>
    <w:p>
      <w:pPr>
        <w:pStyle w:val="ListParagraph"/>
        <w:numPr>
          <w:ilvl w:val="0"/>
          <w:numId w:val="303"/>
        </w:numPr>
        <w:tabs>
          <w:tab w:pos="1702" w:val="left" w:leader="none"/>
        </w:tabs>
        <w:spacing w:line="249" w:lineRule="auto" w:before="125" w:after="0"/>
        <w:ind w:left="1074" w:right="1274" w:firstLine="340"/>
        <w:jc w:val="left"/>
        <w:rPr>
          <w:sz w:val="20"/>
        </w:rPr>
      </w:pPr>
      <w:r>
        <w:rPr>
          <w:sz w:val="20"/>
        </w:rPr>
        <w:t>Conocimientos y experiencia en el ámbito de la inversión propio de la clase de producto.</w:t>
      </w:r>
    </w:p>
    <w:p>
      <w:pPr>
        <w:pStyle w:val="ListParagraph"/>
        <w:numPr>
          <w:ilvl w:val="0"/>
          <w:numId w:val="303"/>
        </w:numPr>
        <w:tabs>
          <w:tab w:pos="1648" w:val="left" w:leader="none"/>
        </w:tabs>
        <w:spacing w:line="240" w:lineRule="auto" w:before="1" w:after="0"/>
        <w:ind w:left="1647" w:right="0" w:hanging="234"/>
        <w:jc w:val="left"/>
        <w:rPr>
          <w:sz w:val="20"/>
        </w:rPr>
      </w:pPr>
      <w:r>
        <w:rPr>
          <w:sz w:val="20"/>
        </w:rPr>
        <w:t>Situación financiera, incluida su capacidad para soportar</w:t>
      </w:r>
      <w:r>
        <w:rPr>
          <w:spacing w:val="-5"/>
          <w:sz w:val="20"/>
        </w:rPr>
        <w:t> </w:t>
      </w:r>
      <w:r>
        <w:rPr>
          <w:sz w:val="20"/>
        </w:rPr>
        <w:t>pérdidas.</w:t>
      </w:r>
    </w:p>
    <w:p>
      <w:pPr>
        <w:pStyle w:val="ListParagraph"/>
        <w:numPr>
          <w:ilvl w:val="0"/>
          <w:numId w:val="303"/>
        </w:numPr>
        <w:tabs>
          <w:tab w:pos="1637" w:val="left" w:leader="none"/>
        </w:tabs>
        <w:spacing w:line="240" w:lineRule="auto" w:before="10" w:after="0"/>
        <w:ind w:left="1636" w:right="0" w:hanging="223"/>
        <w:jc w:val="left"/>
        <w:rPr>
          <w:sz w:val="20"/>
        </w:rPr>
      </w:pPr>
      <w:r>
        <w:rPr>
          <w:sz w:val="20"/>
        </w:rPr>
        <w:t>Objetivos de inversión, incluida su tolerancia al</w:t>
      </w:r>
      <w:r>
        <w:rPr>
          <w:spacing w:val="-6"/>
          <w:sz w:val="20"/>
        </w:rPr>
        <w:t> </w:t>
      </w:r>
      <w:r>
        <w:rPr>
          <w:sz w:val="20"/>
        </w:rPr>
        <w:t>riesgo.</w:t>
      </w:r>
    </w:p>
    <w:p>
      <w:pPr>
        <w:pStyle w:val="BodyText"/>
        <w:spacing w:line="249" w:lineRule="auto" w:before="130"/>
        <w:ind w:right="1272"/>
      </w:pPr>
      <w:r>
        <w:rPr/>
        <w:t>La anterior información se obtendrá con el fin de que el mediador de seguros o la entidad aseguradora recomienden al cliente los productos de inversión basados en seguros que sean idóneos para él y que, en particular, mejor se ajusten a su nivel de tolerancia al riesgo y a su capacidad para soportar</w:t>
      </w:r>
      <w:r>
        <w:rPr>
          <w:spacing w:val="-3"/>
        </w:rPr>
        <w:t> </w:t>
      </w:r>
      <w:r>
        <w:rPr/>
        <w:t>pérdidas.</w:t>
      </w:r>
    </w:p>
    <w:p>
      <w:pPr>
        <w:pStyle w:val="BodyText"/>
        <w:spacing w:line="249" w:lineRule="auto" w:before="4"/>
        <w:ind w:right="1273"/>
      </w:pPr>
      <w:r>
        <w:rPr/>
        <w:t>Cuando el asesoramiento en materia de inversión consista en la recomendación de un conjunto de productos combinados de acuerdo con el artículo 184, el conjunto considerado de forma global debe ser idóneo para el cliente.</w:t>
      </w:r>
    </w:p>
    <w:p>
      <w:pPr>
        <w:pStyle w:val="ListParagraph"/>
        <w:numPr>
          <w:ilvl w:val="0"/>
          <w:numId w:val="302"/>
        </w:numPr>
        <w:tabs>
          <w:tab w:pos="1641" w:val="left" w:leader="none"/>
        </w:tabs>
        <w:spacing w:line="249" w:lineRule="auto" w:before="2" w:after="0"/>
        <w:ind w:left="1074" w:right="1272" w:firstLine="340"/>
        <w:jc w:val="both"/>
        <w:rPr>
          <w:sz w:val="20"/>
        </w:rPr>
      </w:pPr>
      <w:r>
        <w:rPr>
          <w:sz w:val="20"/>
        </w:rPr>
        <w:t>Sin perjuicio de lo dispuesto en el artículo 175.1, referido a la obligación de determinar las exigencias y necesidades del cliente con carácter previo a la celebración de un contrato de seguro, cuando el mediador de seguros o la entidad aseguradora realicen actividades de distribución de seguros en las que no se ofrezca asesoramiento, obtendrán también en todo caso información solicitada al cliente sobre sus conocimientos y experiencia en el ámbito de inversión propio de la clase de</w:t>
      </w:r>
      <w:r>
        <w:rPr>
          <w:spacing w:val="-7"/>
          <w:sz w:val="20"/>
        </w:rPr>
        <w:t> </w:t>
      </w:r>
      <w:r>
        <w:rPr>
          <w:sz w:val="20"/>
        </w:rPr>
        <w:t>producto.</w:t>
      </w:r>
    </w:p>
    <w:p>
      <w:pPr>
        <w:pStyle w:val="BodyText"/>
        <w:spacing w:line="249" w:lineRule="auto" w:before="5"/>
        <w:ind w:right="1276"/>
      </w:pPr>
      <w:r>
        <w:rPr/>
        <w:t>La anterior información se obtendrá con el fin de que el mediador de seguros o la entidad aseguradora puedan analizar si el producto de seguro es adecuado para el cliente.</w:t>
      </w:r>
    </w:p>
    <w:p>
      <w:pPr>
        <w:pStyle w:val="BodyText"/>
        <w:spacing w:line="249" w:lineRule="auto"/>
        <w:ind w:right="1274"/>
      </w:pPr>
      <w:r>
        <w:rPr/>
        <w:t>Cuando la distribución consista en un conjunto de productos combinados conforme al artículo 184, el mediador de seguros o la entidad aseguradora deberán examinar si el conjunto, considerado de forma global, es adecuado para el cliente.</w:t>
      </w:r>
    </w:p>
    <w:p>
      <w:pPr>
        <w:pStyle w:val="BodyText"/>
        <w:spacing w:line="249" w:lineRule="auto"/>
        <w:ind w:right="1275"/>
      </w:pPr>
      <w:r>
        <w:rPr/>
        <w:t>Cuando el mediador de seguros o la entidad aseguradora consideren, basándose en la información recibida en virtud del párrafo primero de este apartado, que el producto no es adecuado para el cliente, le advertirán de ello. Dicha advertencia podrá realizarse en un formato normalizado.</w:t>
      </w:r>
    </w:p>
    <w:p>
      <w:pPr>
        <w:pStyle w:val="BodyText"/>
        <w:spacing w:line="249" w:lineRule="auto" w:before="3"/>
        <w:ind w:right="1273"/>
      </w:pPr>
      <w:r>
        <w:rPr/>
        <w:t>Cuando los clientes o clientes potenciales no faciliten la información a que se refiere el párrafo primero de este apartado o faciliten información insuficiente sobre sus conocimientos y experiencia, el mediador de seguros o la entidad aseguradora les advertirán de que no están en condiciones de decidir si el producto previsto es adecuado para ellos. Dicha advertencia podrá realizarse en un formato normalizado.</w:t>
      </w:r>
    </w:p>
    <w:p>
      <w:pPr>
        <w:pStyle w:val="ListParagraph"/>
        <w:numPr>
          <w:ilvl w:val="0"/>
          <w:numId w:val="302"/>
        </w:numPr>
        <w:tabs>
          <w:tab w:pos="1641" w:val="left" w:leader="none"/>
        </w:tabs>
        <w:spacing w:line="249" w:lineRule="auto" w:before="5" w:after="0"/>
        <w:ind w:left="1074" w:right="1272" w:firstLine="340"/>
        <w:jc w:val="both"/>
        <w:rPr>
          <w:sz w:val="20"/>
        </w:rPr>
      </w:pPr>
      <w:r>
        <w:rPr>
          <w:sz w:val="20"/>
        </w:rPr>
        <w:t>Sin perjuicio de lo dispuesto en el artículo 175.1, referido a la obligación de determinar las exigencias y necesidades del cliente con carácter previo a la celebración de un contrato de seguro, cuando no se ofrezca asesoramiento en relación con productos de inversión basados en seguros, los mediadores de seguros o las entidades aseguradoras podrán realizar actividades de distribución de seguros sin necesidad de obtener la información o adoptar la decisión que prevé el apartado 2, siempre que se cumplan todas las condiciones siguientes:</w:t>
      </w:r>
    </w:p>
    <w:p>
      <w:pPr>
        <w:pStyle w:val="ListParagraph"/>
        <w:numPr>
          <w:ilvl w:val="0"/>
          <w:numId w:val="304"/>
        </w:numPr>
        <w:tabs>
          <w:tab w:pos="1714" w:val="left" w:leader="none"/>
        </w:tabs>
        <w:spacing w:line="249" w:lineRule="auto" w:before="125" w:after="0"/>
        <w:ind w:left="1074" w:right="1276" w:firstLine="340"/>
        <w:jc w:val="left"/>
        <w:rPr>
          <w:sz w:val="20"/>
        </w:rPr>
      </w:pPr>
      <w:r>
        <w:rPr>
          <w:sz w:val="20"/>
        </w:rPr>
        <w:t>Las actividades se refieren a algunos de los siguientes productos de inversión basados en</w:t>
      </w:r>
      <w:r>
        <w:rPr>
          <w:spacing w:val="-3"/>
          <w:sz w:val="20"/>
        </w:rPr>
        <w:t> </w:t>
      </w:r>
      <w:r>
        <w:rPr>
          <w:sz w:val="20"/>
        </w:rPr>
        <w:t>seguros:</w:t>
      </w:r>
    </w:p>
    <w:p>
      <w:pPr>
        <w:pStyle w:val="ListParagraph"/>
        <w:numPr>
          <w:ilvl w:val="0"/>
          <w:numId w:val="305"/>
        </w:numPr>
        <w:tabs>
          <w:tab w:pos="1583" w:val="left" w:leader="none"/>
        </w:tabs>
        <w:spacing w:line="249" w:lineRule="auto" w:before="122" w:after="0"/>
        <w:ind w:left="1074" w:right="1272" w:firstLine="340"/>
        <w:jc w:val="both"/>
        <w:rPr>
          <w:sz w:val="20"/>
        </w:rPr>
      </w:pPr>
      <w:r>
        <w:rPr>
          <w:sz w:val="20"/>
        </w:rPr>
        <w:t>º Contratos que solo ofrecen una exposición de inversión a instrumentos financieros considerados no complejos en virtud del Real Decreto Legislativo 4/2015, de 23 de octubre, por el que se aprueba el texto refundido de la Ley del Mercado de valores y que</w:t>
      </w:r>
      <w:r>
        <w:rPr>
          <w:spacing w:val="-1"/>
          <w:sz w:val="20"/>
        </w:rPr>
        <w:t> </w:t>
      </w:r>
      <w:r>
        <w:rPr>
          <w:sz w:val="20"/>
        </w:rPr>
        <w:t>no incorporan una estructura que dificulte al cliente la comprensión del riesgo implicado,</w:t>
      </w:r>
      <w:r>
        <w:rPr>
          <w:spacing w:val="-31"/>
          <w:sz w:val="20"/>
        </w:rPr>
        <w:t> </w:t>
      </w:r>
      <w:r>
        <w:rPr>
          <w:sz w:val="20"/>
        </w:rPr>
        <w:t>o</w:t>
      </w:r>
    </w:p>
    <w:p>
      <w:pPr>
        <w:pStyle w:val="ListParagraph"/>
        <w:numPr>
          <w:ilvl w:val="0"/>
          <w:numId w:val="305"/>
        </w:numPr>
        <w:tabs>
          <w:tab w:pos="1582" w:val="left" w:leader="none"/>
        </w:tabs>
        <w:spacing w:line="249" w:lineRule="auto" w:before="3" w:after="0"/>
        <w:ind w:left="1074" w:right="1273" w:firstLine="339"/>
        <w:jc w:val="both"/>
        <w:rPr>
          <w:sz w:val="20"/>
        </w:rPr>
      </w:pPr>
      <w:r>
        <w:rPr>
          <w:sz w:val="20"/>
        </w:rPr>
        <w:t>º otras inversiones no complejas basadas en seguros para los fines del presente apartado.</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304"/>
        </w:numPr>
        <w:tabs>
          <w:tab w:pos="1655" w:val="left" w:leader="none"/>
        </w:tabs>
        <w:spacing w:line="249" w:lineRule="auto" w:before="126" w:after="0"/>
        <w:ind w:left="1074" w:right="1276" w:firstLine="340"/>
        <w:jc w:val="both"/>
        <w:rPr>
          <w:sz w:val="20"/>
        </w:rPr>
      </w:pPr>
      <w:r>
        <w:rPr>
          <w:sz w:val="20"/>
        </w:rPr>
        <w:t>La actividad de distribución de seguros se lleva a cabo a iniciativa del cliente o cliente potencial.</w:t>
      </w:r>
    </w:p>
    <w:p>
      <w:pPr>
        <w:pStyle w:val="ListParagraph"/>
        <w:numPr>
          <w:ilvl w:val="0"/>
          <w:numId w:val="304"/>
        </w:numPr>
        <w:tabs>
          <w:tab w:pos="1656" w:val="left" w:leader="none"/>
        </w:tabs>
        <w:spacing w:line="249" w:lineRule="auto" w:before="2" w:after="0"/>
        <w:ind w:left="1074" w:right="1274" w:firstLine="340"/>
        <w:jc w:val="both"/>
        <w:rPr>
          <w:sz w:val="20"/>
        </w:rPr>
      </w:pPr>
      <w:r>
        <w:rPr>
          <w:sz w:val="20"/>
        </w:rPr>
        <w:t>El cliente ha sido claramente informado de que para la prestación de la actividad de distribución de seguros no es necesario que el mediador de seguros o la entidad aseguradora evalúen la idoneidad del producto de inversión basado en seguros o la actividad de distribución de seguros prestada u ofrecida y de que el cliente no goza de la correspondiente protección de las normas de conducta pertinentes. Dicha advertencia podrá facilitarse en un formato</w:t>
      </w:r>
      <w:r>
        <w:rPr>
          <w:spacing w:val="-3"/>
          <w:sz w:val="20"/>
        </w:rPr>
        <w:t> </w:t>
      </w:r>
      <w:r>
        <w:rPr>
          <w:sz w:val="20"/>
        </w:rPr>
        <w:t>normalizado.</w:t>
      </w:r>
    </w:p>
    <w:p>
      <w:pPr>
        <w:pStyle w:val="ListParagraph"/>
        <w:numPr>
          <w:ilvl w:val="0"/>
          <w:numId w:val="304"/>
        </w:numPr>
        <w:tabs>
          <w:tab w:pos="1681" w:val="left" w:leader="none"/>
        </w:tabs>
        <w:spacing w:line="249" w:lineRule="auto" w:before="5" w:after="0"/>
        <w:ind w:left="1074" w:right="1274" w:firstLine="340"/>
        <w:jc w:val="both"/>
        <w:rPr>
          <w:sz w:val="20"/>
        </w:rPr>
      </w:pPr>
      <w:r>
        <w:rPr>
          <w:sz w:val="20"/>
        </w:rPr>
        <w:t>El mediador de seguros o la entidad aseguradora cumple con sus obligaciones en materia de gestión y prevención de conflictos de interés, previstas en el artículo</w:t>
      </w:r>
      <w:r>
        <w:rPr>
          <w:spacing w:val="-32"/>
          <w:sz w:val="20"/>
        </w:rPr>
        <w:t> </w:t>
      </w:r>
      <w:r>
        <w:rPr>
          <w:sz w:val="20"/>
        </w:rPr>
        <w:t>179.</w:t>
      </w:r>
    </w:p>
    <w:p>
      <w:pPr>
        <w:pStyle w:val="BodyText"/>
        <w:spacing w:line="249" w:lineRule="auto" w:before="121"/>
        <w:ind w:right="1271"/>
      </w:pPr>
      <w:r>
        <w:rPr/>
        <w:t>Al celebrar contratos de seguro con clientes que tengan su residencia habitual o su establecimiento en un Estado miembro que no haga uso de la excepción contemplada en el presente apartado, los mediadores de seguros o entidades aseguradoras, incluidos los que operen en régimen de libre prestación de servicios o de libertad de establecimiento, deberán cumplir las disposiciones aplicables en dicho Estado miembro.</w:t>
      </w:r>
    </w:p>
    <w:p>
      <w:pPr>
        <w:pStyle w:val="ListParagraph"/>
        <w:numPr>
          <w:ilvl w:val="0"/>
          <w:numId w:val="306"/>
        </w:numPr>
        <w:tabs>
          <w:tab w:pos="1646" w:val="left" w:leader="none"/>
        </w:tabs>
        <w:spacing w:line="249" w:lineRule="auto" w:before="4" w:after="0"/>
        <w:ind w:left="1074" w:right="1273" w:firstLine="340"/>
        <w:jc w:val="both"/>
        <w:rPr>
          <w:sz w:val="20"/>
        </w:rPr>
      </w:pPr>
      <w:r>
        <w:rPr>
          <w:sz w:val="20"/>
        </w:rPr>
        <w:t>El mediador de seguros o la entidad aseguradora crearán un registro que contenga el documento o los documentos acordados entre el mediador de seguros o la entidad aseguradora y el cliente, que recojan los derechos y obligaciones de las partes y el resto de condiciones con arreglo a las cuales el mediador de seguros o la entidad aseguradora prestarán sus servicios al cliente. Los derechos y deberes de las partes en el contrato  podrán establecerse por referencia a otros textos</w:t>
      </w:r>
      <w:r>
        <w:rPr>
          <w:spacing w:val="-9"/>
          <w:sz w:val="20"/>
        </w:rPr>
        <w:t> </w:t>
      </w:r>
      <w:r>
        <w:rPr>
          <w:sz w:val="20"/>
        </w:rPr>
        <w:t>legales.</w:t>
      </w:r>
    </w:p>
    <w:p>
      <w:pPr>
        <w:pStyle w:val="ListParagraph"/>
        <w:numPr>
          <w:ilvl w:val="0"/>
          <w:numId w:val="306"/>
        </w:numPr>
        <w:tabs>
          <w:tab w:pos="1647" w:val="left" w:leader="none"/>
        </w:tabs>
        <w:spacing w:line="249" w:lineRule="auto" w:before="5" w:after="0"/>
        <w:ind w:left="1074" w:right="1275" w:firstLine="340"/>
        <w:jc w:val="both"/>
        <w:rPr>
          <w:sz w:val="20"/>
        </w:rPr>
      </w:pPr>
      <w:r>
        <w:rPr>
          <w:sz w:val="20"/>
        </w:rPr>
        <w:t>En el caso de distribución a clientes profesionales de productos de inversión basados en seguros, no será obligatorio facilitar la información prevista en el presente</w:t>
      </w:r>
      <w:r>
        <w:rPr>
          <w:spacing w:val="-32"/>
          <w:sz w:val="20"/>
        </w:rPr>
        <w:t> </w:t>
      </w:r>
      <w:r>
        <w:rPr>
          <w:sz w:val="20"/>
        </w:rPr>
        <w:t>artículo.</w:t>
      </w:r>
    </w:p>
    <w:p>
      <w:pPr>
        <w:pStyle w:val="BodyText"/>
        <w:spacing w:before="4"/>
        <w:ind w:left="0" w:firstLine="0"/>
        <w:jc w:val="left"/>
        <w:rPr>
          <w:sz w:val="25"/>
        </w:rPr>
      </w:pPr>
    </w:p>
    <w:p>
      <w:pPr>
        <w:pStyle w:val="BodyText"/>
        <w:spacing w:before="0"/>
        <w:ind w:left="1414" w:right="1612" w:firstLine="0"/>
        <w:jc w:val="center"/>
      </w:pPr>
      <w:bookmarkStart w:name="Subsección 3.ª Modalidades de transmisió" w:id="297"/>
      <w:bookmarkEnd w:id="297"/>
      <w:r>
        <w:rPr/>
      </w:r>
      <w:bookmarkStart w:name="_bookmark57" w:id="298"/>
      <w:bookmarkEnd w:id="298"/>
      <w:r>
        <w:rPr/>
      </w:r>
      <w:r>
        <w:rPr/>
        <w:t>Subsección 3.ª Modalidades de transmisión de la información</w:t>
      </w:r>
    </w:p>
    <w:p>
      <w:pPr>
        <w:pStyle w:val="BodyText"/>
        <w:spacing w:before="5"/>
        <w:ind w:left="0" w:firstLine="0"/>
        <w:jc w:val="left"/>
        <w:rPr>
          <w:sz w:val="30"/>
        </w:rPr>
      </w:pPr>
    </w:p>
    <w:p>
      <w:pPr>
        <w:spacing w:before="0"/>
        <w:ind w:left="1074" w:right="0" w:firstLine="0"/>
        <w:jc w:val="left"/>
        <w:rPr>
          <w:i/>
          <w:sz w:val="20"/>
        </w:rPr>
      </w:pPr>
      <w:bookmarkStart w:name="Artículo 182. Modalidad de transmisión d" w:id="299"/>
      <w:bookmarkEnd w:id="299"/>
      <w:r>
        <w:rPr/>
      </w:r>
      <w:r>
        <w:rPr>
          <w:b/>
          <w:sz w:val="20"/>
        </w:rPr>
        <w:t>Artículo 182. </w:t>
      </w:r>
      <w:r>
        <w:rPr>
          <w:i/>
          <w:sz w:val="20"/>
        </w:rPr>
        <w:t>Modalidad de transmisión de información general.</w:t>
      </w:r>
    </w:p>
    <w:p>
      <w:pPr>
        <w:pStyle w:val="ListParagraph"/>
        <w:numPr>
          <w:ilvl w:val="0"/>
          <w:numId w:val="307"/>
        </w:numPr>
        <w:tabs>
          <w:tab w:pos="1645" w:val="left" w:leader="none"/>
        </w:tabs>
        <w:spacing w:line="249" w:lineRule="auto" w:before="118" w:after="0"/>
        <w:ind w:left="1074" w:right="1275" w:firstLine="340"/>
        <w:jc w:val="both"/>
        <w:rPr>
          <w:sz w:val="20"/>
        </w:rPr>
      </w:pPr>
      <w:r>
        <w:rPr>
          <w:sz w:val="20"/>
        </w:rPr>
        <w:t>Toda información que deba ser proporcionada en virtud de los artículos 173, 174, 175 y 180, deberá comunicarse a los</w:t>
      </w:r>
      <w:r>
        <w:rPr>
          <w:spacing w:val="-5"/>
          <w:sz w:val="20"/>
        </w:rPr>
        <w:t> </w:t>
      </w:r>
      <w:r>
        <w:rPr>
          <w:sz w:val="20"/>
        </w:rPr>
        <w:t>clientes:</w:t>
      </w:r>
    </w:p>
    <w:p>
      <w:pPr>
        <w:pStyle w:val="ListParagraph"/>
        <w:numPr>
          <w:ilvl w:val="0"/>
          <w:numId w:val="308"/>
        </w:numPr>
        <w:tabs>
          <w:tab w:pos="1648" w:val="left" w:leader="none"/>
        </w:tabs>
        <w:spacing w:line="240" w:lineRule="auto" w:before="121" w:after="0"/>
        <w:ind w:left="1647" w:right="0" w:hanging="234"/>
        <w:jc w:val="left"/>
        <w:rPr>
          <w:sz w:val="20"/>
        </w:rPr>
      </w:pPr>
      <w:r>
        <w:rPr>
          <w:sz w:val="20"/>
        </w:rPr>
        <w:t>En</w:t>
      </w:r>
      <w:r>
        <w:rPr>
          <w:spacing w:val="-1"/>
          <w:sz w:val="20"/>
        </w:rPr>
        <w:t> </w:t>
      </w:r>
      <w:r>
        <w:rPr>
          <w:sz w:val="20"/>
        </w:rPr>
        <w:t>papel;</w:t>
      </w:r>
    </w:p>
    <w:p>
      <w:pPr>
        <w:pStyle w:val="ListParagraph"/>
        <w:numPr>
          <w:ilvl w:val="0"/>
          <w:numId w:val="308"/>
        </w:numPr>
        <w:tabs>
          <w:tab w:pos="1648" w:val="left" w:leader="none"/>
        </w:tabs>
        <w:spacing w:line="240" w:lineRule="auto" w:before="10" w:after="0"/>
        <w:ind w:left="1647" w:right="0" w:hanging="234"/>
        <w:jc w:val="left"/>
        <w:rPr>
          <w:sz w:val="20"/>
        </w:rPr>
      </w:pPr>
      <w:r>
        <w:rPr>
          <w:sz w:val="20"/>
        </w:rPr>
        <w:t>de forma clara y precisa, comprensible para el</w:t>
      </w:r>
      <w:r>
        <w:rPr>
          <w:spacing w:val="-6"/>
          <w:sz w:val="20"/>
        </w:rPr>
        <w:t> </w:t>
      </w:r>
      <w:r>
        <w:rPr>
          <w:sz w:val="20"/>
        </w:rPr>
        <w:t>cliente;</w:t>
      </w:r>
    </w:p>
    <w:p>
      <w:pPr>
        <w:pStyle w:val="ListParagraph"/>
        <w:numPr>
          <w:ilvl w:val="0"/>
          <w:numId w:val="308"/>
        </w:numPr>
        <w:tabs>
          <w:tab w:pos="1663" w:val="left" w:leader="none"/>
        </w:tabs>
        <w:spacing w:line="249" w:lineRule="auto" w:before="10" w:after="0"/>
        <w:ind w:left="1074" w:right="1275" w:firstLine="340"/>
        <w:jc w:val="left"/>
        <w:rPr>
          <w:sz w:val="20"/>
        </w:rPr>
      </w:pPr>
      <w:r>
        <w:rPr>
          <w:sz w:val="20"/>
        </w:rPr>
        <w:t>en una lengua oficial del Estado miembro en el que se sitúe el riesgo o del Estado miembro del compromiso o en cualquier otra lengua acordada por las partes,</w:t>
      </w:r>
      <w:r>
        <w:rPr>
          <w:spacing w:val="-19"/>
          <w:sz w:val="20"/>
        </w:rPr>
        <w:t> </w:t>
      </w:r>
      <w:r>
        <w:rPr>
          <w:sz w:val="20"/>
        </w:rPr>
        <w:t>y</w:t>
      </w:r>
    </w:p>
    <w:p>
      <w:pPr>
        <w:pStyle w:val="ListParagraph"/>
        <w:numPr>
          <w:ilvl w:val="0"/>
          <w:numId w:val="308"/>
        </w:numPr>
        <w:tabs>
          <w:tab w:pos="1648" w:val="left" w:leader="none"/>
        </w:tabs>
        <w:spacing w:line="240" w:lineRule="auto" w:before="2" w:after="0"/>
        <w:ind w:left="1647" w:right="0" w:hanging="234"/>
        <w:jc w:val="left"/>
        <w:rPr>
          <w:sz w:val="20"/>
        </w:rPr>
      </w:pPr>
      <w:r>
        <w:rPr>
          <w:sz w:val="20"/>
        </w:rPr>
        <w:t>de forma</w:t>
      </w:r>
      <w:r>
        <w:rPr>
          <w:spacing w:val="-2"/>
          <w:sz w:val="20"/>
        </w:rPr>
        <w:t> </w:t>
      </w:r>
      <w:r>
        <w:rPr>
          <w:sz w:val="20"/>
        </w:rPr>
        <w:t>gratuita.</w:t>
      </w:r>
    </w:p>
    <w:p>
      <w:pPr>
        <w:pStyle w:val="ListParagraph"/>
        <w:numPr>
          <w:ilvl w:val="0"/>
          <w:numId w:val="307"/>
        </w:numPr>
        <w:tabs>
          <w:tab w:pos="1670" w:val="left" w:leader="none"/>
        </w:tabs>
        <w:spacing w:line="249" w:lineRule="auto" w:before="130" w:after="0"/>
        <w:ind w:left="1074" w:right="1272" w:firstLine="340"/>
        <w:jc w:val="both"/>
        <w:rPr>
          <w:sz w:val="20"/>
        </w:rPr>
      </w:pPr>
      <w:r>
        <w:rPr>
          <w:sz w:val="20"/>
        </w:rPr>
        <w:t>Como excepción a lo dispuesto en el apartado 1, letra a), la información a que se refieren los artículos 173, 174, 175 y 180, podrá facilitarse al cliente de una de las siguientes formas:</w:t>
      </w:r>
    </w:p>
    <w:p>
      <w:pPr>
        <w:pStyle w:val="ListParagraph"/>
        <w:numPr>
          <w:ilvl w:val="0"/>
          <w:numId w:val="309"/>
        </w:numPr>
        <w:tabs>
          <w:tab w:pos="1753" w:val="left" w:leader="none"/>
        </w:tabs>
        <w:spacing w:line="249" w:lineRule="auto" w:before="122" w:after="0"/>
        <w:ind w:left="1074" w:right="1273" w:firstLine="340"/>
        <w:jc w:val="left"/>
        <w:rPr>
          <w:sz w:val="20"/>
        </w:rPr>
      </w:pPr>
      <w:r>
        <w:rPr>
          <w:sz w:val="20"/>
        </w:rPr>
        <w:t>A través de un soporte duradero distinto del papel, cuando concurran las circunstancias establecidas en el apartado 4,</w:t>
      </w:r>
      <w:r>
        <w:rPr>
          <w:spacing w:val="-7"/>
          <w:sz w:val="20"/>
        </w:rPr>
        <w:t> </w:t>
      </w:r>
      <w:r>
        <w:rPr>
          <w:sz w:val="20"/>
        </w:rPr>
        <w:t>o</w:t>
      </w:r>
    </w:p>
    <w:p>
      <w:pPr>
        <w:pStyle w:val="ListParagraph"/>
        <w:numPr>
          <w:ilvl w:val="0"/>
          <w:numId w:val="309"/>
        </w:numPr>
        <w:tabs>
          <w:tab w:pos="1694" w:val="left" w:leader="none"/>
        </w:tabs>
        <w:spacing w:line="249" w:lineRule="auto" w:before="2" w:after="0"/>
        <w:ind w:left="1074" w:right="1272" w:firstLine="340"/>
        <w:jc w:val="left"/>
        <w:rPr>
          <w:sz w:val="20"/>
        </w:rPr>
      </w:pPr>
      <w:r>
        <w:rPr>
          <w:sz w:val="20"/>
        </w:rPr>
        <w:t>a través de un sitio web, cuando concurran las circunstancias establecidas en el apartado</w:t>
      </w:r>
      <w:r>
        <w:rPr>
          <w:spacing w:val="-2"/>
          <w:sz w:val="20"/>
        </w:rPr>
        <w:t> </w:t>
      </w:r>
      <w:r>
        <w:rPr>
          <w:sz w:val="20"/>
        </w:rPr>
        <w:t>5.</w:t>
      </w:r>
    </w:p>
    <w:p>
      <w:pPr>
        <w:pStyle w:val="ListParagraph"/>
        <w:numPr>
          <w:ilvl w:val="0"/>
          <w:numId w:val="307"/>
        </w:numPr>
        <w:tabs>
          <w:tab w:pos="1643" w:val="left" w:leader="none"/>
        </w:tabs>
        <w:spacing w:line="249" w:lineRule="auto" w:before="122" w:after="0"/>
        <w:ind w:left="1074" w:right="1273" w:firstLine="340"/>
        <w:jc w:val="both"/>
        <w:rPr>
          <w:sz w:val="20"/>
        </w:rPr>
      </w:pPr>
      <w:r>
        <w:rPr>
          <w:sz w:val="20"/>
        </w:rPr>
        <w:t>Cuando la información a que se refieren los artículos 173, 174, 175 y 180, se facilite a través de un soporte duradero distinto del papel o a través de un sitio web, se proporcionará al cliente una copia en papel cuando este así lo solicite, y de forma</w:t>
      </w:r>
      <w:r>
        <w:rPr>
          <w:spacing w:val="-16"/>
          <w:sz w:val="20"/>
        </w:rPr>
        <w:t> </w:t>
      </w:r>
      <w:r>
        <w:rPr>
          <w:sz w:val="20"/>
        </w:rPr>
        <w:t>gratuita.</w:t>
      </w:r>
    </w:p>
    <w:p>
      <w:pPr>
        <w:pStyle w:val="ListParagraph"/>
        <w:numPr>
          <w:ilvl w:val="0"/>
          <w:numId w:val="307"/>
        </w:numPr>
        <w:tabs>
          <w:tab w:pos="1650" w:val="left" w:leader="none"/>
        </w:tabs>
        <w:spacing w:line="249" w:lineRule="auto" w:before="2" w:after="0"/>
        <w:ind w:left="1074" w:right="1272" w:firstLine="340"/>
        <w:jc w:val="both"/>
        <w:rPr>
          <w:sz w:val="20"/>
        </w:rPr>
      </w:pPr>
      <w:r>
        <w:rPr>
          <w:sz w:val="20"/>
        </w:rPr>
        <w:t>La información a que se refieren los artículos 173, 174, 175 y 180, podrá facilitarse a través de un soporte duradero distinto del papel cuando concurran las siguientes circunstancias:</w:t>
      </w:r>
    </w:p>
    <w:p>
      <w:pPr>
        <w:pStyle w:val="ListParagraph"/>
        <w:numPr>
          <w:ilvl w:val="0"/>
          <w:numId w:val="310"/>
        </w:numPr>
        <w:tabs>
          <w:tab w:pos="1663" w:val="left" w:leader="none"/>
        </w:tabs>
        <w:spacing w:line="249" w:lineRule="auto" w:before="123" w:after="0"/>
        <w:ind w:left="1074" w:right="1274" w:firstLine="340"/>
        <w:jc w:val="left"/>
        <w:rPr>
          <w:sz w:val="20"/>
        </w:rPr>
      </w:pPr>
      <w:r>
        <w:rPr>
          <w:sz w:val="20"/>
        </w:rPr>
        <w:t>Que el uso del soporte duradero resulte adecuado en el contexto de las operaciones que tengan lugar entre el distribuidor de seguros y el cliente,</w:t>
      </w:r>
      <w:r>
        <w:rPr>
          <w:spacing w:val="-12"/>
          <w:sz w:val="20"/>
        </w:rPr>
        <w:t> </w:t>
      </w:r>
      <w:r>
        <w:rPr>
          <w:sz w:val="20"/>
        </w:rPr>
        <w:t>y</w:t>
      </w:r>
    </w:p>
    <w:p>
      <w:pPr>
        <w:pStyle w:val="ListParagraph"/>
        <w:numPr>
          <w:ilvl w:val="0"/>
          <w:numId w:val="310"/>
        </w:numPr>
        <w:tabs>
          <w:tab w:pos="1667" w:val="left" w:leader="none"/>
        </w:tabs>
        <w:spacing w:line="249" w:lineRule="auto" w:before="1" w:after="0"/>
        <w:ind w:left="1074" w:right="1275" w:firstLine="340"/>
        <w:jc w:val="left"/>
        <w:rPr>
          <w:sz w:val="20"/>
        </w:rPr>
      </w:pPr>
      <w:r>
        <w:rPr>
          <w:sz w:val="20"/>
        </w:rPr>
        <w:t>que el cliente haya podido optar entre recibir información en papel o en otro soporte duradero, y haya elegido este último</w:t>
      </w:r>
      <w:r>
        <w:rPr>
          <w:spacing w:val="-7"/>
          <w:sz w:val="20"/>
        </w:rPr>
        <w:t> </w:t>
      </w:r>
      <w:r>
        <w:rPr>
          <w:sz w:val="20"/>
        </w:rPr>
        <w:t>soporte.</w:t>
      </w:r>
    </w:p>
    <w:p>
      <w:pPr>
        <w:spacing w:after="0" w:line="249"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307"/>
        </w:numPr>
        <w:tabs>
          <w:tab w:pos="1650" w:val="left" w:leader="none"/>
        </w:tabs>
        <w:spacing w:line="249" w:lineRule="auto" w:before="126" w:after="0"/>
        <w:ind w:left="1074" w:right="1273" w:firstLine="340"/>
        <w:jc w:val="both"/>
        <w:rPr>
          <w:sz w:val="20"/>
        </w:rPr>
      </w:pPr>
      <w:r>
        <w:rPr>
          <w:sz w:val="20"/>
        </w:rPr>
        <w:t>La información a que se refieren los artículos 173, 174, 175 y 180, podrá facilitarse a través de un sitio web cuando vaya dirigida personalmente al cliente o concurran las siguientes circunstancias:</w:t>
      </w:r>
    </w:p>
    <w:p>
      <w:pPr>
        <w:pStyle w:val="ListParagraph"/>
        <w:numPr>
          <w:ilvl w:val="0"/>
          <w:numId w:val="311"/>
        </w:numPr>
        <w:tabs>
          <w:tab w:pos="1656" w:val="left" w:leader="none"/>
        </w:tabs>
        <w:spacing w:line="249" w:lineRule="auto" w:before="123" w:after="0"/>
        <w:ind w:left="1074" w:right="1274" w:firstLine="340"/>
        <w:jc w:val="left"/>
        <w:rPr>
          <w:sz w:val="20"/>
        </w:rPr>
      </w:pPr>
      <w:r>
        <w:rPr>
          <w:sz w:val="20"/>
        </w:rPr>
        <w:t>Que facilitar esa información a través de un sitio web resulte adecuado en el contexto de las operaciones que tengan lugar entre el distribuidor de seguros y el</w:t>
      </w:r>
      <w:r>
        <w:rPr>
          <w:spacing w:val="-24"/>
          <w:sz w:val="20"/>
        </w:rPr>
        <w:t> </w:t>
      </w:r>
      <w:r>
        <w:rPr>
          <w:sz w:val="20"/>
        </w:rPr>
        <w:t>cliente.</w:t>
      </w:r>
    </w:p>
    <w:p>
      <w:pPr>
        <w:pStyle w:val="ListParagraph"/>
        <w:numPr>
          <w:ilvl w:val="0"/>
          <w:numId w:val="311"/>
        </w:numPr>
        <w:tabs>
          <w:tab w:pos="1648" w:val="left" w:leader="none"/>
        </w:tabs>
        <w:spacing w:line="240" w:lineRule="auto" w:before="1" w:after="0"/>
        <w:ind w:left="1647" w:right="0" w:hanging="234"/>
        <w:jc w:val="left"/>
        <w:rPr>
          <w:sz w:val="20"/>
        </w:rPr>
      </w:pPr>
      <w:r>
        <w:rPr>
          <w:sz w:val="20"/>
        </w:rPr>
        <w:t>Que el cliente haya aceptado que esa información se facilite a través de un sitio</w:t>
      </w:r>
      <w:r>
        <w:rPr>
          <w:spacing w:val="-21"/>
          <w:sz w:val="20"/>
        </w:rPr>
        <w:t> </w:t>
      </w:r>
      <w:r>
        <w:rPr>
          <w:sz w:val="20"/>
        </w:rPr>
        <w:t>web.</w:t>
      </w:r>
    </w:p>
    <w:p>
      <w:pPr>
        <w:pStyle w:val="ListParagraph"/>
        <w:numPr>
          <w:ilvl w:val="0"/>
          <w:numId w:val="311"/>
        </w:numPr>
        <w:tabs>
          <w:tab w:pos="1647" w:val="left" w:leader="none"/>
        </w:tabs>
        <w:spacing w:line="249" w:lineRule="auto" w:before="10" w:after="0"/>
        <w:ind w:left="1074" w:right="1273" w:firstLine="340"/>
        <w:jc w:val="left"/>
        <w:rPr>
          <w:sz w:val="20"/>
        </w:rPr>
      </w:pPr>
      <w:r>
        <w:rPr>
          <w:sz w:val="20"/>
        </w:rPr>
        <w:t>Que se haya notificado al cliente electrónicamente la dirección del sitio web y el lugar del sitio web en el que puede consultarse esa</w:t>
      </w:r>
      <w:r>
        <w:rPr>
          <w:spacing w:val="-11"/>
          <w:sz w:val="20"/>
        </w:rPr>
        <w:t> </w:t>
      </w:r>
      <w:r>
        <w:rPr>
          <w:sz w:val="20"/>
        </w:rPr>
        <w:t>información.</w:t>
      </w:r>
    </w:p>
    <w:p>
      <w:pPr>
        <w:pStyle w:val="ListParagraph"/>
        <w:numPr>
          <w:ilvl w:val="0"/>
          <w:numId w:val="311"/>
        </w:numPr>
        <w:tabs>
          <w:tab w:pos="1681" w:val="left" w:leader="none"/>
        </w:tabs>
        <w:spacing w:line="249" w:lineRule="auto" w:before="2" w:after="0"/>
        <w:ind w:left="1074" w:right="1274" w:firstLine="340"/>
        <w:jc w:val="left"/>
        <w:rPr>
          <w:sz w:val="20"/>
        </w:rPr>
      </w:pPr>
      <w:r>
        <w:rPr>
          <w:sz w:val="20"/>
        </w:rPr>
        <w:t>Que se garantice que esa información seguirá figurando en el sitio web durante el tiempo que razonablemente necesite el cliente para</w:t>
      </w:r>
      <w:r>
        <w:rPr>
          <w:spacing w:val="-6"/>
          <w:sz w:val="20"/>
        </w:rPr>
        <w:t> </w:t>
      </w:r>
      <w:r>
        <w:rPr>
          <w:sz w:val="20"/>
        </w:rPr>
        <w:t>consultarla.</w:t>
      </w:r>
    </w:p>
    <w:p>
      <w:pPr>
        <w:pStyle w:val="ListParagraph"/>
        <w:numPr>
          <w:ilvl w:val="0"/>
          <w:numId w:val="307"/>
        </w:numPr>
        <w:tabs>
          <w:tab w:pos="1642" w:val="left" w:leader="none"/>
        </w:tabs>
        <w:spacing w:line="249" w:lineRule="auto" w:before="122" w:after="0"/>
        <w:ind w:left="1074" w:right="1273" w:firstLine="340"/>
        <w:jc w:val="both"/>
        <w:rPr>
          <w:sz w:val="20"/>
        </w:rPr>
      </w:pPr>
      <w:r>
        <w:rPr>
          <w:sz w:val="20"/>
        </w:rPr>
        <w:t>A efectos de lo dispuesto en los apartados 4 y 5, facilitar la información a través de un soporte duradero distinto del papel o a través de un sitio web se considerará adecuado en el contexto de las operaciones que tengan lugar entre el distribuidor de seguros y el cliente, si existen pruebas de que este último tiene acceso regular a internet. Se considerará que la comunicación por parte del cliente de una dirección de correo electrónico a efectos de esas operaciones constituye una prueba</w:t>
      </w:r>
      <w:r>
        <w:rPr>
          <w:spacing w:val="-4"/>
          <w:sz w:val="20"/>
        </w:rPr>
        <w:t> </w:t>
      </w:r>
      <w:r>
        <w:rPr>
          <w:sz w:val="20"/>
        </w:rPr>
        <w:t>válida.</w:t>
      </w:r>
    </w:p>
    <w:p>
      <w:pPr>
        <w:pStyle w:val="ListParagraph"/>
        <w:numPr>
          <w:ilvl w:val="0"/>
          <w:numId w:val="307"/>
        </w:numPr>
        <w:tabs>
          <w:tab w:pos="1647" w:val="left" w:leader="none"/>
        </w:tabs>
        <w:spacing w:line="249" w:lineRule="auto" w:before="4" w:after="0"/>
        <w:ind w:left="1074" w:right="1272" w:firstLine="340"/>
        <w:jc w:val="both"/>
        <w:rPr>
          <w:sz w:val="20"/>
        </w:rPr>
      </w:pPr>
      <w:r>
        <w:rPr>
          <w:sz w:val="20"/>
        </w:rPr>
        <w:t>En caso de venta por teléfono, la información facilitada al cliente por el distribuidor de seguros antes de celebrarse el contrato, incluido el documento de información previa sobre el producto de seguro a que se refiere el artículo 176, se comunicará de acuerdo con las normas aplicables a la comercialización a distancia de servicios financieros a los usuarios de seguros. Además, incluso cuando el cliente haya decidido recibir información previamente en un soporte duradero distinto del papel de conformidad con el apartado 4, el distribuidor de seguros facilitará, además, al cliente la información que proceda de acuerdo con los apartados 1 o 2 inmediatamente después de celebrarse el contrato de</w:t>
      </w:r>
      <w:r>
        <w:rPr>
          <w:spacing w:val="-19"/>
          <w:sz w:val="20"/>
        </w:rPr>
        <w:t> </w:t>
      </w:r>
      <w:r>
        <w:rPr>
          <w:sz w:val="20"/>
        </w:rPr>
        <w:t>seguro.</w:t>
      </w:r>
    </w:p>
    <w:p>
      <w:pPr>
        <w:pStyle w:val="BodyText"/>
        <w:spacing w:before="9"/>
        <w:ind w:left="0" w:firstLine="0"/>
        <w:jc w:val="left"/>
      </w:pPr>
    </w:p>
    <w:p>
      <w:pPr>
        <w:spacing w:line="249" w:lineRule="auto" w:before="1"/>
        <w:ind w:left="1074" w:right="1278" w:firstLine="0"/>
        <w:jc w:val="left"/>
        <w:rPr>
          <w:i/>
          <w:sz w:val="20"/>
        </w:rPr>
      </w:pPr>
      <w:bookmarkStart w:name="Artículo 183. Modalidad de transmisión d" w:id="300"/>
      <w:bookmarkEnd w:id="300"/>
      <w:r>
        <w:rPr/>
      </w:r>
      <w:r>
        <w:rPr>
          <w:b/>
          <w:sz w:val="20"/>
        </w:rPr>
        <w:t>Artículo 183. </w:t>
      </w:r>
      <w:r>
        <w:rPr>
          <w:i/>
          <w:sz w:val="20"/>
        </w:rPr>
        <w:t>Modalidad de transmisión de información en el caso de productos de inversión </w:t>
      </w:r>
      <w:r>
        <w:rPr>
          <w:i/>
          <w:sz w:val="20"/>
        </w:rPr>
        <w:t>basados en seguros.</w:t>
      </w:r>
    </w:p>
    <w:p>
      <w:pPr>
        <w:pStyle w:val="BodyText"/>
        <w:spacing w:line="249" w:lineRule="auto" w:before="109"/>
        <w:ind w:right="1274"/>
      </w:pPr>
      <w:r>
        <w:rPr/>
        <w:t>Sin perjuicio de lo dispuesto en el artículo 182, la transmisión de información en el caso de productos de inversión basados en seguros se regirá por lo siguiente:</w:t>
      </w:r>
    </w:p>
    <w:p>
      <w:pPr>
        <w:pStyle w:val="ListParagraph"/>
        <w:numPr>
          <w:ilvl w:val="0"/>
          <w:numId w:val="312"/>
        </w:numPr>
        <w:tabs>
          <w:tab w:pos="1673" w:val="left" w:leader="none"/>
        </w:tabs>
        <w:spacing w:line="249" w:lineRule="auto" w:before="121" w:after="0"/>
        <w:ind w:left="1074" w:right="1272" w:firstLine="340"/>
        <w:jc w:val="both"/>
        <w:rPr>
          <w:sz w:val="20"/>
        </w:rPr>
      </w:pPr>
      <w:r>
        <w:rPr>
          <w:sz w:val="20"/>
        </w:rPr>
        <w:t>El mediador de seguros o la entidad aseguradora facilitará al cliente, en un soporte duradero, los oportunos informes sobre el servicio que prestan. Dichos informes incluirán comunicaciones periódicas a los clientes, atendiendo a la clase y a la complejidad de los productos de inversión basados en seguros de que se trate y a la naturaleza del servicio prestado al cliente, e indicarán, en su caso, los costes de las operaciones y los servicios realizados por cuenta del</w:t>
      </w:r>
      <w:r>
        <w:rPr>
          <w:spacing w:val="-3"/>
          <w:sz w:val="20"/>
        </w:rPr>
        <w:t> </w:t>
      </w:r>
      <w:r>
        <w:rPr>
          <w:sz w:val="20"/>
        </w:rPr>
        <w:t>cliente.</w:t>
      </w:r>
    </w:p>
    <w:p>
      <w:pPr>
        <w:pStyle w:val="ListParagraph"/>
        <w:numPr>
          <w:ilvl w:val="0"/>
          <w:numId w:val="312"/>
        </w:numPr>
        <w:tabs>
          <w:tab w:pos="1785" w:val="left" w:leader="none"/>
        </w:tabs>
        <w:spacing w:line="249" w:lineRule="auto" w:before="5" w:after="0"/>
        <w:ind w:left="1074" w:right="1274" w:firstLine="340"/>
        <w:jc w:val="both"/>
        <w:rPr>
          <w:sz w:val="20"/>
        </w:rPr>
      </w:pPr>
      <w:r>
        <w:rPr>
          <w:sz w:val="20"/>
        </w:rPr>
        <w:t>Cuando el mediador de seguros o la entidad aseguradora proporcionen asesoramiento, facilitarán al cliente, antes de la celebración del contrato, una declaración sobre la idoneidad en un soporte duradero en la que se especifique el asesoramiento proporcionado y la manera en que este se adapta a las preferencias, los objetivos y otras características del cliente, siendo de aplicación las condiciones establecidas en los apartados 1 a 4 del artículo</w:t>
      </w:r>
      <w:r>
        <w:rPr>
          <w:spacing w:val="-8"/>
          <w:sz w:val="20"/>
        </w:rPr>
        <w:t> </w:t>
      </w:r>
      <w:r>
        <w:rPr>
          <w:sz w:val="20"/>
        </w:rPr>
        <w:t>182.</w:t>
      </w:r>
    </w:p>
    <w:p>
      <w:pPr>
        <w:pStyle w:val="BodyText"/>
        <w:spacing w:line="249" w:lineRule="auto" w:before="125"/>
        <w:ind w:right="1273"/>
      </w:pPr>
      <w:r>
        <w:rPr/>
        <w:t>Cuando el contrato se celebre utilizando un medio de comunicación a distancia que impida la entrega por anticipado de la declaración de idoneidad, el mediador de seguros o la entidad aseguradora podrán proporcionar la declaración de idoneidad en un soporte duradero inmediatamente después de que el cliente esté vinculado por el contrato, siempre y cuando se cumplan los dos requisitos</w:t>
      </w:r>
      <w:r>
        <w:rPr>
          <w:spacing w:val="-3"/>
        </w:rPr>
        <w:t> </w:t>
      </w:r>
      <w:r>
        <w:rPr/>
        <w:t>siguientes:</w:t>
      </w:r>
    </w:p>
    <w:p>
      <w:pPr>
        <w:pStyle w:val="ListParagraph"/>
        <w:numPr>
          <w:ilvl w:val="0"/>
          <w:numId w:val="313"/>
        </w:numPr>
        <w:tabs>
          <w:tab w:pos="1582" w:val="left" w:leader="none"/>
        </w:tabs>
        <w:spacing w:line="249" w:lineRule="auto" w:before="124" w:after="0"/>
        <w:ind w:left="1074" w:right="1274" w:firstLine="340"/>
        <w:jc w:val="both"/>
        <w:rPr>
          <w:sz w:val="20"/>
        </w:rPr>
      </w:pPr>
      <w:r>
        <w:rPr>
          <w:sz w:val="20"/>
        </w:rPr>
        <w:t>º El cliente ha consentido en recibir la declaración de idoneidad sin demora indebida tras la conclusión del contrato,</w:t>
      </w:r>
      <w:r>
        <w:rPr>
          <w:spacing w:val="-3"/>
          <w:sz w:val="20"/>
        </w:rPr>
        <w:t> </w:t>
      </w:r>
      <w:r>
        <w:rPr>
          <w:sz w:val="20"/>
        </w:rPr>
        <w:t>y</w:t>
      </w:r>
    </w:p>
    <w:p>
      <w:pPr>
        <w:pStyle w:val="ListParagraph"/>
        <w:numPr>
          <w:ilvl w:val="0"/>
          <w:numId w:val="313"/>
        </w:numPr>
        <w:tabs>
          <w:tab w:pos="1583" w:val="left" w:leader="none"/>
        </w:tabs>
        <w:spacing w:line="249" w:lineRule="auto" w:before="2" w:after="0"/>
        <w:ind w:left="1074" w:right="1275" w:firstLine="340"/>
        <w:jc w:val="both"/>
        <w:rPr>
          <w:sz w:val="20"/>
        </w:rPr>
      </w:pPr>
      <w:r>
        <w:rPr>
          <w:sz w:val="20"/>
        </w:rPr>
        <w:t>º el mediador de seguros o la entidad aseguradora ha dado al cliente la opción de demorar</w:t>
      </w:r>
      <w:r>
        <w:rPr>
          <w:spacing w:val="-4"/>
          <w:sz w:val="20"/>
        </w:rPr>
        <w:t> </w:t>
      </w:r>
      <w:r>
        <w:rPr>
          <w:sz w:val="20"/>
        </w:rPr>
        <w:t>la</w:t>
      </w:r>
      <w:r>
        <w:rPr>
          <w:spacing w:val="-4"/>
          <w:sz w:val="20"/>
        </w:rPr>
        <w:t> </w:t>
      </w:r>
      <w:r>
        <w:rPr>
          <w:sz w:val="20"/>
        </w:rPr>
        <w:t>celebración</w:t>
      </w:r>
      <w:r>
        <w:rPr>
          <w:spacing w:val="-2"/>
          <w:sz w:val="20"/>
        </w:rPr>
        <w:t> </w:t>
      </w:r>
      <w:r>
        <w:rPr>
          <w:sz w:val="20"/>
        </w:rPr>
        <w:t>del</w:t>
      </w:r>
      <w:r>
        <w:rPr>
          <w:spacing w:val="-4"/>
          <w:sz w:val="20"/>
        </w:rPr>
        <w:t> </w:t>
      </w:r>
      <w:r>
        <w:rPr>
          <w:sz w:val="20"/>
        </w:rPr>
        <w:t>contrato</w:t>
      </w:r>
      <w:r>
        <w:rPr>
          <w:spacing w:val="-2"/>
          <w:sz w:val="20"/>
        </w:rPr>
        <w:t> </w:t>
      </w:r>
      <w:r>
        <w:rPr>
          <w:sz w:val="20"/>
        </w:rPr>
        <w:t>a</w:t>
      </w:r>
      <w:r>
        <w:rPr>
          <w:spacing w:val="-4"/>
          <w:sz w:val="20"/>
        </w:rPr>
        <w:t> </w:t>
      </w:r>
      <w:r>
        <w:rPr>
          <w:sz w:val="20"/>
        </w:rPr>
        <w:t>fin</w:t>
      </w:r>
      <w:r>
        <w:rPr>
          <w:spacing w:val="-3"/>
          <w:sz w:val="20"/>
        </w:rPr>
        <w:t> </w:t>
      </w:r>
      <w:r>
        <w:rPr>
          <w:sz w:val="20"/>
        </w:rPr>
        <w:t>de</w:t>
      </w:r>
      <w:r>
        <w:rPr>
          <w:spacing w:val="-3"/>
          <w:sz w:val="20"/>
        </w:rPr>
        <w:t> </w:t>
      </w:r>
      <w:r>
        <w:rPr>
          <w:sz w:val="20"/>
        </w:rPr>
        <w:t>recibir</w:t>
      </w:r>
      <w:r>
        <w:rPr>
          <w:spacing w:val="-3"/>
          <w:sz w:val="20"/>
        </w:rPr>
        <w:t> </w:t>
      </w:r>
      <w:r>
        <w:rPr>
          <w:sz w:val="20"/>
        </w:rPr>
        <w:t>previamente</w:t>
      </w:r>
      <w:r>
        <w:rPr>
          <w:spacing w:val="-3"/>
          <w:sz w:val="20"/>
        </w:rPr>
        <w:t> </w:t>
      </w:r>
      <w:r>
        <w:rPr>
          <w:sz w:val="20"/>
        </w:rPr>
        <w:t>la</w:t>
      </w:r>
      <w:r>
        <w:rPr>
          <w:spacing w:val="-4"/>
          <w:sz w:val="20"/>
        </w:rPr>
        <w:t> </w:t>
      </w:r>
      <w:r>
        <w:rPr>
          <w:sz w:val="20"/>
        </w:rPr>
        <w:t>declaración</w:t>
      </w:r>
      <w:r>
        <w:rPr>
          <w:spacing w:val="-3"/>
          <w:sz w:val="20"/>
        </w:rPr>
        <w:t> </w:t>
      </w:r>
      <w:r>
        <w:rPr>
          <w:sz w:val="20"/>
        </w:rPr>
        <w:t>de</w:t>
      </w:r>
      <w:r>
        <w:rPr>
          <w:spacing w:val="-4"/>
          <w:sz w:val="20"/>
        </w:rPr>
        <w:t> </w:t>
      </w:r>
      <w:r>
        <w:rPr>
          <w:sz w:val="20"/>
        </w:rPr>
        <w:t>idoneidad.</w:t>
      </w:r>
    </w:p>
    <w:p>
      <w:pPr>
        <w:pStyle w:val="BodyText"/>
        <w:spacing w:line="249" w:lineRule="auto" w:before="122"/>
        <w:ind w:right="1273"/>
      </w:pPr>
      <w:r>
        <w:rPr/>
        <w:t>Cuando el mediador de seguros o la entidad aseguradora hayan informado al cliente de que efectuarán una evaluación periódica de idoneidad, el informe periódico deberá contener un estado actualizado de cómo el producto de inversión basado en seguros se ajusta a las preferencias, objetivos y otras características del cliente.</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9"/>
        <w:ind w:left="0" w:firstLine="0"/>
        <w:jc w:val="left"/>
        <w:rPr>
          <w:sz w:val="17"/>
        </w:rPr>
      </w:pPr>
    </w:p>
    <w:p>
      <w:pPr>
        <w:pStyle w:val="BodyText"/>
        <w:spacing w:before="94"/>
        <w:ind w:left="1414" w:right="1611" w:firstLine="0"/>
        <w:jc w:val="center"/>
      </w:pPr>
      <w:bookmarkStart w:name="Subsección 4.ª Prácticas de ventas combi" w:id="301"/>
      <w:bookmarkEnd w:id="301"/>
      <w:r>
        <w:rPr/>
      </w:r>
      <w:bookmarkStart w:name="_bookmark58" w:id="302"/>
      <w:bookmarkEnd w:id="302"/>
      <w:r>
        <w:rPr/>
      </w:r>
      <w:r>
        <w:rPr/>
        <w:t>Subsección 4.ª Prácticas de ventas combinadas y vinculadas</w:t>
      </w:r>
    </w:p>
    <w:p>
      <w:pPr>
        <w:pStyle w:val="BodyText"/>
        <w:spacing w:before="5"/>
        <w:ind w:left="0" w:firstLine="0"/>
        <w:jc w:val="left"/>
        <w:rPr>
          <w:sz w:val="30"/>
        </w:rPr>
      </w:pPr>
    </w:p>
    <w:p>
      <w:pPr>
        <w:spacing w:before="0"/>
        <w:ind w:left="1074" w:right="0" w:firstLine="0"/>
        <w:jc w:val="both"/>
        <w:rPr>
          <w:i/>
          <w:sz w:val="20"/>
        </w:rPr>
      </w:pPr>
      <w:bookmarkStart w:name="Artículo 184. Prácticas de ventas combin" w:id="303"/>
      <w:bookmarkEnd w:id="303"/>
      <w:r>
        <w:rPr/>
      </w:r>
      <w:r>
        <w:rPr>
          <w:b/>
          <w:sz w:val="20"/>
        </w:rPr>
        <w:t>Artículo 184. </w:t>
      </w:r>
      <w:r>
        <w:rPr>
          <w:i/>
          <w:sz w:val="20"/>
        </w:rPr>
        <w:t>Prácticas de ventas combinadas y vinculadas.</w:t>
      </w:r>
    </w:p>
    <w:p>
      <w:pPr>
        <w:pStyle w:val="ListParagraph"/>
        <w:numPr>
          <w:ilvl w:val="0"/>
          <w:numId w:val="314"/>
        </w:numPr>
        <w:tabs>
          <w:tab w:pos="1641" w:val="left" w:leader="none"/>
        </w:tabs>
        <w:spacing w:line="249" w:lineRule="auto" w:before="118" w:after="0"/>
        <w:ind w:left="1074" w:right="1273" w:firstLine="340"/>
        <w:jc w:val="both"/>
        <w:rPr>
          <w:sz w:val="20"/>
        </w:rPr>
      </w:pPr>
      <w:r>
        <w:rPr>
          <w:sz w:val="20"/>
        </w:rPr>
        <w:t>Cuando un contrato de seguro sea el producto principal que se ofrezca conjuntamente con servicios o productos auxiliares distintos de los seguros como parte del mismo paquete o acuerdo, el distribuidor de seguros informará al cliente de si los distintos componentes pueden adquirirse separadamente, y, en tal caso, ofrecerá una descripción adecuada de los diferentes componentes del acuerdo y facilitará por separado justificantes de los costes y gastos de cada</w:t>
      </w:r>
      <w:r>
        <w:rPr>
          <w:spacing w:val="-3"/>
          <w:sz w:val="20"/>
        </w:rPr>
        <w:t> </w:t>
      </w:r>
      <w:r>
        <w:rPr>
          <w:sz w:val="20"/>
        </w:rPr>
        <w:t>componente.</w:t>
      </w:r>
    </w:p>
    <w:p>
      <w:pPr>
        <w:pStyle w:val="BodyText"/>
        <w:spacing w:line="249" w:lineRule="auto" w:before="5"/>
        <w:ind w:right="1272"/>
      </w:pPr>
      <w:r>
        <w:rPr/>
        <w:t>En estas circunstancias, y si el riesgo o la cobertura de seguro resultantes de dicho paquete o acuerdo ofrecido al cliente son diferentes de los asociados a los componentes considerados por separado, el distribuidor de seguros facilitará una descripción adecuada de los diferentes componentes del acuerdo y del modo en que la interacción entre ellos modifica el riesgo o la cobertura de seguro.</w:t>
      </w:r>
    </w:p>
    <w:p>
      <w:pPr>
        <w:pStyle w:val="ListParagraph"/>
        <w:numPr>
          <w:ilvl w:val="0"/>
          <w:numId w:val="314"/>
        </w:numPr>
        <w:tabs>
          <w:tab w:pos="1638" w:val="left" w:leader="none"/>
        </w:tabs>
        <w:spacing w:line="249" w:lineRule="auto" w:before="4" w:after="0"/>
        <w:ind w:left="1074" w:right="1274" w:firstLine="340"/>
        <w:jc w:val="both"/>
        <w:rPr>
          <w:sz w:val="20"/>
        </w:rPr>
      </w:pPr>
      <w:r>
        <w:rPr>
          <w:sz w:val="20"/>
        </w:rPr>
        <w:t>Cuando un contrato de seguro sea auxiliar a un bien o servicio que no sea de seguros, como parte de un mismo paquete o acuerdo, el distribuidor de seguros ofrecerá al cliente la posibilidad</w:t>
      </w:r>
      <w:r>
        <w:rPr>
          <w:spacing w:val="-4"/>
          <w:sz w:val="20"/>
        </w:rPr>
        <w:t> </w:t>
      </w:r>
      <w:r>
        <w:rPr>
          <w:sz w:val="20"/>
        </w:rPr>
        <w:t>de</w:t>
      </w:r>
      <w:r>
        <w:rPr>
          <w:spacing w:val="-3"/>
          <w:sz w:val="20"/>
        </w:rPr>
        <w:t> </w:t>
      </w:r>
      <w:r>
        <w:rPr>
          <w:sz w:val="20"/>
        </w:rPr>
        <w:t>adquirir</w:t>
      </w:r>
      <w:r>
        <w:rPr>
          <w:spacing w:val="-4"/>
          <w:sz w:val="20"/>
        </w:rPr>
        <w:t> </w:t>
      </w:r>
      <w:r>
        <w:rPr>
          <w:sz w:val="20"/>
        </w:rPr>
        <w:t>el</w:t>
      </w:r>
      <w:r>
        <w:rPr>
          <w:spacing w:val="-3"/>
          <w:sz w:val="20"/>
        </w:rPr>
        <w:t> </w:t>
      </w:r>
      <w:r>
        <w:rPr>
          <w:sz w:val="20"/>
        </w:rPr>
        <w:t>bien</w:t>
      </w:r>
      <w:r>
        <w:rPr>
          <w:spacing w:val="-4"/>
          <w:sz w:val="20"/>
        </w:rPr>
        <w:t> </w:t>
      </w:r>
      <w:r>
        <w:rPr>
          <w:sz w:val="20"/>
        </w:rPr>
        <w:t>o</w:t>
      </w:r>
      <w:r>
        <w:rPr>
          <w:spacing w:val="-3"/>
          <w:sz w:val="20"/>
        </w:rPr>
        <w:t> </w:t>
      </w:r>
      <w:r>
        <w:rPr>
          <w:sz w:val="20"/>
        </w:rPr>
        <w:t>servicio</w:t>
      </w:r>
      <w:r>
        <w:rPr>
          <w:spacing w:val="-3"/>
          <w:sz w:val="20"/>
        </w:rPr>
        <w:t> </w:t>
      </w:r>
      <w:r>
        <w:rPr>
          <w:sz w:val="20"/>
        </w:rPr>
        <w:t>por</w:t>
      </w:r>
      <w:r>
        <w:rPr>
          <w:spacing w:val="-3"/>
          <w:sz w:val="20"/>
        </w:rPr>
        <w:t> </w:t>
      </w:r>
      <w:r>
        <w:rPr>
          <w:sz w:val="20"/>
        </w:rPr>
        <w:t>separado.</w:t>
      </w:r>
      <w:r>
        <w:rPr>
          <w:spacing w:val="-3"/>
          <w:sz w:val="20"/>
        </w:rPr>
        <w:t> </w:t>
      </w:r>
      <w:r>
        <w:rPr>
          <w:sz w:val="20"/>
        </w:rPr>
        <w:t>El</w:t>
      </w:r>
      <w:r>
        <w:rPr>
          <w:spacing w:val="-2"/>
          <w:sz w:val="20"/>
        </w:rPr>
        <w:t> </w:t>
      </w:r>
      <w:r>
        <w:rPr>
          <w:sz w:val="20"/>
        </w:rPr>
        <w:t>presente</w:t>
      </w:r>
      <w:r>
        <w:rPr>
          <w:spacing w:val="-4"/>
          <w:sz w:val="20"/>
        </w:rPr>
        <w:t> </w:t>
      </w:r>
      <w:r>
        <w:rPr>
          <w:sz w:val="20"/>
        </w:rPr>
        <w:t>apartado</w:t>
      </w:r>
      <w:r>
        <w:rPr>
          <w:spacing w:val="-3"/>
          <w:sz w:val="20"/>
        </w:rPr>
        <w:t> </w:t>
      </w:r>
      <w:r>
        <w:rPr>
          <w:sz w:val="20"/>
        </w:rPr>
        <w:t>no</w:t>
      </w:r>
      <w:r>
        <w:rPr>
          <w:spacing w:val="-4"/>
          <w:sz w:val="20"/>
        </w:rPr>
        <w:t> </w:t>
      </w:r>
      <w:r>
        <w:rPr>
          <w:sz w:val="20"/>
        </w:rPr>
        <w:t>se</w:t>
      </w:r>
      <w:r>
        <w:rPr>
          <w:spacing w:val="-2"/>
          <w:sz w:val="20"/>
        </w:rPr>
        <w:t> </w:t>
      </w:r>
      <w:r>
        <w:rPr>
          <w:sz w:val="20"/>
        </w:rPr>
        <w:t>aplicará:</w:t>
      </w:r>
    </w:p>
    <w:p>
      <w:pPr>
        <w:pStyle w:val="ListParagraph"/>
        <w:numPr>
          <w:ilvl w:val="0"/>
          <w:numId w:val="315"/>
        </w:numPr>
        <w:tabs>
          <w:tab w:pos="1692" w:val="left" w:leader="none"/>
        </w:tabs>
        <w:spacing w:line="249" w:lineRule="auto" w:before="122" w:after="0"/>
        <w:ind w:left="1074" w:right="1273" w:firstLine="340"/>
        <w:jc w:val="both"/>
        <w:rPr>
          <w:sz w:val="20"/>
        </w:rPr>
      </w:pPr>
      <w:r>
        <w:rPr>
          <w:sz w:val="20"/>
        </w:rPr>
        <w:t>Cuando el producto de seguro sea complementario de un servicio o actividad de inversión en el sentido del Real Decreto Legislativo 4/2015, de 23 de</w:t>
      </w:r>
      <w:r>
        <w:rPr>
          <w:spacing w:val="-26"/>
          <w:sz w:val="20"/>
        </w:rPr>
        <w:t> </w:t>
      </w:r>
      <w:r>
        <w:rPr>
          <w:sz w:val="20"/>
        </w:rPr>
        <w:t>octubre,</w:t>
      </w:r>
    </w:p>
    <w:p>
      <w:pPr>
        <w:pStyle w:val="ListParagraph"/>
        <w:numPr>
          <w:ilvl w:val="0"/>
          <w:numId w:val="315"/>
        </w:numPr>
        <w:tabs>
          <w:tab w:pos="1663" w:val="left" w:leader="none"/>
        </w:tabs>
        <w:spacing w:line="249" w:lineRule="auto" w:before="2" w:after="0"/>
        <w:ind w:left="1074" w:right="1273" w:firstLine="340"/>
        <w:jc w:val="both"/>
        <w:rPr>
          <w:sz w:val="20"/>
        </w:rPr>
      </w:pPr>
      <w:r>
        <w:rPr>
          <w:sz w:val="20"/>
        </w:rPr>
        <w:t>cuando el producto de seguro sea complementario de un contrato de préstamo en el sentido del artículo 4.3) de la Ley 5/2019, de 15 de marzo, reguladora de los contratos de crédito inmobiliario,</w:t>
      </w:r>
      <w:r>
        <w:rPr>
          <w:spacing w:val="-2"/>
          <w:sz w:val="20"/>
        </w:rPr>
        <w:t> </w:t>
      </w:r>
      <w:r>
        <w:rPr>
          <w:sz w:val="20"/>
        </w:rPr>
        <w:t>o</w:t>
      </w:r>
    </w:p>
    <w:p>
      <w:pPr>
        <w:pStyle w:val="ListParagraph"/>
        <w:numPr>
          <w:ilvl w:val="0"/>
          <w:numId w:val="315"/>
        </w:numPr>
        <w:tabs>
          <w:tab w:pos="1685" w:val="left" w:leader="none"/>
        </w:tabs>
        <w:spacing w:line="249" w:lineRule="auto" w:before="2" w:after="0"/>
        <w:ind w:left="1074" w:right="1271" w:firstLine="340"/>
        <w:jc w:val="both"/>
        <w:rPr>
          <w:sz w:val="20"/>
        </w:rPr>
      </w:pPr>
      <w:r>
        <w:rPr>
          <w:sz w:val="20"/>
        </w:rPr>
        <w:t>cuando el contrato de seguro sea complementario de una cuenta de pago en el sentido del Real Decreto-Ley 19/2017, de 24 de noviembre, de cuentas de pago básicas, traslado de cuentas de pago y comparabilidad de</w:t>
      </w:r>
      <w:r>
        <w:rPr>
          <w:spacing w:val="-5"/>
          <w:sz w:val="20"/>
        </w:rPr>
        <w:t> </w:t>
      </w:r>
      <w:r>
        <w:rPr>
          <w:sz w:val="20"/>
        </w:rPr>
        <w:t>comisiones.</w:t>
      </w:r>
    </w:p>
    <w:p>
      <w:pPr>
        <w:pStyle w:val="ListParagraph"/>
        <w:numPr>
          <w:ilvl w:val="0"/>
          <w:numId w:val="314"/>
        </w:numPr>
        <w:tabs>
          <w:tab w:pos="1646" w:val="left" w:leader="none"/>
        </w:tabs>
        <w:spacing w:line="249" w:lineRule="auto" w:before="123" w:after="0"/>
        <w:ind w:left="1074" w:right="1275" w:firstLine="340"/>
        <w:jc w:val="both"/>
        <w:rPr>
          <w:sz w:val="20"/>
        </w:rPr>
      </w:pPr>
      <w:r>
        <w:rPr>
          <w:sz w:val="20"/>
        </w:rPr>
        <w:t>El presente artículo no se aplicará a la distribución del contrato de seguro que incluya la cobertura de distintos tipos de riesgo (pólizas de seguros</w:t>
      </w:r>
      <w:r>
        <w:rPr>
          <w:spacing w:val="-8"/>
          <w:sz w:val="20"/>
        </w:rPr>
        <w:t> </w:t>
      </w:r>
      <w:r>
        <w:rPr>
          <w:sz w:val="20"/>
        </w:rPr>
        <w:t>multirriesgo).</w:t>
      </w:r>
    </w:p>
    <w:p>
      <w:pPr>
        <w:pStyle w:val="ListParagraph"/>
        <w:numPr>
          <w:ilvl w:val="0"/>
          <w:numId w:val="314"/>
        </w:numPr>
        <w:tabs>
          <w:tab w:pos="1646" w:val="left" w:leader="none"/>
        </w:tabs>
        <w:spacing w:line="249" w:lineRule="auto" w:before="1" w:after="0"/>
        <w:ind w:left="1074" w:right="1274" w:firstLine="340"/>
        <w:jc w:val="both"/>
        <w:rPr>
          <w:sz w:val="20"/>
        </w:rPr>
      </w:pPr>
      <w:r>
        <w:rPr>
          <w:sz w:val="20"/>
        </w:rPr>
        <w:t>Antes de la contratación de los productos a los que se refieren los apartados 1 y 2, el distribuidor informará al usuario de manera expresa y</w:t>
      </w:r>
      <w:r>
        <w:rPr>
          <w:spacing w:val="-12"/>
          <w:sz w:val="20"/>
        </w:rPr>
        <w:t> </w:t>
      </w:r>
      <w:r>
        <w:rPr>
          <w:sz w:val="20"/>
        </w:rPr>
        <w:t>comprensible:</w:t>
      </w:r>
    </w:p>
    <w:p>
      <w:pPr>
        <w:pStyle w:val="ListParagraph"/>
        <w:numPr>
          <w:ilvl w:val="0"/>
          <w:numId w:val="316"/>
        </w:numPr>
        <w:tabs>
          <w:tab w:pos="1648" w:val="left" w:leader="none"/>
        </w:tabs>
        <w:spacing w:line="240" w:lineRule="auto" w:before="122" w:after="0"/>
        <w:ind w:left="1647" w:right="0" w:hanging="234"/>
        <w:jc w:val="both"/>
        <w:rPr>
          <w:sz w:val="20"/>
        </w:rPr>
      </w:pPr>
      <w:r>
        <w:rPr>
          <w:sz w:val="20"/>
        </w:rPr>
        <w:t>Que se está realizando una práctica de venta combinada o</w:t>
      </w:r>
      <w:r>
        <w:rPr>
          <w:spacing w:val="-8"/>
          <w:sz w:val="20"/>
        </w:rPr>
        <w:t> </w:t>
      </w:r>
      <w:r>
        <w:rPr>
          <w:sz w:val="20"/>
        </w:rPr>
        <w:t>vinculada.</w:t>
      </w:r>
    </w:p>
    <w:p>
      <w:pPr>
        <w:pStyle w:val="ListParagraph"/>
        <w:numPr>
          <w:ilvl w:val="0"/>
          <w:numId w:val="316"/>
        </w:numPr>
        <w:tabs>
          <w:tab w:pos="1664" w:val="left" w:leader="none"/>
        </w:tabs>
        <w:spacing w:line="249" w:lineRule="auto" w:before="10" w:after="0"/>
        <w:ind w:left="1074" w:right="1272" w:firstLine="340"/>
        <w:jc w:val="both"/>
        <w:rPr>
          <w:sz w:val="20"/>
        </w:rPr>
      </w:pPr>
      <w:r>
        <w:rPr>
          <w:sz w:val="20"/>
        </w:rPr>
        <w:t>De la parte del coste total que corresponde a cada uno de los productos o servicios, en la medida en que este coste esté disponible para el usuario de</w:t>
      </w:r>
      <w:r>
        <w:rPr>
          <w:spacing w:val="-21"/>
          <w:sz w:val="20"/>
        </w:rPr>
        <w:t> </w:t>
      </w:r>
      <w:r>
        <w:rPr>
          <w:sz w:val="20"/>
        </w:rPr>
        <w:t>seguros.</w:t>
      </w:r>
    </w:p>
    <w:p>
      <w:pPr>
        <w:pStyle w:val="ListParagraph"/>
        <w:numPr>
          <w:ilvl w:val="0"/>
          <w:numId w:val="316"/>
        </w:numPr>
        <w:tabs>
          <w:tab w:pos="1643" w:val="left" w:leader="none"/>
        </w:tabs>
        <w:spacing w:line="249" w:lineRule="auto" w:before="2" w:after="0"/>
        <w:ind w:left="1074" w:right="1274" w:firstLine="340"/>
        <w:jc w:val="both"/>
        <w:rPr>
          <w:sz w:val="20"/>
        </w:rPr>
      </w:pPr>
      <w:r>
        <w:rPr>
          <w:sz w:val="20"/>
        </w:rPr>
        <w:t>De los efectos que la no contratación individual o la cancelación anticipada del seguro o de cualquiera de los productos vinculados produciría sobre el coste conjunto del seguro y el resto de los productos o servicios</w:t>
      </w:r>
      <w:r>
        <w:rPr>
          <w:spacing w:val="-7"/>
          <w:sz w:val="20"/>
        </w:rPr>
        <w:t> </w:t>
      </w:r>
      <w:r>
        <w:rPr>
          <w:sz w:val="20"/>
        </w:rPr>
        <w:t>vinculados.</w:t>
      </w:r>
    </w:p>
    <w:p>
      <w:pPr>
        <w:pStyle w:val="ListParagraph"/>
        <w:numPr>
          <w:ilvl w:val="0"/>
          <w:numId w:val="316"/>
        </w:numPr>
        <w:tabs>
          <w:tab w:pos="1648" w:val="left" w:leader="none"/>
        </w:tabs>
        <w:spacing w:line="240" w:lineRule="auto" w:before="2" w:after="0"/>
        <w:ind w:left="1647" w:right="0" w:hanging="234"/>
        <w:jc w:val="both"/>
        <w:rPr>
          <w:sz w:val="20"/>
        </w:rPr>
      </w:pPr>
      <w:r>
        <w:rPr>
          <w:sz w:val="20"/>
        </w:rPr>
        <w:t>De las diferencias entre la oferta conjunta y la oferta de los productos por</w:t>
      </w:r>
      <w:r>
        <w:rPr>
          <w:spacing w:val="-26"/>
          <w:sz w:val="20"/>
        </w:rPr>
        <w:t> </w:t>
      </w:r>
      <w:r>
        <w:rPr>
          <w:sz w:val="20"/>
        </w:rPr>
        <w:t>separado.</w:t>
      </w:r>
    </w:p>
    <w:p>
      <w:pPr>
        <w:pStyle w:val="ListParagraph"/>
        <w:numPr>
          <w:ilvl w:val="0"/>
          <w:numId w:val="314"/>
        </w:numPr>
        <w:tabs>
          <w:tab w:pos="1685" w:val="left" w:leader="none"/>
        </w:tabs>
        <w:spacing w:line="249" w:lineRule="auto" w:before="130" w:after="0"/>
        <w:ind w:left="1074" w:right="1274" w:firstLine="340"/>
        <w:jc w:val="both"/>
        <w:rPr>
          <w:sz w:val="20"/>
        </w:rPr>
      </w:pPr>
      <w:r>
        <w:rPr>
          <w:sz w:val="20"/>
        </w:rPr>
        <w:t>En los supuestos referidos en los apartados 1 y 2, los distribuidores de seguros deberán determinar en todo caso las exigencias y las necesidades del cliente respecto de los contratos de seguro que forman parte del conjunto del mismo paquete o</w:t>
      </w:r>
      <w:r>
        <w:rPr>
          <w:spacing w:val="-17"/>
          <w:sz w:val="20"/>
        </w:rPr>
        <w:t> </w:t>
      </w:r>
      <w:r>
        <w:rPr>
          <w:sz w:val="20"/>
        </w:rPr>
        <w:t>acuerdo.</w:t>
      </w:r>
    </w:p>
    <w:p>
      <w:pPr>
        <w:pStyle w:val="ListParagraph"/>
        <w:numPr>
          <w:ilvl w:val="0"/>
          <w:numId w:val="314"/>
        </w:numPr>
        <w:tabs>
          <w:tab w:pos="1643" w:val="left" w:leader="none"/>
        </w:tabs>
        <w:spacing w:line="249" w:lineRule="auto" w:before="3" w:after="0"/>
        <w:ind w:left="1074" w:right="1273" w:firstLine="340"/>
        <w:jc w:val="both"/>
        <w:rPr>
          <w:sz w:val="20"/>
        </w:rPr>
      </w:pPr>
      <w:r>
        <w:rPr>
          <w:sz w:val="20"/>
        </w:rPr>
        <w:t>Cuando la Dirección General de Seguros y Fondos de Pensiones tenga constancia de la realización de prácticas que perjudiquen a los usuarios de seguros privados podrá, mediante resolución, establecer medidas, incluida la prohibición, en relación con la venta de productos de seguro junto con servicios o productos auxiliares distintos de los seguros como parte de un paquete o</w:t>
      </w:r>
      <w:r>
        <w:rPr>
          <w:spacing w:val="-6"/>
          <w:sz w:val="20"/>
        </w:rPr>
        <w:t> </w:t>
      </w:r>
      <w:r>
        <w:rPr>
          <w:sz w:val="20"/>
        </w:rPr>
        <w:t>acuerdo.</w:t>
      </w:r>
    </w:p>
    <w:p>
      <w:pPr>
        <w:pStyle w:val="BodyText"/>
        <w:spacing w:before="5"/>
        <w:ind w:left="0" w:firstLine="0"/>
        <w:jc w:val="left"/>
        <w:rPr>
          <w:sz w:val="25"/>
        </w:rPr>
      </w:pPr>
    </w:p>
    <w:p>
      <w:pPr>
        <w:pStyle w:val="BodyText"/>
        <w:spacing w:before="1"/>
        <w:ind w:left="1862" w:firstLine="0"/>
        <w:jc w:val="left"/>
      </w:pPr>
      <w:bookmarkStart w:name="Subsección 5.ª Control de productos y re" w:id="304"/>
      <w:bookmarkEnd w:id="304"/>
      <w:r>
        <w:rPr/>
      </w:r>
      <w:bookmarkStart w:name="_bookmark59" w:id="305"/>
      <w:bookmarkEnd w:id="305"/>
      <w:r>
        <w:rPr/>
      </w:r>
      <w:r>
        <w:rPr/>
        <w:t>Subsección 5.ª Control de productos y requisitos en materia de gobernanza</w:t>
      </w:r>
    </w:p>
    <w:p>
      <w:pPr>
        <w:pStyle w:val="BodyText"/>
        <w:spacing w:before="5"/>
        <w:ind w:left="0" w:firstLine="0"/>
        <w:jc w:val="left"/>
        <w:rPr>
          <w:sz w:val="30"/>
        </w:rPr>
      </w:pPr>
    </w:p>
    <w:p>
      <w:pPr>
        <w:spacing w:line="249" w:lineRule="auto" w:before="0"/>
        <w:ind w:left="1074" w:right="1276" w:hanging="1"/>
        <w:jc w:val="both"/>
        <w:rPr>
          <w:i/>
          <w:sz w:val="20"/>
        </w:rPr>
      </w:pPr>
      <w:bookmarkStart w:name="Artículo 185. Requisitos en el diseño, a" w:id="306"/>
      <w:bookmarkEnd w:id="306"/>
      <w:r>
        <w:rPr/>
      </w:r>
      <w:r>
        <w:rPr>
          <w:b/>
          <w:sz w:val="20"/>
        </w:rPr>
        <w:t>Artículo 185. </w:t>
      </w:r>
      <w:r>
        <w:rPr>
          <w:i/>
          <w:sz w:val="20"/>
        </w:rPr>
        <w:t>Requisitos en el diseño, aprobación y control de productos y en materia de </w:t>
      </w:r>
      <w:r>
        <w:rPr>
          <w:i/>
          <w:sz w:val="20"/>
        </w:rPr>
        <w:t>gobernanza.</w:t>
      </w:r>
    </w:p>
    <w:p>
      <w:pPr>
        <w:pStyle w:val="ListParagraph"/>
        <w:numPr>
          <w:ilvl w:val="0"/>
          <w:numId w:val="317"/>
        </w:numPr>
        <w:tabs>
          <w:tab w:pos="1698" w:val="left" w:leader="none"/>
        </w:tabs>
        <w:spacing w:line="249" w:lineRule="auto" w:before="109" w:after="0"/>
        <w:ind w:left="1074" w:right="1273" w:firstLine="340"/>
        <w:jc w:val="both"/>
        <w:rPr>
          <w:sz w:val="20"/>
        </w:rPr>
      </w:pPr>
      <w:r>
        <w:rPr>
          <w:sz w:val="20"/>
        </w:rPr>
        <w:t>Las entidades aseguradoras, así como los mediadores de seguros que diseñen productos de seguro para su venta a clientes, mantendrán, gestionarán y revisarán un proceso</w:t>
      </w:r>
      <w:r>
        <w:rPr>
          <w:spacing w:val="32"/>
          <w:sz w:val="20"/>
        </w:rPr>
        <w:t> </w:t>
      </w:r>
      <w:r>
        <w:rPr>
          <w:sz w:val="20"/>
        </w:rPr>
        <w:t>para</w:t>
      </w:r>
      <w:r>
        <w:rPr>
          <w:spacing w:val="32"/>
          <w:sz w:val="20"/>
        </w:rPr>
        <w:t> </w:t>
      </w:r>
      <w:r>
        <w:rPr>
          <w:sz w:val="20"/>
        </w:rPr>
        <w:t>la</w:t>
      </w:r>
      <w:r>
        <w:rPr>
          <w:spacing w:val="32"/>
          <w:sz w:val="20"/>
        </w:rPr>
        <w:t> </w:t>
      </w:r>
      <w:r>
        <w:rPr>
          <w:sz w:val="20"/>
        </w:rPr>
        <w:t>aprobación</w:t>
      </w:r>
      <w:r>
        <w:rPr>
          <w:spacing w:val="33"/>
          <w:sz w:val="20"/>
        </w:rPr>
        <w:t> </w:t>
      </w:r>
      <w:r>
        <w:rPr>
          <w:sz w:val="20"/>
        </w:rPr>
        <w:t>de</w:t>
      </w:r>
      <w:r>
        <w:rPr>
          <w:spacing w:val="32"/>
          <w:sz w:val="20"/>
        </w:rPr>
        <w:t> </w:t>
      </w:r>
      <w:r>
        <w:rPr>
          <w:sz w:val="20"/>
        </w:rPr>
        <w:t>cada</w:t>
      </w:r>
      <w:r>
        <w:rPr>
          <w:spacing w:val="32"/>
          <w:sz w:val="20"/>
        </w:rPr>
        <w:t> </w:t>
      </w:r>
      <w:r>
        <w:rPr>
          <w:sz w:val="20"/>
        </w:rPr>
        <w:t>uno</w:t>
      </w:r>
      <w:r>
        <w:rPr>
          <w:spacing w:val="33"/>
          <w:sz w:val="20"/>
        </w:rPr>
        <w:t> </w:t>
      </w:r>
      <w:r>
        <w:rPr>
          <w:sz w:val="20"/>
        </w:rPr>
        <w:t>de</w:t>
      </w:r>
      <w:r>
        <w:rPr>
          <w:spacing w:val="32"/>
          <w:sz w:val="20"/>
        </w:rPr>
        <w:t> </w:t>
      </w:r>
      <w:r>
        <w:rPr>
          <w:sz w:val="20"/>
        </w:rPr>
        <w:t>los</w:t>
      </w:r>
      <w:r>
        <w:rPr>
          <w:spacing w:val="32"/>
          <w:sz w:val="20"/>
        </w:rPr>
        <w:t> </w:t>
      </w:r>
      <w:r>
        <w:rPr>
          <w:sz w:val="20"/>
        </w:rPr>
        <w:t>productos</w:t>
      </w:r>
      <w:r>
        <w:rPr>
          <w:spacing w:val="32"/>
          <w:sz w:val="20"/>
        </w:rPr>
        <w:t> </w:t>
      </w:r>
      <w:r>
        <w:rPr>
          <w:sz w:val="20"/>
        </w:rPr>
        <w:t>de</w:t>
      </w:r>
      <w:r>
        <w:rPr>
          <w:spacing w:val="33"/>
          <w:sz w:val="20"/>
        </w:rPr>
        <w:t> </w:t>
      </w:r>
      <w:r>
        <w:rPr>
          <w:sz w:val="20"/>
        </w:rPr>
        <w:t>seguro</w:t>
      </w:r>
      <w:r>
        <w:rPr>
          <w:spacing w:val="32"/>
          <w:sz w:val="20"/>
        </w:rPr>
        <w:t> </w:t>
      </w:r>
      <w:r>
        <w:rPr>
          <w:sz w:val="20"/>
        </w:rPr>
        <w:t>o</w:t>
      </w:r>
      <w:r>
        <w:rPr>
          <w:spacing w:val="32"/>
          <w:sz w:val="20"/>
        </w:rPr>
        <w:t> </w:t>
      </w:r>
      <w:r>
        <w:rPr>
          <w:sz w:val="20"/>
        </w:rPr>
        <w:t>las</w:t>
      </w:r>
      <w:r>
        <w:rPr>
          <w:spacing w:val="33"/>
          <w:sz w:val="20"/>
        </w:rPr>
        <w:t> </w:t>
      </w:r>
      <w:r>
        <w:rPr>
          <w:sz w:val="20"/>
        </w:rPr>
        <w:t>adaptaciones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4" w:firstLine="0"/>
      </w:pPr>
      <w:r>
        <w:rPr/>
        <w:t>significativas de los productos de seguro existentes antes de su comercialización o distribución a los clientes.</w:t>
      </w:r>
    </w:p>
    <w:p>
      <w:pPr>
        <w:pStyle w:val="BodyText"/>
        <w:spacing w:line="249" w:lineRule="auto" w:before="1"/>
        <w:ind w:right="1275"/>
      </w:pPr>
      <w:r>
        <w:rPr/>
        <w:t>El proceso de aprobación del producto será proporcionado y adecuado a la naturaleza del producto de</w:t>
      </w:r>
      <w:r>
        <w:rPr>
          <w:spacing w:val="-4"/>
        </w:rPr>
        <w:t> </w:t>
      </w:r>
      <w:r>
        <w:rPr/>
        <w:t>seguro.</w:t>
      </w:r>
    </w:p>
    <w:p>
      <w:pPr>
        <w:pStyle w:val="BodyText"/>
        <w:spacing w:line="249" w:lineRule="auto"/>
        <w:ind w:right="1274"/>
      </w:pPr>
      <w:r>
        <w:rPr/>
        <w:t>Este proceso especificará un mercado destinatario definido para cada producto, garantizará la evaluación de todos los riesgos pertinentes para el mercado en cuestión y la coherencia con el mismo de la estrategia de distribución prevista, y adoptará medidas razonables para garantizar que el producto de seguro se distribuye en el mercado destinatario definido.</w:t>
      </w:r>
    </w:p>
    <w:p>
      <w:pPr>
        <w:pStyle w:val="BodyText"/>
        <w:spacing w:line="249" w:lineRule="auto" w:before="4"/>
        <w:ind w:right="1272"/>
      </w:pPr>
      <w:r>
        <w:rPr/>
        <w:t>La entidad aseguradora entenderá los productos de seguro que ofrezca o comercialice y efectuará revisiones periódicas de ellos, teniendo en cuenta cualquier hecho que pudiera afectar sustancialmente al riesgo potencial para el mercado destinatario definido, para evaluar, al menos, si el producto sigue respondiendo a las necesidades de ese mercado y si la estrategia de distribución prevista sigue siendo la adecuada.</w:t>
      </w:r>
    </w:p>
    <w:p>
      <w:pPr>
        <w:pStyle w:val="BodyText"/>
        <w:spacing w:line="249" w:lineRule="auto" w:before="4"/>
        <w:ind w:right="1274"/>
      </w:pPr>
      <w:r>
        <w:rPr/>
        <w:t>Las entidades aseguradoras, así como los mediadores de seguros que diseñen productos de seguro, pondrán a disposición de los distribuidores toda la información relevante sobre estos y sobre su proceso de aprobación, incluyendo el mercado destinatario definido del</w:t>
      </w:r>
      <w:r>
        <w:rPr>
          <w:spacing w:val="-3"/>
        </w:rPr>
        <w:t> </w:t>
      </w:r>
      <w:r>
        <w:rPr/>
        <w:t>mismo.</w:t>
      </w:r>
    </w:p>
    <w:p>
      <w:pPr>
        <w:pStyle w:val="BodyText"/>
        <w:spacing w:line="249" w:lineRule="auto" w:before="3"/>
        <w:ind w:right="1273"/>
      </w:pPr>
      <w:r>
        <w:rPr/>
        <w:t>Cuando un distribuidor de seguros ofrezca productos de seguro no diseñados por él, o asesore sobre estos, contará con los mecanismos adecuados para obtener la información a que alude el párrafo anterior así como para comprender las características y el mercado destinatario definido de cada producto de seguro.</w:t>
      </w:r>
    </w:p>
    <w:p>
      <w:pPr>
        <w:pStyle w:val="ListParagraph"/>
        <w:numPr>
          <w:ilvl w:val="0"/>
          <w:numId w:val="317"/>
        </w:numPr>
        <w:tabs>
          <w:tab w:pos="1645" w:val="left" w:leader="none"/>
        </w:tabs>
        <w:spacing w:line="249" w:lineRule="auto" w:before="4" w:after="0"/>
        <w:ind w:left="1074" w:right="1272" w:firstLine="340"/>
        <w:jc w:val="both"/>
        <w:rPr>
          <w:sz w:val="20"/>
        </w:rPr>
      </w:pPr>
      <w:r>
        <w:rPr>
          <w:sz w:val="20"/>
        </w:rPr>
        <w:t>Las políticas, procesos y mecanismos a que se refiere este artículo se entenderán sin perjuicio de todos los demás requisitos previstos por el título I, incluidos los relativos a publicación, valoración de idoneidad o conveniencia, identificación y gestión de conflictos de interés, e</w:t>
      </w:r>
      <w:r>
        <w:rPr>
          <w:spacing w:val="-3"/>
          <w:sz w:val="20"/>
        </w:rPr>
        <w:t> </w:t>
      </w:r>
      <w:r>
        <w:rPr>
          <w:sz w:val="20"/>
        </w:rPr>
        <w:t>incentivos.</w:t>
      </w:r>
    </w:p>
    <w:p>
      <w:pPr>
        <w:pStyle w:val="ListParagraph"/>
        <w:numPr>
          <w:ilvl w:val="0"/>
          <w:numId w:val="317"/>
        </w:numPr>
        <w:tabs>
          <w:tab w:pos="1655" w:val="left" w:leader="none"/>
        </w:tabs>
        <w:spacing w:line="249" w:lineRule="auto" w:before="3" w:after="0"/>
        <w:ind w:left="1074" w:right="1274" w:firstLine="340"/>
        <w:jc w:val="both"/>
        <w:rPr>
          <w:sz w:val="20"/>
        </w:rPr>
      </w:pPr>
      <w:r>
        <w:rPr>
          <w:sz w:val="20"/>
        </w:rPr>
        <w:t>Lo dispuesto en este artículo no será aplicable a productos de seguro que consistan en seguros de grandes</w:t>
      </w:r>
      <w:r>
        <w:rPr>
          <w:spacing w:val="-4"/>
          <w:sz w:val="20"/>
        </w:rPr>
        <w:t> </w:t>
      </w:r>
      <w:r>
        <w:rPr>
          <w:sz w:val="20"/>
        </w:rPr>
        <w:t>riesgos.</w:t>
      </w:r>
    </w:p>
    <w:p>
      <w:pPr>
        <w:pStyle w:val="BodyText"/>
        <w:spacing w:before="4"/>
        <w:ind w:left="0" w:firstLine="0"/>
        <w:jc w:val="left"/>
      </w:pPr>
    </w:p>
    <w:p>
      <w:pPr>
        <w:pStyle w:val="Heading2"/>
        <w:ind w:right="1612"/>
        <w:rPr>
          <w:i/>
        </w:rPr>
      </w:pPr>
      <w:bookmarkStart w:name="Sección 7.ª Competencias de ordenación y" w:id="307"/>
      <w:bookmarkEnd w:id="307"/>
      <w:r>
        <w:rPr>
          <w:b w:val="0"/>
          <w:i w:val="0"/>
        </w:rPr>
      </w:r>
      <w:bookmarkStart w:name="_bookmark60" w:id="308"/>
      <w:bookmarkEnd w:id="308"/>
      <w:r>
        <w:rPr>
          <w:b w:val="0"/>
          <w:i w:val="0"/>
        </w:rPr>
      </w:r>
      <w:r>
        <w:rPr>
          <w:i/>
        </w:rPr>
        <w:t>Sección 7.ª Competencias de ordenación y supervisión</w:t>
      </w:r>
    </w:p>
    <w:p>
      <w:pPr>
        <w:pStyle w:val="BodyText"/>
        <w:spacing w:before="0"/>
        <w:ind w:left="0" w:firstLine="0"/>
        <w:jc w:val="left"/>
        <w:rPr>
          <w:b/>
          <w:i/>
          <w:sz w:val="22"/>
        </w:rPr>
      </w:pPr>
    </w:p>
    <w:p>
      <w:pPr>
        <w:pStyle w:val="BodyText"/>
        <w:spacing w:before="154"/>
        <w:ind w:left="1414" w:right="1612" w:firstLine="0"/>
        <w:jc w:val="center"/>
      </w:pPr>
      <w:bookmarkStart w:name="Subsección 1.ª Competencias de la Admini" w:id="309"/>
      <w:bookmarkEnd w:id="309"/>
      <w:r>
        <w:rPr/>
      </w:r>
      <w:bookmarkStart w:name="_bookmark61" w:id="310"/>
      <w:bookmarkEnd w:id="310"/>
      <w:r>
        <w:rPr/>
      </w:r>
      <w:r>
        <w:rPr/>
        <w:t>Subsección 1.ª Competencias de la Administración General del Estado</w:t>
      </w:r>
    </w:p>
    <w:p>
      <w:pPr>
        <w:pStyle w:val="BodyText"/>
        <w:spacing w:before="5"/>
        <w:ind w:left="0" w:firstLine="0"/>
        <w:jc w:val="left"/>
        <w:rPr>
          <w:sz w:val="30"/>
        </w:rPr>
      </w:pPr>
    </w:p>
    <w:p>
      <w:pPr>
        <w:spacing w:before="0"/>
        <w:ind w:left="1074" w:right="0" w:firstLine="0"/>
        <w:jc w:val="both"/>
        <w:rPr>
          <w:i/>
          <w:sz w:val="20"/>
        </w:rPr>
      </w:pPr>
      <w:bookmarkStart w:name="Artículo 186. Control de los distribuido" w:id="311"/>
      <w:bookmarkEnd w:id="311"/>
      <w:r>
        <w:rPr/>
      </w:r>
      <w:r>
        <w:rPr>
          <w:b/>
          <w:sz w:val="20"/>
        </w:rPr>
        <w:t>Artículo 186. </w:t>
      </w:r>
      <w:r>
        <w:rPr>
          <w:i/>
          <w:sz w:val="20"/>
        </w:rPr>
        <w:t>Control de los distribuidores de seguros y reaseguros.</w:t>
      </w:r>
    </w:p>
    <w:p>
      <w:pPr>
        <w:pStyle w:val="ListParagraph"/>
        <w:numPr>
          <w:ilvl w:val="0"/>
          <w:numId w:val="318"/>
        </w:numPr>
        <w:tabs>
          <w:tab w:pos="1681" w:val="left" w:leader="none"/>
        </w:tabs>
        <w:spacing w:line="249" w:lineRule="auto" w:before="118" w:after="0"/>
        <w:ind w:left="1074" w:right="1272" w:firstLine="340"/>
        <w:jc w:val="both"/>
        <w:rPr>
          <w:sz w:val="20"/>
        </w:rPr>
      </w:pPr>
      <w:r>
        <w:rPr>
          <w:sz w:val="20"/>
        </w:rPr>
        <w:t>Salvo lo establecido para las competencias atribuidas expresamente a la persona titular del Ministerio de Asuntos Económicos y Transformación Digital, la Dirección General de Seguros y Fondos de Pensiones ejercerá el control regulado en el título I sobre los distribuidores de seguros y de reaseguros residentes o domiciliados en España, incluidas las actividades que realicen en régimen de derecho de establecimiento y en régimen de libre prestación de</w:t>
      </w:r>
      <w:r>
        <w:rPr>
          <w:spacing w:val="-3"/>
          <w:sz w:val="20"/>
        </w:rPr>
        <w:t> </w:t>
      </w:r>
      <w:r>
        <w:rPr>
          <w:sz w:val="20"/>
        </w:rPr>
        <w:t>servicios.</w:t>
      </w:r>
    </w:p>
    <w:p>
      <w:pPr>
        <w:pStyle w:val="ListParagraph"/>
        <w:numPr>
          <w:ilvl w:val="0"/>
          <w:numId w:val="318"/>
        </w:numPr>
        <w:tabs>
          <w:tab w:pos="1652" w:val="left" w:leader="none"/>
        </w:tabs>
        <w:spacing w:line="249" w:lineRule="auto" w:before="5" w:after="0"/>
        <w:ind w:left="1074" w:right="1271" w:firstLine="340"/>
        <w:jc w:val="both"/>
        <w:rPr>
          <w:sz w:val="20"/>
        </w:rPr>
      </w:pPr>
      <w:r>
        <w:rPr>
          <w:sz w:val="20"/>
        </w:rPr>
        <w:t>A los efectos de realizar un adecuado seguimiento del mercado, los distribuidores de seguros y de reaseguros suministrarán a la Dirección General de Seguros y Fondos de Pensiones la documentación e información necesarias para dar cumplimiento a lo dispuesto en el apartado anterior, mediante su presentación periódica en la forma que reglamentariamente se determine o mediante la atención de requerimientos individualizados que les dirija la citada Dirección</w:t>
      </w:r>
      <w:r>
        <w:rPr>
          <w:spacing w:val="-7"/>
          <w:sz w:val="20"/>
        </w:rPr>
        <w:t> </w:t>
      </w:r>
      <w:r>
        <w:rPr>
          <w:sz w:val="20"/>
        </w:rPr>
        <w:t>General.</w:t>
      </w:r>
    </w:p>
    <w:p>
      <w:pPr>
        <w:pStyle w:val="ListParagraph"/>
        <w:numPr>
          <w:ilvl w:val="0"/>
          <w:numId w:val="318"/>
        </w:numPr>
        <w:tabs>
          <w:tab w:pos="1676" w:val="left" w:leader="none"/>
        </w:tabs>
        <w:spacing w:line="249" w:lineRule="auto" w:before="5" w:after="0"/>
        <w:ind w:left="1074" w:right="1272" w:firstLine="340"/>
        <w:jc w:val="both"/>
        <w:rPr>
          <w:sz w:val="20"/>
        </w:rPr>
      </w:pPr>
      <w:r>
        <w:rPr>
          <w:sz w:val="20"/>
        </w:rPr>
        <w:t>Será de aplicación a la inspección de mediadores de seguros y de corredores de reaseguros privados lo dispuesto en el capítulo IV del título IV de la Ley 20/2015, de 14 de julio, en materia de supervisión por inspección, y se entenderán hechas a los mediadores de seguros y corredores de reaseguros las referencias que en dicho capítulo se hacen a las entidades</w:t>
      </w:r>
      <w:r>
        <w:rPr>
          <w:spacing w:val="-2"/>
          <w:sz w:val="20"/>
        </w:rPr>
        <w:t> </w:t>
      </w:r>
      <w:r>
        <w:rPr>
          <w:sz w:val="20"/>
        </w:rPr>
        <w:t>aseguradoras.</w:t>
      </w:r>
    </w:p>
    <w:p>
      <w:pPr>
        <w:pStyle w:val="ListParagraph"/>
        <w:numPr>
          <w:ilvl w:val="0"/>
          <w:numId w:val="318"/>
        </w:numPr>
        <w:tabs>
          <w:tab w:pos="1662" w:val="left" w:leader="none"/>
        </w:tabs>
        <w:spacing w:line="249" w:lineRule="auto" w:before="4" w:after="0"/>
        <w:ind w:left="1074" w:right="1272" w:firstLine="340"/>
        <w:jc w:val="both"/>
        <w:rPr>
          <w:sz w:val="20"/>
        </w:rPr>
      </w:pPr>
      <w:r>
        <w:rPr>
          <w:sz w:val="20"/>
        </w:rPr>
        <w:t>La Dirección General de Seguros y Fondos de Pensiones podrá dar la difusión que considere necesaria para información del público cuando tenga constancia de distribuidores de seguros que operen en España sin estar legalmente habilitados para</w:t>
      </w:r>
      <w:r>
        <w:rPr>
          <w:spacing w:val="-20"/>
          <w:sz w:val="20"/>
        </w:rPr>
        <w:t> </w:t>
      </w:r>
      <w:r>
        <w:rPr>
          <w:sz w:val="20"/>
        </w:rPr>
        <w:t>ello.</w:t>
      </w:r>
    </w:p>
    <w:p>
      <w:pPr>
        <w:pStyle w:val="ListParagraph"/>
        <w:numPr>
          <w:ilvl w:val="0"/>
          <w:numId w:val="318"/>
        </w:numPr>
        <w:tabs>
          <w:tab w:pos="1671" w:val="left" w:leader="none"/>
        </w:tabs>
        <w:spacing w:line="249" w:lineRule="auto" w:before="2" w:after="0"/>
        <w:ind w:left="1074" w:right="1272" w:firstLine="340"/>
        <w:jc w:val="both"/>
        <w:rPr>
          <w:sz w:val="20"/>
        </w:rPr>
      </w:pPr>
      <w:r>
        <w:rPr>
          <w:sz w:val="20"/>
        </w:rPr>
        <w:t>La Dirección General de Seguros y Fondos de Pensiones informará a la Comisión Europea de las dificultades de carácter general que hallen sus distribuidores de seguros o</w:t>
      </w:r>
      <w:r>
        <w:rPr>
          <w:spacing w:val="-28"/>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hanging="1"/>
      </w:pPr>
      <w:r>
        <w:rPr/>
        <w:t>reaseguros para establecerse o ejercer actividades de distribución de seguros o reaseguros en un tercer país.</w:t>
      </w:r>
    </w:p>
    <w:p>
      <w:pPr>
        <w:pStyle w:val="BodyText"/>
        <w:spacing w:before="4"/>
        <w:ind w:left="0" w:firstLine="0"/>
        <w:jc w:val="left"/>
      </w:pPr>
    </w:p>
    <w:p>
      <w:pPr>
        <w:spacing w:before="0"/>
        <w:ind w:left="1074" w:right="0" w:firstLine="0"/>
        <w:jc w:val="both"/>
        <w:rPr>
          <w:i/>
          <w:sz w:val="20"/>
        </w:rPr>
      </w:pPr>
      <w:bookmarkStart w:name="Artículo 187. Obligaciones contables y d" w:id="312"/>
      <w:bookmarkEnd w:id="312"/>
      <w:r>
        <w:rPr/>
      </w:r>
      <w:r>
        <w:rPr>
          <w:b/>
          <w:sz w:val="20"/>
        </w:rPr>
        <w:t>Artículo 187. </w:t>
      </w:r>
      <w:r>
        <w:rPr>
          <w:i/>
          <w:sz w:val="20"/>
        </w:rPr>
        <w:t>Obligaciones contables y deber de información estadístico-contable.</w:t>
      </w:r>
    </w:p>
    <w:p>
      <w:pPr>
        <w:pStyle w:val="ListParagraph"/>
        <w:numPr>
          <w:ilvl w:val="0"/>
          <w:numId w:val="319"/>
        </w:numPr>
        <w:tabs>
          <w:tab w:pos="1640" w:val="left" w:leader="none"/>
        </w:tabs>
        <w:spacing w:line="249" w:lineRule="auto" w:before="117" w:after="0"/>
        <w:ind w:left="1074" w:right="1273" w:firstLine="340"/>
        <w:jc w:val="both"/>
        <w:rPr>
          <w:sz w:val="20"/>
        </w:rPr>
      </w:pPr>
      <w:r>
        <w:rPr>
          <w:sz w:val="20"/>
        </w:rPr>
        <w:t>Los corredores de seguros y de reaseguros deberán llevar los libros-registro contables que reglamentariamente se determinen, sin perjuicio de la llevanza de los libros de contabilidad a que estuvieran obligados por las normas mercantiles o</w:t>
      </w:r>
      <w:r>
        <w:rPr>
          <w:spacing w:val="-16"/>
          <w:sz w:val="20"/>
        </w:rPr>
        <w:t> </w:t>
      </w:r>
      <w:r>
        <w:rPr>
          <w:sz w:val="20"/>
        </w:rPr>
        <w:t>fiscales.</w:t>
      </w:r>
    </w:p>
    <w:p>
      <w:pPr>
        <w:pStyle w:val="ListParagraph"/>
        <w:numPr>
          <w:ilvl w:val="0"/>
          <w:numId w:val="319"/>
        </w:numPr>
        <w:tabs>
          <w:tab w:pos="1650" w:val="left" w:leader="none"/>
        </w:tabs>
        <w:spacing w:line="249" w:lineRule="auto" w:before="3" w:after="0"/>
        <w:ind w:left="1074" w:right="1271" w:firstLine="340"/>
        <w:jc w:val="both"/>
        <w:rPr>
          <w:sz w:val="20"/>
        </w:rPr>
      </w:pPr>
      <w:r>
        <w:rPr>
          <w:sz w:val="20"/>
        </w:rPr>
        <w:t>Una vez iniciada la actividad de distribución de seguros y reaseguros, los agentes de seguros vinculados, los operadores de banca-seguros, los corredores de seguros y los corredores de reaseguros, deberán remitir a la Dirección General de Seguros y Fondos de Pensiones la información estadístico-contable con el contenido y la periodicidad que reglamentariamente se</w:t>
      </w:r>
      <w:r>
        <w:rPr>
          <w:spacing w:val="-1"/>
          <w:sz w:val="20"/>
        </w:rPr>
        <w:t> </w:t>
      </w:r>
      <w:r>
        <w:rPr>
          <w:sz w:val="20"/>
        </w:rPr>
        <w:t>determine.</w:t>
      </w:r>
    </w:p>
    <w:p>
      <w:pPr>
        <w:pStyle w:val="ListParagraph"/>
        <w:numPr>
          <w:ilvl w:val="0"/>
          <w:numId w:val="319"/>
        </w:numPr>
        <w:tabs>
          <w:tab w:pos="1640" w:val="left" w:leader="none"/>
        </w:tabs>
        <w:spacing w:line="249" w:lineRule="auto" w:before="4" w:after="0"/>
        <w:ind w:left="1074" w:right="1271" w:firstLine="340"/>
        <w:jc w:val="both"/>
        <w:rPr>
          <w:sz w:val="20"/>
        </w:rPr>
      </w:pPr>
      <w:r>
        <w:rPr>
          <w:sz w:val="20"/>
        </w:rPr>
        <w:t>La persona titular del Ministerio de Asuntos Económicos y Transformación Digital fijará los supuestos y condiciones en que los agentes de seguros vinculados, operadores de banca-seguros, los corredores de seguros y los corredores de reaseguros a que se refiere el apartado anterior habrán de presentar por medios electrónicos ante la Dirección General de Seguros y Fondos de Pensiones la documentación e información que están obligados a suministrar conforme a su normativa</w:t>
      </w:r>
      <w:r>
        <w:rPr>
          <w:spacing w:val="-4"/>
          <w:sz w:val="20"/>
        </w:rPr>
        <w:t> </w:t>
      </w:r>
      <w:r>
        <w:rPr>
          <w:sz w:val="20"/>
        </w:rPr>
        <w:t>específica.</w:t>
      </w:r>
    </w:p>
    <w:p>
      <w:pPr>
        <w:pStyle w:val="BodyText"/>
        <w:spacing w:before="7"/>
        <w:ind w:left="0" w:firstLine="0"/>
        <w:jc w:val="left"/>
      </w:pPr>
    </w:p>
    <w:p>
      <w:pPr>
        <w:spacing w:before="1"/>
        <w:ind w:left="1074" w:right="0" w:firstLine="0"/>
        <w:jc w:val="both"/>
        <w:rPr>
          <w:i/>
          <w:sz w:val="20"/>
        </w:rPr>
      </w:pPr>
      <w:bookmarkStart w:name="Artículo 188. Deber de secreto profesion" w:id="313"/>
      <w:bookmarkEnd w:id="313"/>
      <w:r>
        <w:rPr/>
      </w:r>
      <w:r>
        <w:rPr>
          <w:b/>
          <w:sz w:val="20"/>
        </w:rPr>
        <w:t>Artículo 188. </w:t>
      </w:r>
      <w:r>
        <w:rPr>
          <w:i/>
          <w:sz w:val="20"/>
        </w:rPr>
        <w:t>Deber de secreto profesional.</w:t>
      </w:r>
    </w:p>
    <w:p>
      <w:pPr>
        <w:pStyle w:val="ListParagraph"/>
        <w:numPr>
          <w:ilvl w:val="0"/>
          <w:numId w:val="320"/>
        </w:numPr>
        <w:tabs>
          <w:tab w:pos="1666" w:val="left" w:leader="none"/>
        </w:tabs>
        <w:spacing w:line="249" w:lineRule="auto" w:before="117" w:after="0"/>
        <w:ind w:left="1074" w:right="1270" w:firstLine="340"/>
        <w:jc w:val="both"/>
        <w:rPr>
          <w:sz w:val="20"/>
        </w:rPr>
      </w:pPr>
      <w:r>
        <w:rPr>
          <w:sz w:val="20"/>
        </w:rPr>
        <w:t>Salvo los datos inscribibles en el registro administrativo al que se refiere el artículo 133, los datos, documentos e informaciones que obren en poder de la Dirección General de Seguros y Fondos de Pensiones en virtud de cuantas funciones le encomienda el título I tendrán carácter reservado.</w:t>
      </w:r>
    </w:p>
    <w:p>
      <w:pPr>
        <w:pStyle w:val="ListParagraph"/>
        <w:numPr>
          <w:ilvl w:val="0"/>
          <w:numId w:val="320"/>
        </w:numPr>
        <w:tabs>
          <w:tab w:pos="1653" w:val="left" w:leader="none"/>
        </w:tabs>
        <w:spacing w:line="249" w:lineRule="auto" w:before="3" w:after="0"/>
        <w:ind w:left="1074" w:right="1273" w:firstLine="340"/>
        <w:jc w:val="both"/>
        <w:rPr>
          <w:sz w:val="20"/>
        </w:rPr>
      </w:pPr>
      <w:r>
        <w:rPr>
          <w:sz w:val="20"/>
        </w:rPr>
        <w:t>Todas las personas que ejerzan o hayan ejercido una actividad de supervisión sobre la actividad desarrollada por distribuidores de seguros y de reaseguros, así como aquellas personas a quienes se les hayan encomendado funciones respecto de aquellos, tendrán obligación de guardar secreto profesional sobre las informaciones confidenciales que reciban a título profesional en el ejercicio de tal</w:t>
      </w:r>
      <w:r>
        <w:rPr>
          <w:spacing w:val="-9"/>
          <w:sz w:val="20"/>
        </w:rPr>
        <w:t> </w:t>
      </w:r>
      <w:r>
        <w:rPr>
          <w:sz w:val="20"/>
        </w:rPr>
        <w:t>función.</w:t>
      </w:r>
    </w:p>
    <w:p>
      <w:pPr>
        <w:pStyle w:val="ListParagraph"/>
        <w:numPr>
          <w:ilvl w:val="0"/>
          <w:numId w:val="320"/>
        </w:numPr>
        <w:tabs>
          <w:tab w:pos="1652" w:val="left" w:leader="none"/>
        </w:tabs>
        <w:spacing w:line="249" w:lineRule="auto" w:before="5" w:after="0"/>
        <w:ind w:left="1074" w:right="1273" w:firstLine="340"/>
        <w:jc w:val="both"/>
        <w:rPr>
          <w:sz w:val="20"/>
        </w:rPr>
      </w:pPr>
      <w:r>
        <w:rPr>
          <w:sz w:val="20"/>
        </w:rPr>
        <w:t>Será exigible el deber de secreto profesional en los términos regulados en el artículo 127 de la Ley 20/2015, de 14 de julio, y deberán entenderse hechas a los mediadores de seguros y de reaseguros las referencias que en dicho precepto se contienen a las entidades aseguradoras.</w:t>
      </w:r>
    </w:p>
    <w:p>
      <w:pPr>
        <w:pStyle w:val="BodyText"/>
        <w:spacing w:before="5"/>
        <w:ind w:left="0" w:firstLine="0"/>
        <w:jc w:val="left"/>
      </w:pPr>
    </w:p>
    <w:p>
      <w:pPr>
        <w:spacing w:before="0"/>
        <w:ind w:left="1074" w:right="0" w:firstLine="0"/>
        <w:jc w:val="both"/>
        <w:rPr>
          <w:i/>
          <w:sz w:val="20"/>
        </w:rPr>
      </w:pPr>
      <w:bookmarkStart w:name="Artículo 189. Deber de colaboración con " w:id="314"/>
      <w:bookmarkEnd w:id="314"/>
      <w:r>
        <w:rPr/>
      </w:r>
      <w:r>
        <w:rPr>
          <w:b/>
          <w:sz w:val="20"/>
        </w:rPr>
        <w:t>Artículo 189. </w:t>
      </w:r>
      <w:r>
        <w:rPr>
          <w:i/>
          <w:sz w:val="20"/>
        </w:rPr>
        <w:t>Deber de colaboración con otras autoridades supervisoras.</w:t>
      </w:r>
    </w:p>
    <w:p>
      <w:pPr>
        <w:pStyle w:val="ListParagraph"/>
        <w:numPr>
          <w:ilvl w:val="0"/>
          <w:numId w:val="321"/>
        </w:numPr>
        <w:tabs>
          <w:tab w:pos="1714" w:val="left" w:leader="none"/>
        </w:tabs>
        <w:spacing w:line="249" w:lineRule="auto" w:before="118" w:after="0"/>
        <w:ind w:left="1074" w:right="1272" w:firstLine="340"/>
        <w:jc w:val="both"/>
        <w:rPr>
          <w:sz w:val="20"/>
        </w:rPr>
      </w:pPr>
      <w:r>
        <w:rPr>
          <w:sz w:val="20"/>
        </w:rPr>
        <w:t>La Dirección General de Seguros y Fondos de Pensiones colaborará con las autoridades supervisoras de los restantes Estados miembros de la Unión Europea e intercambiará con ellas toda la información que sea precisa para el ejercicio de sus  funciones respectivas en el ámbito de supervisión de las operaciones de los distribuidores de seguros y reaseguros.</w:t>
      </w:r>
    </w:p>
    <w:p>
      <w:pPr>
        <w:pStyle w:val="BodyText"/>
        <w:spacing w:line="249" w:lineRule="auto" w:before="4"/>
        <w:ind w:right="1272"/>
      </w:pPr>
      <w:r>
        <w:rPr/>
        <w:t>En particular, en el proceso de registro, y de manera periódica, la Dirección General de Seguros y Fondos de Pensiones compartirá información relativa a la honorabilidad y aptitud de los distribuidores de seguros y reaseguros.</w:t>
      </w:r>
    </w:p>
    <w:p>
      <w:pPr>
        <w:pStyle w:val="BodyText"/>
        <w:spacing w:line="249" w:lineRule="auto" w:before="3"/>
        <w:ind w:right="1272"/>
      </w:pPr>
      <w:r>
        <w:rPr/>
        <w:t>Asimismo, la Dirección General de Seguros y Fondos de Pensiones intercambiará información sobre los distribuidores de seguros y reaseguros que hayan sido objeto de una sanción u otra medida de carácter administrativo que conlleve la exclusión del registro administrativo de distribuidores de seguros y reaseguros.</w:t>
      </w:r>
    </w:p>
    <w:p>
      <w:pPr>
        <w:pStyle w:val="ListParagraph"/>
        <w:numPr>
          <w:ilvl w:val="0"/>
          <w:numId w:val="321"/>
        </w:numPr>
        <w:tabs>
          <w:tab w:pos="1677" w:val="left" w:leader="none"/>
        </w:tabs>
        <w:spacing w:line="249" w:lineRule="auto" w:before="3" w:after="0"/>
        <w:ind w:left="1074" w:right="1270" w:firstLine="340"/>
        <w:jc w:val="both"/>
        <w:rPr>
          <w:sz w:val="20"/>
        </w:rPr>
      </w:pPr>
      <w:r>
        <w:rPr>
          <w:sz w:val="20"/>
        </w:rPr>
        <w:t>La Dirección General de Seguros y Fondos de Pensiones facilitará a la Autoridad Europea de Seguros y Pensiones de Jubilación la relación de mediadores de seguros </w:t>
      </w:r>
      <w:r>
        <w:rPr>
          <w:spacing w:val="-11"/>
          <w:sz w:val="20"/>
        </w:rPr>
        <w:t>y </w:t>
      </w:r>
      <w:r>
        <w:rPr>
          <w:sz w:val="20"/>
        </w:rPr>
        <w:t>reaseguros que hayan notificado su intención de desarrollar la actividad transfronteriza en otro Estado</w:t>
      </w:r>
      <w:r>
        <w:rPr>
          <w:spacing w:val="-2"/>
          <w:sz w:val="20"/>
        </w:rPr>
        <w:t> </w:t>
      </w:r>
      <w:r>
        <w:rPr>
          <w:sz w:val="20"/>
        </w:rPr>
        <w:t>miembro.</w:t>
      </w:r>
    </w:p>
    <w:p>
      <w:pPr>
        <w:pStyle w:val="ListParagraph"/>
        <w:numPr>
          <w:ilvl w:val="0"/>
          <w:numId w:val="321"/>
        </w:numPr>
        <w:tabs>
          <w:tab w:pos="1683" w:val="left" w:leader="none"/>
        </w:tabs>
        <w:spacing w:line="249" w:lineRule="auto" w:before="3" w:after="0"/>
        <w:ind w:left="1074" w:right="1271" w:firstLine="340"/>
        <w:jc w:val="both"/>
        <w:rPr>
          <w:sz w:val="20"/>
        </w:rPr>
      </w:pPr>
      <w:r>
        <w:rPr>
          <w:sz w:val="20"/>
        </w:rPr>
        <w:t>La Dirección General de Seguros y Fondos de Pensiones informará al Banco de España o a la Comisión Nacional del Mercado de Valores, según corresponda, cuando en el ejercicio de sus competencias tenga conocimiento de posibles irregularidades en la comercialización de productos o servicios financieros que sean objeto de práctica de venta combinada o vinculada junto con productos de seguros, con el fin de coordinar las actuaciones de supervisión con dichas</w:t>
      </w:r>
      <w:r>
        <w:rPr>
          <w:spacing w:val="-5"/>
          <w:sz w:val="20"/>
        </w:rPr>
        <w:t> </w:t>
      </w:r>
      <w:r>
        <w:rPr>
          <w:sz w:val="20"/>
        </w:rPr>
        <w:t>autoridades.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line="249" w:lineRule="auto" w:before="0"/>
        <w:ind w:left="1074" w:right="1275" w:firstLine="0"/>
        <w:jc w:val="both"/>
        <w:rPr>
          <w:i/>
          <w:sz w:val="20"/>
        </w:rPr>
      </w:pPr>
      <w:bookmarkStart w:name="Artículo 190. Cancelación de la inscripc" w:id="315"/>
      <w:bookmarkEnd w:id="315"/>
      <w:r>
        <w:rPr/>
      </w:r>
      <w:r>
        <w:rPr>
          <w:b/>
          <w:sz w:val="20"/>
        </w:rPr>
        <w:t>Artículo 190. </w:t>
      </w:r>
      <w:r>
        <w:rPr>
          <w:i/>
          <w:sz w:val="20"/>
        </w:rPr>
        <w:t>Cancelación de la inscripción del registro administrativo de distribuidores de </w:t>
      </w:r>
      <w:r>
        <w:rPr>
          <w:i/>
          <w:sz w:val="20"/>
        </w:rPr>
        <w:t>seguros y reaseguros.</w:t>
      </w:r>
    </w:p>
    <w:p>
      <w:pPr>
        <w:pStyle w:val="ListParagraph"/>
        <w:numPr>
          <w:ilvl w:val="0"/>
          <w:numId w:val="322"/>
        </w:numPr>
        <w:tabs>
          <w:tab w:pos="1697" w:val="left" w:leader="none"/>
        </w:tabs>
        <w:spacing w:line="249" w:lineRule="auto" w:before="109" w:after="0"/>
        <w:ind w:left="1074" w:right="1272" w:firstLine="340"/>
        <w:jc w:val="both"/>
        <w:rPr>
          <w:sz w:val="20"/>
        </w:rPr>
      </w:pPr>
      <w:r>
        <w:rPr>
          <w:sz w:val="20"/>
        </w:rPr>
        <w:t>La cancelación de la inscripción de los mediadores de seguros, mediadores de seguros complementarios y corredores de reaseguros inscritos en el registro administrativo previsto en el artículo 133, será acordada por la Dirección General de Seguros y Fondos de Pensiones cuando concurra alguna de las siguientes</w:t>
      </w:r>
      <w:r>
        <w:rPr>
          <w:spacing w:val="-4"/>
          <w:sz w:val="20"/>
        </w:rPr>
        <w:t> </w:t>
      </w:r>
      <w:r>
        <w:rPr>
          <w:sz w:val="20"/>
        </w:rPr>
        <w:t>causas:</w:t>
      </w:r>
    </w:p>
    <w:p>
      <w:pPr>
        <w:pStyle w:val="ListParagraph"/>
        <w:numPr>
          <w:ilvl w:val="0"/>
          <w:numId w:val="323"/>
        </w:numPr>
        <w:tabs>
          <w:tab w:pos="1665" w:val="left" w:leader="none"/>
        </w:tabs>
        <w:spacing w:line="249" w:lineRule="auto" w:before="124" w:after="0"/>
        <w:ind w:left="1074" w:right="1274" w:firstLine="340"/>
        <w:jc w:val="both"/>
        <w:rPr>
          <w:sz w:val="20"/>
        </w:rPr>
      </w:pPr>
      <w:r>
        <w:rPr>
          <w:sz w:val="20"/>
        </w:rPr>
        <w:t>Cuando la entidad aseguradora haya rescindido el contrato de agencia de seguros y comunique la baja del agente de seguros exclusivo en su</w:t>
      </w:r>
      <w:r>
        <w:rPr>
          <w:spacing w:val="-11"/>
          <w:sz w:val="20"/>
        </w:rPr>
        <w:t> </w:t>
      </w:r>
      <w:r>
        <w:rPr>
          <w:sz w:val="20"/>
        </w:rPr>
        <w:t>registro.</w:t>
      </w:r>
    </w:p>
    <w:p>
      <w:pPr>
        <w:pStyle w:val="ListParagraph"/>
        <w:numPr>
          <w:ilvl w:val="0"/>
          <w:numId w:val="323"/>
        </w:numPr>
        <w:tabs>
          <w:tab w:pos="1652" w:val="left" w:leader="none"/>
        </w:tabs>
        <w:spacing w:line="249" w:lineRule="auto" w:before="1" w:after="0"/>
        <w:ind w:left="1074" w:right="1272" w:firstLine="340"/>
        <w:jc w:val="both"/>
        <w:rPr>
          <w:sz w:val="20"/>
        </w:rPr>
      </w:pPr>
      <w:r>
        <w:rPr>
          <w:sz w:val="20"/>
        </w:rPr>
        <w:t>Cuando el mediador de seguros, mediador de seguros complementarios o corredor de reaseguros deje de cumplir alguno de los requisitos exigidos para figurar inscrito en el registro administrativo de distribuidores de seguros y</w:t>
      </w:r>
      <w:r>
        <w:rPr>
          <w:spacing w:val="-8"/>
          <w:sz w:val="20"/>
        </w:rPr>
        <w:t> </w:t>
      </w:r>
      <w:r>
        <w:rPr>
          <w:sz w:val="20"/>
        </w:rPr>
        <w:t>reaseguros.</w:t>
      </w:r>
    </w:p>
    <w:p>
      <w:pPr>
        <w:pStyle w:val="ListParagraph"/>
        <w:numPr>
          <w:ilvl w:val="0"/>
          <w:numId w:val="323"/>
        </w:numPr>
        <w:tabs>
          <w:tab w:pos="1698" w:val="left" w:leader="none"/>
        </w:tabs>
        <w:spacing w:line="249" w:lineRule="auto" w:before="3" w:after="0"/>
        <w:ind w:left="1074" w:right="1273" w:firstLine="340"/>
        <w:jc w:val="both"/>
        <w:rPr>
          <w:sz w:val="20"/>
        </w:rPr>
      </w:pPr>
      <w:r>
        <w:rPr>
          <w:sz w:val="20"/>
        </w:rPr>
        <w:t>Cuando los mediadores de seguros, mediadores de seguros complementarios o corredores de reaseguros incurran en causa de</w:t>
      </w:r>
      <w:r>
        <w:rPr>
          <w:spacing w:val="-7"/>
          <w:sz w:val="20"/>
        </w:rPr>
        <w:t> </w:t>
      </w:r>
      <w:r>
        <w:rPr>
          <w:sz w:val="20"/>
        </w:rPr>
        <w:t>disolución.</w:t>
      </w:r>
    </w:p>
    <w:p>
      <w:pPr>
        <w:pStyle w:val="ListParagraph"/>
        <w:numPr>
          <w:ilvl w:val="0"/>
          <w:numId w:val="323"/>
        </w:numPr>
        <w:tabs>
          <w:tab w:pos="1665" w:val="left" w:leader="none"/>
        </w:tabs>
        <w:spacing w:line="249" w:lineRule="auto" w:before="1" w:after="0"/>
        <w:ind w:left="1074" w:right="1272" w:firstLine="340"/>
        <w:jc w:val="both"/>
        <w:rPr>
          <w:sz w:val="20"/>
        </w:rPr>
      </w:pPr>
      <w:r>
        <w:rPr>
          <w:sz w:val="20"/>
        </w:rPr>
        <w:t>Cuando los corredores de seguros o de reaseguros a los que se refiere el título I no hayan iniciado su actividad en el plazo de un año desde su inscripción o dejen de ejercerla durante un periodo superior a un</w:t>
      </w:r>
      <w:r>
        <w:rPr>
          <w:spacing w:val="-7"/>
          <w:sz w:val="20"/>
        </w:rPr>
        <w:t> </w:t>
      </w:r>
      <w:r>
        <w:rPr>
          <w:sz w:val="20"/>
        </w:rPr>
        <w:t>año.</w:t>
      </w:r>
    </w:p>
    <w:p>
      <w:pPr>
        <w:pStyle w:val="BodyText"/>
        <w:spacing w:line="249" w:lineRule="auto" w:before="3"/>
        <w:ind w:right="1272"/>
      </w:pPr>
      <w:r>
        <w:rPr/>
        <w:t>A esta inactividad, por falta de iniciación o cese en el ejercicio, se equiparará la falta de efectiva actividad, que se entenderá que se produce cuando se aprecie durante dos ejercicios consecutivos que el volumen anual de negocio del corredor de seguros sea inferior a 100.000 euros al año en primas de seguro distribuidas, que se reducirá a 30.000 euros cuando el corredor distribuya como mediador de seguros complementarios y, en el caso de corredor de reaseguros, de 500.000 euros al año en primas de reaseguro distribuidas. El cómputo anterior se realizará una vez transcurridos tres ejercicios a contar del siguiente al que se hubiera realizado la inscripción en el registro administrativo previsto en el artículo 133.</w:t>
      </w:r>
    </w:p>
    <w:p>
      <w:pPr>
        <w:pStyle w:val="BodyText"/>
        <w:spacing w:line="249" w:lineRule="auto" w:before="7"/>
        <w:ind w:right="1271"/>
      </w:pPr>
      <w:r>
        <w:rPr/>
        <w:t>No será de aplicación lo dispuesto en esta letra d) cuando se justifiquen fundadamente a la Dirección General de Seguros y Fondos de Pensiones las razones de esa falta de actividad, así como las medidas adoptadas para superar dicha situación.</w:t>
      </w:r>
    </w:p>
    <w:p>
      <w:pPr>
        <w:pStyle w:val="ListParagraph"/>
        <w:numPr>
          <w:ilvl w:val="0"/>
          <w:numId w:val="323"/>
        </w:numPr>
        <w:tabs>
          <w:tab w:pos="1648" w:val="left" w:leader="none"/>
        </w:tabs>
        <w:spacing w:line="240" w:lineRule="auto" w:before="3" w:after="0"/>
        <w:ind w:left="1647" w:right="0" w:hanging="234"/>
        <w:jc w:val="both"/>
        <w:rPr>
          <w:sz w:val="20"/>
        </w:rPr>
      </w:pPr>
      <w:r>
        <w:rPr>
          <w:sz w:val="20"/>
        </w:rPr>
        <w:t>Cuando se haya impuesto como</w:t>
      </w:r>
      <w:r>
        <w:rPr>
          <w:spacing w:val="-4"/>
          <w:sz w:val="20"/>
        </w:rPr>
        <w:t> </w:t>
      </w:r>
      <w:r>
        <w:rPr>
          <w:sz w:val="20"/>
        </w:rPr>
        <w:t>sanción.</w:t>
      </w:r>
    </w:p>
    <w:p>
      <w:pPr>
        <w:pStyle w:val="ListParagraph"/>
        <w:numPr>
          <w:ilvl w:val="0"/>
          <w:numId w:val="323"/>
        </w:numPr>
        <w:tabs>
          <w:tab w:pos="1641" w:val="left" w:leader="none"/>
        </w:tabs>
        <w:spacing w:line="249" w:lineRule="auto" w:before="10" w:after="0"/>
        <w:ind w:left="1074" w:right="1274" w:firstLine="340"/>
        <w:jc w:val="both"/>
        <w:rPr>
          <w:sz w:val="20"/>
        </w:rPr>
      </w:pPr>
      <w:r>
        <w:rPr>
          <w:sz w:val="20"/>
        </w:rPr>
        <w:t>Cuando el agente de seguros vinculado, operador de banca-seguros, corredor de seguros o corredor de reaseguros soliciten expresamente la cancelación de su</w:t>
      </w:r>
      <w:r>
        <w:rPr>
          <w:spacing w:val="-23"/>
          <w:sz w:val="20"/>
        </w:rPr>
        <w:t> </w:t>
      </w:r>
      <w:r>
        <w:rPr>
          <w:sz w:val="20"/>
        </w:rPr>
        <w:t>inscripción.</w:t>
      </w:r>
    </w:p>
    <w:p>
      <w:pPr>
        <w:pStyle w:val="ListParagraph"/>
        <w:numPr>
          <w:ilvl w:val="0"/>
          <w:numId w:val="322"/>
        </w:numPr>
        <w:tabs>
          <w:tab w:pos="1641" w:val="left" w:leader="none"/>
        </w:tabs>
        <w:spacing w:line="249" w:lineRule="auto" w:before="121" w:after="0"/>
        <w:ind w:left="1074" w:right="1271" w:firstLine="340"/>
        <w:jc w:val="both"/>
        <w:rPr>
          <w:sz w:val="20"/>
        </w:rPr>
      </w:pPr>
      <w:r>
        <w:rPr>
          <w:sz w:val="20"/>
        </w:rPr>
        <w:t>La cancelación de la inscripción dará lugar a la exclusión del registro administrativo de distribuidores de seguros y reaseguros. La Dirección General de Seguros y Fondos de Pensiones podrá dar publicidad a la resolución que acuerde la cancelación de la inscripción cuando aprecie que existe peligro de que continúe el ejercicio de la actividad de distribución de seguros o de</w:t>
      </w:r>
      <w:r>
        <w:rPr>
          <w:spacing w:val="-4"/>
          <w:sz w:val="20"/>
        </w:rPr>
        <w:t> </w:t>
      </w:r>
      <w:r>
        <w:rPr>
          <w:sz w:val="20"/>
        </w:rPr>
        <w:t>reaseguros.</w:t>
      </w:r>
    </w:p>
    <w:p>
      <w:pPr>
        <w:pStyle w:val="BodyText"/>
        <w:spacing w:before="6"/>
        <w:ind w:left="0" w:firstLine="0"/>
        <w:jc w:val="left"/>
        <w:rPr>
          <w:sz w:val="25"/>
        </w:rPr>
      </w:pPr>
    </w:p>
    <w:p>
      <w:pPr>
        <w:pStyle w:val="BodyText"/>
        <w:spacing w:line="249" w:lineRule="auto" w:before="0"/>
        <w:ind w:left="4684" w:right="1647" w:hanging="3271"/>
        <w:jc w:val="left"/>
      </w:pPr>
      <w:bookmarkStart w:name="Subsección 2.ª Responsabilidad frente a " w:id="316"/>
      <w:bookmarkEnd w:id="316"/>
      <w:r>
        <w:rPr/>
      </w:r>
      <w:bookmarkStart w:name="_bookmark62" w:id="317"/>
      <w:bookmarkEnd w:id="317"/>
      <w:r>
        <w:rPr/>
      </w:r>
      <w:r>
        <w:rPr/>
        <w:t>Subsección 2.ª Responsabilidad frente a la Administración y régimen de infracciones y sanciones</w:t>
      </w:r>
    </w:p>
    <w:p>
      <w:pPr>
        <w:pStyle w:val="BodyText"/>
        <w:spacing w:before="8"/>
        <w:ind w:left="0" w:firstLine="0"/>
        <w:jc w:val="left"/>
        <w:rPr>
          <w:sz w:val="29"/>
        </w:rPr>
      </w:pPr>
    </w:p>
    <w:p>
      <w:pPr>
        <w:spacing w:before="1"/>
        <w:ind w:left="1074" w:right="0" w:firstLine="0"/>
        <w:jc w:val="both"/>
        <w:rPr>
          <w:i/>
          <w:sz w:val="20"/>
        </w:rPr>
      </w:pPr>
      <w:bookmarkStart w:name="Artículo 191. Sujetos infractores." w:id="318"/>
      <w:bookmarkEnd w:id="318"/>
      <w:r>
        <w:rPr/>
      </w:r>
      <w:r>
        <w:rPr>
          <w:b/>
          <w:sz w:val="20"/>
        </w:rPr>
        <w:t>Artículo 191. </w:t>
      </w:r>
      <w:r>
        <w:rPr>
          <w:i/>
          <w:sz w:val="20"/>
        </w:rPr>
        <w:t>Sujetos infractores.</w:t>
      </w:r>
    </w:p>
    <w:p>
      <w:pPr>
        <w:pStyle w:val="ListParagraph"/>
        <w:numPr>
          <w:ilvl w:val="0"/>
          <w:numId w:val="324"/>
        </w:numPr>
        <w:tabs>
          <w:tab w:pos="1647" w:val="left" w:leader="none"/>
        </w:tabs>
        <w:spacing w:line="249" w:lineRule="auto" w:before="117" w:after="0"/>
        <w:ind w:left="1074" w:right="1273" w:firstLine="340"/>
        <w:jc w:val="both"/>
        <w:rPr>
          <w:sz w:val="20"/>
        </w:rPr>
      </w:pPr>
      <w:r>
        <w:rPr>
          <w:sz w:val="20"/>
        </w:rPr>
        <w:t>Son sujetos infractores e incurrirán en responsabilidad administrativa sancionable con arreglo a lo dispuesto en los artículos siguientes, las personas físicas o jurídicas que infrinjan las normas sobre distribución de seguros y reaseguros, y en particular, las</w:t>
      </w:r>
      <w:r>
        <w:rPr>
          <w:spacing w:val="-23"/>
          <w:sz w:val="20"/>
        </w:rPr>
        <w:t> </w:t>
      </w:r>
      <w:r>
        <w:rPr>
          <w:sz w:val="20"/>
        </w:rPr>
        <w:t>siguientes:</w:t>
      </w:r>
    </w:p>
    <w:p>
      <w:pPr>
        <w:pStyle w:val="ListParagraph"/>
        <w:numPr>
          <w:ilvl w:val="0"/>
          <w:numId w:val="325"/>
        </w:numPr>
        <w:tabs>
          <w:tab w:pos="1648" w:val="left" w:leader="none"/>
        </w:tabs>
        <w:spacing w:line="240" w:lineRule="auto" w:before="123" w:after="0"/>
        <w:ind w:left="1647" w:right="0" w:hanging="234"/>
        <w:jc w:val="left"/>
        <w:rPr>
          <w:sz w:val="20"/>
        </w:rPr>
      </w:pPr>
      <w:r>
        <w:rPr>
          <w:sz w:val="20"/>
        </w:rPr>
        <w:t>Las entidades aseguradoras y</w:t>
      </w:r>
      <w:r>
        <w:rPr>
          <w:spacing w:val="-4"/>
          <w:sz w:val="20"/>
        </w:rPr>
        <w:t> </w:t>
      </w:r>
      <w:r>
        <w:rPr>
          <w:sz w:val="20"/>
        </w:rPr>
        <w:t>reaseguradoras.</w:t>
      </w:r>
    </w:p>
    <w:p>
      <w:pPr>
        <w:pStyle w:val="ListParagraph"/>
        <w:numPr>
          <w:ilvl w:val="0"/>
          <w:numId w:val="325"/>
        </w:numPr>
        <w:tabs>
          <w:tab w:pos="1648" w:val="left" w:leader="none"/>
        </w:tabs>
        <w:spacing w:line="240" w:lineRule="auto" w:before="10" w:after="0"/>
        <w:ind w:left="1647" w:right="0" w:hanging="234"/>
        <w:jc w:val="left"/>
        <w:rPr>
          <w:sz w:val="20"/>
        </w:rPr>
      </w:pPr>
      <w:r>
        <w:rPr>
          <w:sz w:val="20"/>
        </w:rPr>
        <w:t>Los mediadores de seguros y de</w:t>
      </w:r>
      <w:r>
        <w:rPr>
          <w:spacing w:val="-4"/>
          <w:sz w:val="20"/>
        </w:rPr>
        <w:t> </w:t>
      </w:r>
      <w:r>
        <w:rPr>
          <w:sz w:val="20"/>
        </w:rPr>
        <w:t>reaseguros.</w:t>
      </w:r>
    </w:p>
    <w:p>
      <w:pPr>
        <w:pStyle w:val="ListParagraph"/>
        <w:numPr>
          <w:ilvl w:val="0"/>
          <w:numId w:val="325"/>
        </w:numPr>
        <w:tabs>
          <w:tab w:pos="1637" w:val="left" w:leader="none"/>
        </w:tabs>
        <w:spacing w:line="240" w:lineRule="auto" w:before="10" w:after="0"/>
        <w:ind w:left="1636" w:right="0" w:hanging="223"/>
        <w:jc w:val="left"/>
        <w:rPr>
          <w:sz w:val="20"/>
        </w:rPr>
      </w:pPr>
      <w:r>
        <w:rPr>
          <w:sz w:val="20"/>
        </w:rPr>
        <w:t>Los mediadores de seguros</w:t>
      </w:r>
      <w:r>
        <w:rPr>
          <w:spacing w:val="-3"/>
          <w:sz w:val="20"/>
        </w:rPr>
        <w:t> </w:t>
      </w:r>
      <w:r>
        <w:rPr>
          <w:sz w:val="20"/>
        </w:rPr>
        <w:t>complementarios.</w:t>
      </w:r>
    </w:p>
    <w:p>
      <w:pPr>
        <w:pStyle w:val="ListParagraph"/>
        <w:numPr>
          <w:ilvl w:val="0"/>
          <w:numId w:val="325"/>
        </w:numPr>
        <w:tabs>
          <w:tab w:pos="1648" w:val="left" w:leader="none"/>
        </w:tabs>
        <w:spacing w:line="240" w:lineRule="auto" w:before="10" w:after="0"/>
        <w:ind w:left="1647" w:right="0" w:hanging="234"/>
        <w:jc w:val="left"/>
        <w:rPr>
          <w:sz w:val="20"/>
        </w:rPr>
      </w:pPr>
      <w:r>
        <w:rPr>
          <w:sz w:val="20"/>
        </w:rPr>
        <w:t>Los distribuidores domiciliados en otro Estado miembro de la Unión</w:t>
      </w:r>
      <w:r>
        <w:rPr>
          <w:spacing w:val="-16"/>
          <w:sz w:val="20"/>
        </w:rPr>
        <w:t> </w:t>
      </w:r>
      <w:r>
        <w:rPr>
          <w:sz w:val="20"/>
        </w:rPr>
        <w:t>Europea.</w:t>
      </w:r>
    </w:p>
    <w:p>
      <w:pPr>
        <w:pStyle w:val="ListParagraph"/>
        <w:numPr>
          <w:ilvl w:val="0"/>
          <w:numId w:val="325"/>
        </w:numPr>
        <w:tabs>
          <w:tab w:pos="1660" w:val="left" w:leader="none"/>
        </w:tabs>
        <w:spacing w:line="249" w:lineRule="auto" w:before="10" w:after="0"/>
        <w:ind w:left="1074" w:right="1274" w:firstLine="340"/>
        <w:jc w:val="both"/>
        <w:rPr>
          <w:sz w:val="20"/>
        </w:rPr>
      </w:pPr>
      <w:r>
        <w:rPr>
          <w:sz w:val="20"/>
        </w:rPr>
        <w:t>Las personas que ejerzan cargos de administración, las personas responsables de la actividad de distribución o que, en su caso, formen parte del órgano de dirección responsable de la actividad de distribución en cualquiera de las entidades descritas en las letras</w:t>
      </w:r>
      <w:r>
        <w:rPr>
          <w:spacing w:val="-2"/>
          <w:sz w:val="20"/>
        </w:rPr>
        <w:t> </w:t>
      </w:r>
      <w:r>
        <w:rPr>
          <w:sz w:val="20"/>
        </w:rPr>
        <w:t>anteriores.</w:t>
      </w:r>
    </w:p>
    <w:p>
      <w:pPr>
        <w:pStyle w:val="ListParagraph"/>
        <w:numPr>
          <w:ilvl w:val="0"/>
          <w:numId w:val="325"/>
        </w:numPr>
        <w:tabs>
          <w:tab w:pos="1623" w:val="left" w:leader="none"/>
        </w:tabs>
        <w:spacing w:line="249" w:lineRule="auto" w:before="3" w:after="0"/>
        <w:ind w:left="1074" w:right="1274" w:firstLine="340"/>
        <w:jc w:val="both"/>
        <w:rPr>
          <w:sz w:val="20"/>
        </w:rPr>
      </w:pPr>
      <w:r>
        <w:rPr>
          <w:sz w:val="20"/>
        </w:rPr>
        <w:t>Las personas que ejerzan, por sí o a través de persona interpuesta, actividades de distribución</w:t>
      </w:r>
      <w:r>
        <w:rPr>
          <w:spacing w:val="34"/>
          <w:sz w:val="20"/>
        </w:rPr>
        <w:t> </w:t>
      </w:r>
      <w:r>
        <w:rPr>
          <w:sz w:val="20"/>
        </w:rPr>
        <w:t>de</w:t>
      </w:r>
      <w:r>
        <w:rPr>
          <w:spacing w:val="34"/>
          <w:sz w:val="20"/>
        </w:rPr>
        <w:t> </w:t>
      </w:r>
      <w:r>
        <w:rPr>
          <w:sz w:val="20"/>
        </w:rPr>
        <w:t>seguros</w:t>
      </w:r>
      <w:r>
        <w:rPr>
          <w:spacing w:val="34"/>
          <w:sz w:val="20"/>
        </w:rPr>
        <w:t> </w:t>
      </w:r>
      <w:r>
        <w:rPr>
          <w:sz w:val="20"/>
        </w:rPr>
        <w:t>o</w:t>
      </w:r>
      <w:r>
        <w:rPr>
          <w:spacing w:val="34"/>
          <w:sz w:val="20"/>
        </w:rPr>
        <w:t> </w:t>
      </w:r>
      <w:r>
        <w:rPr>
          <w:sz w:val="20"/>
        </w:rPr>
        <w:t>de</w:t>
      </w:r>
      <w:r>
        <w:rPr>
          <w:spacing w:val="34"/>
          <w:sz w:val="20"/>
        </w:rPr>
        <w:t> </w:t>
      </w:r>
      <w:r>
        <w:rPr>
          <w:sz w:val="20"/>
        </w:rPr>
        <w:t>reaseguros,</w:t>
      </w:r>
      <w:r>
        <w:rPr>
          <w:spacing w:val="34"/>
          <w:sz w:val="20"/>
        </w:rPr>
        <w:t> </w:t>
      </w:r>
      <w:r>
        <w:rPr>
          <w:sz w:val="20"/>
        </w:rPr>
        <w:t>sin</w:t>
      </w:r>
      <w:r>
        <w:rPr>
          <w:spacing w:val="34"/>
          <w:sz w:val="20"/>
        </w:rPr>
        <w:t> </w:t>
      </w:r>
      <w:r>
        <w:rPr>
          <w:sz w:val="20"/>
        </w:rPr>
        <w:t>cumplir</w:t>
      </w:r>
      <w:r>
        <w:rPr>
          <w:spacing w:val="34"/>
          <w:sz w:val="20"/>
        </w:rPr>
        <w:t> </w:t>
      </w:r>
      <w:r>
        <w:rPr>
          <w:sz w:val="20"/>
        </w:rPr>
        <w:t>los</w:t>
      </w:r>
      <w:r>
        <w:rPr>
          <w:spacing w:val="34"/>
          <w:sz w:val="20"/>
        </w:rPr>
        <w:t> </w:t>
      </w:r>
      <w:r>
        <w:rPr>
          <w:sz w:val="20"/>
        </w:rPr>
        <w:t>requisitos</w:t>
      </w:r>
      <w:r>
        <w:rPr>
          <w:spacing w:val="34"/>
          <w:sz w:val="20"/>
        </w:rPr>
        <w:t> </w:t>
      </w:r>
      <w:r>
        <w:rPr>
          <w:sz w:val="20"/>
        </w:rPr>
        <w:t>legalmente</w:t>
      </w:r>
      <w:r>
        <w:rPr>
          <w:spacing w:val="34"/>
          <w:sz w:val="20"/>
        </w:rPr>
        <w:t> </w:t>
      </w:r>
      <w:r>
        <w:rPr>
          <w:sz w:val="20"/>
        </w:rPr>
        <w:t>exigidos</w:t>
      </w:r>
      <w:r>
        <w:rPr>
          <w:spacing w:val="34"/>
          <w:sz w:val="20"/>
        </w:rPr>
        <w:t> </w:t>
      </w:r>
      <w:r>
        <w:rPr>
          <w:sz w:val="20"/>
        </w:rPr>
        <w:t>o</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8" w:hanging="1"/>
        <w:jc w:val="left"/>
      </w:pPr>
      <w:r>
        <w:rPr/>
        <w:t>excediendo las funciones previstas en el título I, o aquellas para las que el título I establezca prohibiciones.</w:t>
      </w:r>
    </w:p>
    <w:p>
      <w:pPr>
        <w:pStyle w:val="ListParagraph"/>
        <w:numPr>
          <w:ilvl w:val="0"/>
          <w:numId w:val="324"/>
        </w:numPr>
        <w:tabs>
          <w:tab w:pos="1676" w:val="left" w:leader="none"/>
        </w:tabs>
        <w:spacing w:line="249" w:lineRule="auto" w:before="121" w:after="0"/>
        <w:ind w:left="1074" w:right="1272" w:firstLine="340"/>
        <w:jc w:val="both"/>
        <w:rPr>
          <w:sz w:val="20"/>
        </w:rPr>
      </w:pPr>
      <w:r>
        <w:rPr>
          <w:sz w:val="20"/>
        </w:rPr>
        <w:t>Las entidades aseguradoras serán responsables frente a la Administración por las infracciones previstas en el título I cometidas por sus agentes de seguros exclusivos, incluidos los operadores de banca-seguros exclusivos, sin perjuicio de la responsabilidad administrativa que, en su caso, se pueda atribuir a los</w:t>
      </w:r>
      <w:r>
        <w:rPr>
          <w:spacing w:val="-12"/>
          <w:sz w:val="20"/>
        </w:rPr>
        <w:t> </w:t>
      </w:r>
      <w:r>
        <w:rPr>
          <w:sz w:val="20"/>
        </w:rPr>
        <w:t>mismos.</w:t>
      </w:r>
    </w:p>
    <w:p>
      <w:pPr>
        <w:pStyle w:val="ListParagraph"/>
        <w:numPr>
          <w:ilvl w:val="0"/>
          <w:numId w:val="324"/>
        </w:numPr>
        <w:tabs>
          <w:tab w:pos="1649" w:val="left" w:leader="none"/>
        </w:tabs>
        <w:spacing w:line="249" w:lineRule="auto" w:before="4" w:after="0"/>
        <w:ind w:left="1074" w:right="1274" w:firstLine="340"/>
        <w:jc w:val="both"/>
        <w:rPr>
          <w:sz w:val="20"/>
        </w:rPr>
      </w:pPr>
      <w:r>
        <w:rPr>
          <w:sz w:val="20"/>
        </w:rPr>
        <w:t>Los mediadores de seguros que en el ejercicio de su actividad de distribución utilicen los servicios de los colaboradores externos a que se refiere el artículo 137, serán responsables frente a la Administración por la actuación de estos</w:t>
      </w:r>
      <w:r>
        <w:rPr>
          <w:spacing w:val="-13"/>
          <w:sz w:val="20"/>
        </w:rPr>
        <w:t> </w:t>
      </w:r>
      <w:r>
        <w:rPr>
          <w:sz w:val="20"/>
        </w:rPr>
        <w:t>últimos.</w:t>
      </w:r>
    </w:p>
    <w:p>
      <w:pPr>
        <w:pStyle w:val="BodyText"/>
        <w:spacing w:before="4"/>
        <w:ind w:left="0" w:firstLine="0"/>
        <w:jc w:val="left"/>
      </w:pPr>
    </w:p>
    <w:p>
      <w:pPr>
        <w:spacing w:before="1"/>
        <w:ind w:left="1074" w:right="0" w:firstLine="0"/>
        <w:jc w:val="left"/>
        <w:rPr>
          <w:i/>
          <w:sz w:val="20"/>
        </w:rPr>
      </w:pPr>
      <w:bookmarkStart w:name="Artículo 192. Infracciones." w:id="319"/>
      <w:bookmarkEnd w:id="319"/>
      <w:r>
        <w:rPr/>
      </w:r>
      <w:r>
        <w:rPr>
          <w:b/>
          <w:sz w:val="20"/>
        </w:rPr>
        <w:t>Artículo 192.</w:t>
      </w:r>
      <w:r>
        <w:rPr>
          <w:b/>
          <w:spacing w:val="54"/>
          <w:sz w:val="20"/>
        </w:rPr>
        <w:t> </w:t>
      </w:r>
      <w:r>
        <w:rPr>
          <w:i/>
          <w:sz w:val="20"/>
        </w:rPr>
        <w:t>Infracciones.</w:t>
      </w:r>
    </w:p>
    <w:p>
      <w:pPr>
        <w:pStyle w:val="ListParagraph"/>
        <w:numPr>
          <w:ilvl w:val="0"/>
          <w:numId w:val="326"/>
        </w:numPr>
        <w:tabs>
          <w:tab w:pos="1643" w:val="left" w:leader="none"/>
        </w:tabs>
        <w:spacing w:line="249" w:lineRule="auto" w:before="117" w:after="0"/>
        <w:ind w:left="1074" w:right="1273" w:firstLine="340"/>
        <w:jc w:val="left"/>
        <w:rPr>
          <w:sz w:val="20"/>
        </w:rPr>
      </w:pPr>
      <w:r>
        <w:rPr>
          <w:sz w:val="20"/>
        </w:rPr>
        <w:t>Las infracciones de normas reguladoras de la distribución de seguros y reaseguros se clasifican en muy graves, graves y</w:t>
      </w:r>
      <w:r>
        <w:rPr>
          <w:spacing w:val="-5"/>
          <w:sz w:val="20"/>
        </w:rPr>
        <w:t> </w:t>
      </w:r>
      <w:r>
        <w:rPr>
          <w:sz w:val="20"/>
        </w:rPr>
        <w:t>leves.</w:t>
      </w:r>
    </w:p>
    <w:p>
      <w:pPr>
        <w:pStyle w:val="ListParagraph"/>
        <w:numPr>
          <w:ilvl w:val="0"/>
          <w:numId w:val="326"/>
        </w:numPr>
        <w:tabs>
          <w:tab w:pos="1637" w:val="left" w:leader="none"/>
        </w:tabs>
        <w:spacing w:line="240" w:lineRule="auto" w:before="2" w:after="0"/>
        <w:ind w:left="1636" w:right="0" w:hanging="223"/>
        <w:jc w:val="left"/>
        <w:rPr>
          <w:sz w:val="20"/>
        </w:rPr>
      </w:pPr>
      <w:r>
        <w:rPr>
          <w:sz w:val="20"/>
        </w:rPr>
        <w:t>Tendrán la consideración de infracciones muy</w:t>
      </w:r>
      <w:r>
        <w:rPr>
          <w:spacing w:val="-5"/>
          <w:sz w:val="20"/>
        </w:rPr>
        <w:t> </w:t>
      </w:r>
      <w:r>
        <w:rPr>
          <w:sz w:val="20"/>
        </w:rPr>
        <w:t>graves:</w:t>
      </w:r>
    </w:p>
    <w:p>
      <w:pPr>
        <w:pStyle w:val="ListParagraph"/>
        <w:numPr>
          <w:ilvl w:val="0"/>
          <w:numId w:val="327"/>
        </w:numPr>
        <w:tabs>
          <w:tab w:pos="1678" w:val="left" w:leader="none"/>
        </w:tabs>
        <w:spacing w:line="249" w:lineRule="auto" w:before="130" w:after="0"/>
        <w:ind w:left="1074" w:right="1275" w:firstLine="340"/>
        <w:jc w:val="both"/>
        <w:rPr>
          <w:sz w:val="20"/>
        </w:rPr>
      </w:pPr>
      <w:r>
        <w:rPr>
          <w:sz w:val="20"/>
        </w:rPr>
        <w:t>El ejercicio de la actividad de distribución sin estar inscrito como distribuidor en un registro legalmente admisible al efecto, con arreglo a la normativa del Estado miembro de origen, o excediéndose de las actividades a que le habilita la inscripción, así como el ejercicio de dicha actividad por persona interpuesta. Se exceptúan los supuestos previstos en el artículo</w:t>
      </w:r>
      <w:r>
        <w:rPr>
          <w:spacing w:val="-4"/>
          <w:sz w:val="20"/>
        </w:rPr>
        <w:t> </w:t>
      </w:r>
      <w:r>
        <w:rPr>
          <w:sz w:val="20"/>
        </w:rPr>
        <w:t>130.2.</w:t>
      </w:r>
    </w:p>
    <w:p>
      <w:pPr>
        <w:pStyle w:val="ListParagraph"/>
        <w:numPr>
          <w:ilvl w:val="0"/>
          <w:numId w:val="327"/>
        </w:numPr>
        <w:tabs>
          <w:tab w:pos="1698" w:val="left" w:leader="none"/>
        </w:tabs>
        <w:spacing w:line="249" w:lineRule="auto" w:before="4" w:after="0"/>
        <w:ind w:left="1074" w:right="1273" w:firstLine="340"/>
        <w:jc w:val="both"/>
        <w:rPr>
          <w:sz w:val="20"/>
        </w:rPr>
      </w:pPr>
      <w:r>
        <w:rPr>
          <w:sz w:val="20"/>
        </w:rPr>
        <w:t>La aceptación por parte de las entidades aseguradoras o reaseguradoras de los servicios de distribución proporcionados por personas que no estén inscritas en un registro legalmente admisible al efecto con arreglo a la normativa del Estado miembro de origen, o excediéndose de las actividades a que le habilita la inscripción. Se exceptúan los supuestos previstos en el artículo</w:t>
      </w:r>
      <w:r>
        <w:rPr>
          <w:spacing w:val="-5"/>
          <w:sz w:val="20"/>
        </w:rPr>
        <w:t> </w:t>
      </w:r>
      <w:r>
        <w:rPr>
          <w:sz w:val="20"/>
        </w:rPr>
        <w:t>130.2.</w:t>
      </w:r>
    </w:p>
    <w:p>
      <w:pPr>
        <w:pStyle w:val="ListParagraph"/>
        <w:numPr>
          <w:ilvl w:val="0"/>
          <w:numId w:val="327"/>
        </w:numPr>
        <w:tabs>
          <w:tab w:pos="1720" w:val="left" w:leader="none"/>
        </w:tabs>
        <w:spacing w:line="249" w:lineRule="auto" w:before="4" w:after="0"/>
        <w:ind w:left="1074" w:right="1274" w:firstLine="340"/>
        <w:jc w:val="both"/>
        <w:rPr>
          <w:sz w:val="20"/>
        </w:rPr>
      </w:pPr>
      <w:r>
        <w:rPr>
          <w:sz w:val="20"/>
        </w:rPr>
        <w:t>La realización reiterada de actos u operaciones prohibidas por normas sobre distribución de seguros y de reaseguros con rango de Ley o con incumplimiento de los requisitos establecidos en</w:t>
      </w:r>
      <w:r>
        <w:rPr>
          <w:spacing w:val="-3"/>
          <w:sz w:val="20"/>
        </w:rPr>
        <w:t> </w:t>
      </w:r>
      <w:r>
        <w:rPr>
          <w:sz w:val="20"/>
        </w:rPr>
        <w:t>ellas.</w:t>
      </w:r>
    </w:p>
    <w:p>
      <w:pPr>
        <w:pStyle w:val="ListParagraph"/>
        <w:numPr>
          <w:ilvl w:val="0"/>
          <w:numId w:val="327"/>
        </w:numPr>
        <w:tabs>
          <w:tab w:pos="1654" w:val="left" w:leader="none"/>
        </w:tabs>
        <w:spacing w:line="249" w:lineRule="auto" w:before="3" w:after="0"/>
        <w:ind w:left="1074" w:right="1276" w:firstLine="340"/>
        <w:jc w:val="both"/>
        <w:rPr>
          <w:sz w:val="20"/>
        </w:rPr>
      </w:pPr>
      <w:r>
        <w:rPr>
          <w:sz w:val="20"/>
        </w:rPr>
        <w:t>El incumplimiento de la obligación de someter sus cuentas anuales a una auditoría de cuentas conforme a la legislación vigente en la</w:t>
      </w:r>
      <w:r>
        <w:rPr>
          <w:spacing w:val="-7"/>
          <w:sz w:val="20"/>
        </w:rPr>
        <w:t> </w:t>
      </w:r>
      <w:r>
        <w:rPr>
          <w:sz w:val="20"/>
        </w:rPr>
        <w:t>materia.</w:t>
      </w:r>
    </w:p>
    <w:p>
      <w:pPr>
        <w:pStyle w:val="ListParagraph"/>
        <w:numPr>
          <w:ilvl w:val="0"/>
          <w:numId w:val="327"/>
        </w:numPr>
        <w:tabs>
          <w:tab w:pos="1732" w:val="left" w:leader="none"/>
        </w:tabs>
        <w:spacing w:line="249" w:lineRule="auto" w:before="1" w:after="0"/>
        <w:ind w:left="1074" w:right="1274" w:firstLine="340"/>
        <w:jc w:val="both"/>
        <w:rPr>
          <w:sz w:val="20"/>
        </w:rPr>
      </w:pPr>
      <w:r>
        <w:rPr>
          <w:sz w:val="20"/>
        </w:rPr>
        <w:t>La excusa, negativa o resistencia a la actuación inspectora, en los términos establecidos en el artículo 170 del Real Decreto 1060/2015, de 20 de noviembre, siempre que medie requerimiento expreso y por escrito al</w:t>
      </w:r>
      <w:r>
        <w:rPr>
          <w:spacing w:val="-8"/>
          <w:sz w:val="20"/>
        </w:rPr>
        <w:t> </w:t>
      </w:r>
      <w:r>
        <w:rPr>
          <w:sz w:val="20"/>
        </w:rPr>
        <w:t>respecto.</w:t>
      </w:r>
    </w:p>
    <w:p>
      <w:pPr>
        <w:pStyle w:val="ListParagraph"/>
        <w:numPr>
          <w:ilvl w:val="0"/>
          <w:numId w:val="327"/>
        </w:numPr>
        <w:tabs>
          <w:tab w:pos="1631" w:val="left" w:leader="none"/>
        </w:tabs>
        <w:spacing w:line="249" w:lineRule="auto" w:before="3" w:after="0"/>
        <w:ind w:left="1074" w:right="1273" w:firstLine="340"/>
        <w:jc w:val="both"/>
        <w:rPr>
          <w:sz w:val="20"/>
        </w:rPr>
      </w:pPr>
      <w:r>
        <w:rPr>
          <w:sz w:val="20"/>
        </w:rPr>
        <w:t>La realización de actos fraudulentos o la utilización de personas físicas o jurídicas interpuestas para conseguir un resultado cuya obtención directa implicaría la comisión de, al menos, una infracción</w:t>
      </w:r>
      <w:r>
        <w:rPr>
          <w:spacing w:val="-3"/>
          <w:sz w:val="20"/>
        </w:rPr>
        <w:t> </w:t>
      </w:r>
      <w:r>
        <w:rPr>
          <w:sz w:val="20"/>
        </w:rPr>
        <w:t>grave.</w:t>
      </w:r>
    </w:p>
    <w:p>
      <w:pPr>
        <w:pStyle w:val="ListParagraph"/>
        <w:numPr>
          <w:ilvl w:val="0"/>
          <w:numId w:val="327"/>
        </w:numPr>
        <w:tabs>
          <w:tab w:pos="1688" w:val="left" w:leader="none"/>
        </w:tabs>
        <w:spacing w:line="249" w:lineRule="auto" w:before="2" w:after="0"/>
        <w:ind w:left="1074" w:right="1273" w:firstLine="340"/>
        <w:jc w:val="both"/>
        <w:rPr>
          <w:sz w:val="20"/>
        </w:rPr>
      </w:pPr>
      <w:r>
        <w:rPr>
          <w:sz w:val="20"/>
        </w:rPr>
        <w:t>La comisión de infracción grave, cuando durante los cinco años anteriores a esta hubiera sido impuesta una sanción firme por el mismo tipo de</w:t>
      </w:r>
      <w:r>
        <w:rPr>
          <w:spacing w:val="-14"/>
          <w:sz w:val="20"/>
        </w:rPr>
        <w:t> </w:t>
      </w:r>
      <w:r>
        <w:rPr>
          <w:sz w:val="20"/>
        </w:rPr>
        <w:t>infracción.</w:t>
      </w:r>
    </w:p>
    <w:p>
      <w:pPr>
        <w:pStyle w:val="ListParagraph"/>
        <w:numPr>
          <w:ilvl w:val="0"/>
          <w:numId w:val="327"/>
        </w:numPr>
        <w:tabs>
          <w:tab w:pos="1657" w:val="left" w:leader="none"/>
        </w:tabs>
        <w:spacing w:line="249" w:lineRule="auto" w:before="2" w:after="0"/>
        <w:ind w:left="1074" w:right="1274" w:firstLine="340"/>
        <w:jc w:val="both"/>
        <w:rPr>
          <w:sz w:val="20"/>
        </w:rPr>
      </w:pPr>
      <w:r>
        <w:rPr>
          <w:sz w:val="20"/>
        </w:rPr>
        <w:t>El reiterado incumplimiento de las resoluciones emanadas de la Dirección General de Seguros y Fondos de</w:t>
      </w:r>
      <w:r>
        <w:rPr>
          <w:spacing w:val="-2"/>
          <w:sz w:val="20"/>
        </w:rPr>
        <w:t> </w:t>
      </w:r>
      <w:r>
        <w:rPr>
          <w:sz w:val="20"/>
        </w:rPr>
        <w:t>Pensiones.</w:t>
      </w:r>
    </w:p>
    <w:p>
      <w:pPr>
        <w:pStyle w:val="BodyText"/>
        <w:spacing w:line="249" w:lineRule="auto" w:before="1"/>
        <w:ind w:right="1273"/>
      </w:pPr>
      <w:r>
        <w:rPr/>
        <w:t>A estos efectos, se entiende que el incumplimiento tiene el carácter de reiterado cuando se incumpla una resolución y no se atienda en el plazo previsto en el propio requerimiento o en su defecto en el plazo de 1 mes al requerimiento que al efecto se formule por la Dirección General de Seguros y Fondos de Pensiones.</w:t>
      </w:r>
    </w:p>
    <w:p>
      <w:pPr>
        <w:pStyle w:val="ListParagraph"/>
        <w:numPr>
          <w:ilvl w:val="0"/>
          <w:numId w:val="327"/>
        </w:numPr>
        <w:tabs>
          <w:tab w:pos="1607" w:val="left" w:leader="none"/>
        </w:tabs>
        <w:spacing w:line="249" w:lineRule="auto" w:before="4" w:after="0"/>
        <w:ind w:left="1074" w:right="1274" w:firstLine="340"/>
        <w:jc w:val="both"/>
        <w:rPr>
          <w:sz w:val="20"/>
        </w:rPr>
      </w:pPr>
      <w:r>
        <w:rPr>
          <w:sz w:val="20"/>
        </w:rPr>
        <w:t>La adquisición o el incremento de una participación significativa en una sociedad de correduría de seguros u operador de banca-seguros incumpliendo lo dispuesto en el artículo 160.</w:t>
      </w:r>
    </w:p>
    <w:p>
      <w:pPr>
        <w:pStyle w:val="ListParagraph"/>
        <w:numPr>
          <w:ilvl w:val="0"/>
          <w:numId w:val="327"/>
        </w:numPr>
        <w:tabs>
          <w:tab w:pos="1623" w:val="left" w:leader="none"/>
        </w:tabs>
        <w:spacing w:line="249" w:lineRule="auto" w:before="2" w:after="0"/>
        <w:ind w:left="1074" w:right="1273" w:firstLine="340"/>
        <w:jc w:val="both"/>
        <w:rPr>
          <w:sz w:val="20"/>
        </w:rPr>
      </w:pPr>
      <w:r>
        <w:rPr>
          <w:sz w:val="20"/>
        </w:rPr>
        <w:t>La imposición directa o indirecta de la celebración de un contrato de seguro o de reaseguro, así como la información inexacta o inadecuada a los tomadores de seguro, a los asegurados, a los beneficiarios de las pólizas de seguro o, en su caso, a las entidades aseguradoras, siempre que por el número de afectados o por la importancia de la información tal incumplimiento pueda estimarse especialmente</w:t>
      </w:r>
      <w:r>
        <w:rPr>
          <w:spacing w:val="-13"/>
          <w:sz w:val="20"/>
        </w:rPr>
        <w:t> </w:t>
      </w:r>
      <w:r>
        <w:rPr>
          <w:sz w:val="20"/>
        </w:rPr>
        <w:t>relevante.</w:t>
      </w:r>
    </w:p>
    <w:p>
      <w:pPr>
        <w:pStyle w:val="ListParagraph"/>
        <w:numPr>
          <w:ilvl w:val="0"/>
          <w:numId w:val="327"/>
        </w:numPr>
        <w:tabs>
          <w:tab w:pos="1707" w:val="left" w:leader="none"/>
        </w:tabs>
        <w:spacing w:line="249" w:lineRule="auto" w:before="4" w:after="0"/>
        <w:ind w:left="1074" w:right="1273" w:firstLine="340"/>
        <w:jc w:val="both"/>
        <w:rPr>
          <w:sz w:val="20"/>
        </w:rPr>
      </w:pPr>
      <w:r>
        <w:rPr>
          <w:sz w:val="20"/>
        </w:rPr>
        <w:t>Respecto de la distribución de productos de inversión basados en seguros, el incumplimiento de cualquiera de las obligaciones de información y normas de conducta previstas en la sección 6.ª del capítulo III, así como de las previstas en el artículo 24.1 del Reglamento (UE) N.º 1286/2014, del Parlamento Europeo y de Consejo, de 26 de</w:t>
      </w:r>
      <w:r>
        <w:rPr>
          <w:spacing w:val="-14"/>
          <w:sz w:val="20"/>
        </w:rPr>
        <w:t> </w:t>
      </w:r>
      <w:r>
        <w:rPr>
          <w:sz w:val="20"/>
        </w:rPr>
        <w:t>noviembre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hanging="1"/>
      </w:pPr>
      <w:r>
        <w:rPr/>
        <w:t>de 2014, sobre los documentos de datos fundamentales relativos a los productos de inversión minorista vinculados y los productos de inversión basados en</w:t>
      </w:r>
      <w:r>
        <w:rPr>
          <w:spacing w:val="-18"/>
        </w:rPr>
        <w:t> </w:t>
      </w:r>
      <w:r>
        <w:rPr/>
        <w:t>seguros.</w:t>
      </w:r>
    </w:p>
    <w:p>
      <w:pPr>
        <w:pStyle w:val="ListParagraph"/>
        <w:numPr>
          <w:ilvl w:val="0"/>
          <w:numId w:val="327"/>
        </w:numPr>
        <w:tabs>
          <w:tab w:pos="1599" w:val="left" w:leader="none"/>
        </w:tabs>
        <w:spacing w:line="249" w:lineRule="auto" w:before="1" w:after="0"/>
        <w:ind w:left="1074" w:right="1274" w:firstLine="340"/>
        <w:jc w:val="both"/>
        <w:rPr>
          <w:sz w:val="20"/>
        </w:rPr>
      </w:pPr>
      <w:r>
        <w:rPr>
          <w:sz w:val="20"/>
        </w:rPr>
        <w:t>El incumplimiento reiterado de las obligaciones de información y normas de conducta previstas en la sección 6.ª del capítulo III, cuando por la importancia de la información tal incumplimiento pueda estimarse especialmente relevante, respecto de productos de seguros distintos de los contemplados en la letra</w:t>
      </w:r>
      <w:r>
        <w:rPr>
          <w:spacing w:val="-8"/>
          <w:sz w:val="20"/>
        </w:rPr>
        <w:t> </w:t>
      </w:r>
      <w:r>
        <w:rPr>
          <w:sz w:val="20"/>
        </w:rPr>
        <w:t>k).</w:t>
      </w:r>
    </w:p>
    <w:p>
      <w:pPr>
        <w:pStyle w:val="ListParagraph"/>
        <w:numPr>
          <w:ilvl w:val="0"/>
          <w:numId w:val="327"/>
        </w:numPr>
        <w:tabs>
          <w:tab w:pos="1712" w:val="left" w:leader="none"/>
        </w:tabs>
        <w:spacing w:line="249" w:lineRule="auto" w:before="4" w:after="0"/>
        <w:ind w:left="1074" w:right="1275" w:firstLine="340"/>
        <w:jc w:val="both"/>
        <w:rPr>
          <w:sz w:val="20"/>
        </w:rPr>
      </w:pPr>
      <w:r>
        <w:rPr>
          <w:sz w:val="20"/>
        </w:rPr>
        <w:t>En el caso de los corredores de seguros, el incumplimiento reiterado de la obligación de realizar un asesoramiento basado en un análisis objetivo y</w:t>
      </w:r>
      <w:r>
        <w:rPr>
          <w:spacing w:val="-22"/>
          <w:sz w:val="20"/>
        </w:rPr>
        <w:t> </w:t>
      </w:r>
      <w:r>
        <w:rPr>
          <w:sz w:val="20"/>
        </w:rPr>
        <w:t>personalizado.</w:t>
      </w:r>
    </w:p>
    <w:p>
      <w:pPr>
        <w:pStyle w:val="ListParagraph"/>
        <w:numPr>
          <w:ilvl w:val="0"/>
          <w:numId w:val="327"/>
        </w:numPr>
        <w:tabs>
          <w:tab w:pos="1688" w:val="left" w:leader="none"/>
        </w:tabs>
        <w:spacing w:line="249" w:lineRule="auto" w:before="1" w:after="0"/>
        <w:ind w:left="1074" w:right="1274" w:firstLine="340"/>
        <w:jc w:val="both"/>
        <w:rPr>
          <w:sz w:val="20"/>
        </w:rPr>
      </w:pPr>
      <w:r>
        <w:rPr>
          <w:sz w:val="20"/>
        </w:rPr>
        <w:t>La distribución de seguros o de reaseguros en favor de entidades no autorizadas legalmente para operar en España, o excediéndose de los términos para los que están autorizadas.</w:t>
      </w:r>
    </w:p>
    <w:p>
      <w:pPr>
        <w:pStyle w:val="BodyText"/>
        <w:spacing w:line="249" w:lineRule="auto" w:before="3"/>
        <w:ind w:right="1273"/>
      </w:pPr>
      <w:r>
        <w:rPr/>
        <w:t>ñ) La utilización de denominaciones propias de los agentes de seguros y operadores de banca-seguros u otras que puedan inducir a confusión con ellas por personas físicas o jurídicas que no hayan celebrado un contrato de agencia de seguros, las de los corredores de seguros y las de corredores de reaseguros, u otras que puedan inducir a confusión por personas físicas o jurídicas que no se encuentren habilitadas legalmente para ejercer dichas actividades.</w:t>
      </w:r>
    </w:p>
    <w:p>
      <w:pPr>
        <w:pStyle w:val="ListParagraph"/>
        <w:numPr>
          <w:ilvl w:val="0"/>
          <w:numId w:val="327"/>
        </w:numPr>
        <w:tabs>
          <w:tab w:pos="1699" w:val="left" w:leader="none"/>
        </w:tabs>
        <w:spacing w:line="249" w:lineRule="auto" w:before="5" w:after="0"/>
        <w:ind w:left="1074" w:right="1274" w:firstLine="340"/>
        <w:jc w:val="both"/>
        <w:rPr>
          <w:sz w:val="20"/>
        </w:rPr>
      </w:pPr>
      <w:r>
        <w:rPr>
          <w:sz w:val="20"/>
        </w:rPr>
        <w:t>La utilización por mediadores de seguros o de reaseguros de denominaciones y expresiones que estén reservadas a las entidades aseguradoras o reaseguradoras privadas o que puedan inducir a confusión con ellas, sin perjuicio de lo establecido en los artículos 144, 153 y</w:t>
      </w:r>
      <w:r>
        <w:rPr>
          <w:spacing w:val="-3"/>
          <w:sz w:val="20"/>
        </w:rPr>
        <w:t> </w:t>
      </w:r>
      <w:r>
        <w:rPr>
          <w:sz w:val="20"/>
        </w:rPr>
        <w:t>158.</w:t>
      </w:r>
    </w:p>
    <w:p>
      <w:pPr>
        <w:pStyle w:val="ListParagraph"/>
        <w:numPr>
          <w:ilvl w:val="0"/>
          <w:numId w:val="327"/>
        </w:numPr>
        <w:tabs>
          <w:tab w:pos="1696" w:val="left" w:leader="none"/>
        </w:tabs>
        <w:spacing w:line="249" w:lineRule="auto" w:before="3" w:after="0"/>
        <w:ind w:left="1074" w:right="1274" w:firstLine="340"/>
        <w:jc w:val="both"/>
        <w:rPr>
          <w:sz w:val="20"/>
        </w:rPr>
      </w:pPr>
      <w:r>
        <w:rPr>
          <w:sz w:val="20"/>
        </w:rPr>
        <w:t>La realización reiterada de prácticas abusivas que perjudiquen el derecho de los tomadores de seguros, de los asegurados, de los beneficiarios de pólizas o, en su caso, de las entidades</w:t>
      </w:r>
      <w:r>
        <w:rPr>
          <w:spacing w:val="-3"/>
          <w:sz w:val="20"/>
        </w:rPr>
        <w:t> </w:t>
      </w:r>
      <w:r>
        <w:rPr>
          <w:sz w:val="20"/>
        </w:rPr>
        <w:t>aseguradoras.</w:t>
      </w:r>
    </w:p>
    <w:p>
      <w:pPr>
        <w:pStyle w:val="ListParagraph"/>
        <w:numPr>
          <w:ilvl w:val="0"/>
          <w:numId w:val="327"/>
        </w:numPr>
        <w:tabs>
          <w:tab w:pos="1709" w:val="left" w:leader="none"/>
        </w:tabs>
        <w:spacing w:line="249" w:lineRule="auto" w:before="2" w:after="0"/>
        <w:ind w:left="1074" w:right="1273" w:firstLine="340"/>
        <w:jc w:val="both"/>
        <w:rPr>
          <w:sz w:val="20"/>
        </w:rPr>
      </w:pPr>
      <w:r>
        <w:rPr>
          <w:sz w:val="20"/>
        </w:rPr>
        <w:t>Carecer de la contabilidad y de los libros y registros exigidos en la legislación mercantil aplicable y en las normas sobre distribución de seguros y de reaseguros, o la llevanza de estos con irregularidades esenciales que impidan conocer el alcance y naturaleza de las operaciones realizadas, así como no disponer de cuentas de clientes completamente separadas del resto de recursos económicos en los términos del artículo 136.4.</w:t>
      </w:r>
    </w:p>
    <w:p>
      <w:pPr>
        <w:pStyle w:val="ListParagraph"/>
        <w:numPr>
          <w:ilvl w:val="0"/>
          <w:numId w:val="327"/>
        </w:numPr>
        <w:tabs>
          <w:tab w:pos="1635" w:val="left" w:leader="none"/>
        </w:tabs>
        <w:spacing w:line="249" w:lineRule="auto" w:before="5" w:after="0"/>
        <w:ind w:left="1074" w:right="1273" w:firstLine="340"/>
        <w:jc w:val="both"/>
        <w:rPr>
          <w:sz w:val="20"/>
        </w:rPr>
      </w:pPr>
      <w:r>
        <w:rPr>
          <w:sz w:val="20"/>
        </w:rPr>
        <w:t>La falta de remisión a la Dirección General de Seguros y Fondos de Pensiones de cuantos datos o documentos deban remitirse, mediante su presentación permanente o periódica, o mediante la atención de requerimientos individualizados, así como su falta de veracidad cuando con ello se dificulte la apreciación del alcance y naturaleza de las operaciones realizadas. Se entenderá que hay falta de remisión cuando no se produzca dentro del plazo concedido al efecto por la Dirección General de Seguros y Fondos de Pensiones al recordar por escrito la obligación o reiterar el requerimiento</w:t>
      </w:r>
      <w:r>
        <w:rPr>
          <w:spacing w:val="-28"/>
          <w:sz w:val="20"/>
        </w:rPr>
        <w:t> </w:t>
      </w:r>
      <w:r>
        <w:rPr>
          <w:sz w:val="20"/>
        </w:rPr>
        <w:t>individualizado.</w:t>
      </w:r>
    </w:p>
    <w:p>
      <w:pPr>
        <w:pStyle w:val="ListParagraph"/>
        <w:numPr>
          <w:ilvl w:val="0"/>
          <w:numId w:val="327"/>
        </w:numPr>
        <w:tabs>
          <w:tab w:pos="1711" w:val="left" w:leader="none"/>
        </w:tabs>
        <w:spacing w:line="249" w:lineRule="auto" w:before="6" w:after="0"/>
        <w:ind w:left="1074" w:right="1273" w:firstLine="340"/>
        <w:jc w:val="both"/>
        <w:rPr>
          <w:sz w:val="20"/>
        </w:rPr>
      </w:pPr>
      <w:r>
        <w:rPr>
          <w:sz w:val="20"/>
        </w:rPr>
        <w:t>La actuación concertada de varios agentes de seguros exclusivos de distintas entidades aseguradoras en condiciones tales que el resultado conjunto de sus actividades suponga el ejercicio de hecho de una actividad de distribución como corredor de seguros o agencia</w:t>
      </w:r>
      <w:r>
        <w:rPr>
          <w:spacing w:val="-2"/>
          <w:sz w:val="20"/>
        </w:rPr>
        <w:t> </w:t>
      </w:r>
      <w:r>
        <w:rPr>
          <w:sz w:val="20"/>
        </w:rPr>
        <w:t>vinculada.</w:t>
      </w:r>
    </w:p>
    <w:p>
      <w:pPr>
        <w:pStyle w:val="ListParagraph"/>
        <w:numPr>
          <w:ilvl w:val="0"/>
          <w:numId w:val="327"/>
        </w:numPr>
        <w:tabs>
          <w:tab w:pos="1596" w:val="left" w:leader="none"/>
        </w:tabs>
        <w:spacing w:line="249" w:lineRule="auto" w:before="3" w:after="0"/>
        <w:ind w:left="1074" w:right="1273" w:firstLine="340"/>
        <w:jc w:val="both"/>
        <w:rPr>
          <w:sz w:val="20"/>
        </w:rPr>
      </w:pPr>
      <w:r>
        <w:rPr>
          <w:sz w:val="20"/>
        </w:rPr>
        <w:t>El retraso o la falta de remisión por el corredor de seguros a la entidad aseguradora de las cantidades entregadas por el tomador del seguro en concepto de pago de la prima cuando, con arreglo a lo previsto en el artículo 156.4, dicha conducta deje al asegurado sin cobertura del seguro o le cause un</w:t>
      </w:r>
      <w:r>
        <w:rPr>
          <w:spacing w:val="-6"/>
          <w:sz w:val="20"/>
        </w:rPr>
        <w:t> </w:t>
      </w:r>
      <w:r>
        <w:rPr>
          <w:sz w:val="20"/>
        </w:rPr>
        <w:t>perjuicio.</w:t>
      </w:r>
    </w:p>
    <w:p>
      <w:pPr>
        <w:pStyle w:val="ListParagraph"/>
        <w:numPr>
          <w:ilvl w:val="0"/>
          <w:numId w:val="327"/>
        </w:numPr>
        <w:tabs>
          <w:tab w:pos="1696" w:val="left" w:leader="none"/>
        </w:tabs>
        <w:spacing w:line="249" w:lineRule="auto" w:before="4" w:after="0"/>
        <w:ind w:left="1074" w:right="1274" w:firstLine="340"/>
        <w:jc w:val="both"/>
        <w:rPr>
          <w:sz w:val="20"/>
        </w:rPr>
      </w:pPr>
      <w:r>
        <w:rPr>
          <w:sz w:val="20"/>
        </w:rPr>
        <w:t>El incumplimiento de las medidas de control especial adoptadas por la Dirección General de Seguros y Fondos de Pensiones conforme al artículo</w:t>
      </w:r>
      <w:r>
        <w:rPr>
          <w:spacing w:val="-7"/>
          <w:sz w:val="20"/>
        </w:rPr>
        <w:t> </w:t>
      </w:r>
      <w:r>
        <w:rPr>
          <w:sz w:val="20"/>
        </w:rPr>
        <w:t>200.</w:t>
      </w:r>
    </w:p>
    <w:p>
      <w:pPr>
        <w:pStyle w:val="ListParagraph"/>
        <w:numPr>
          <w:ilvl w:val="0"/>
          <w:numId w:val="327"/>
        </w:numPr>
        <w:tabs>
          <w:tab w:pos="1637" w:val="left" w:leader="none"/>
        </w:tabs>
        <w:spacing w:line="240" w:lineRule="auto" w:before="1" w:after="0"/>
        <w:ind w:left="1636" w:right="0" w:hanging="223"/>
        <w:jc w:val="both"/>
        <w:rPr>
          <w:sz w:val="20"/>
        </w:rPr>
      </w:pPr>
      <w:r>
        <w:rPr>
          <w:sz w:val="20"/>
        </w:rPr>
        <w:t>La falta de autorización del cliente para la celebración de un contrato de</w:t>
      </w:r>
      <w:r>
        <w:rPr>
          <w:spacing w:val="-15"/>
          <w:sz w:val="20"/>
        </w:rPr>
        <w:t> </w:t>
      </w:r>
      <w:r>
        <w:rPr>
          <w:sz w:val="20"/>
        </w:rPr>
        <w:t>seguro.</w:t>
      </w:r>
    </w:p>
    <w:p>
      <w:pPr>
        <w:pStyle w:val="ListParagraph"/>
        <w:numPr>
          <w:ilvl w:val="0"/>
          <w:numId w:val="327"/>
        </w:numPr>
        <w:tabs>
          <w:tab w:pos="1717" w:val="left" w:leader="none"/>
        </w:tabs>
        <w:spacing w:line="249" w:lineRule="auto" w:before="10" w:after="0"/>
        <w:ind w:left="1074" w:right="1274" w:firstLine="340"/>
        <w:jc w:val="both"/>
        <w:rPr>
          <w:sz w:val="20"/>
        </w:rPr>
      </w:pPr>
      <w:r>
        <w:rPr>
          <w:sz w:val="20"/>
        </w:rPr>
        <w:t>La inscripción en el registro administrativo previsto en el artículo 133 en virtud de declaraciones falsas o por cualquier otro medio</w:t>
      </w:r>
      <w:r>
        <w:rPr>
          <w:spacing w:val="-7"/>
          <w:sz w:val="20"/>
        </w:rPr>
        <w:t> </w:t>
      </w:r>
      <w:r>
        <w:rPr>
          <w:sz w:val="20"/>
        </w:rPr>
        <w:t>irregular.</w:t>
      </w:r>
    </w:p>
    <w:p>
      <w:pPr>
        <w:pStyle w:val="ListParagraph"/>
        <w:numPr>
          <w:ilvl w:val="0"/>
          <w:numId w:val="327"/>
        </w:numPr>
        <w:tabs>
          <w:tab w:pos="1666" w:val="left" w:leader="none"/>
        </w:tabs>
        <w:spacing w:line="249" w:lineRule="auto" w:before="2" w:after="0"/>
        <w:ind w:left="1074" w:right="1272" w:firstLine="340"/>
        <w:jc w:val="both"/>
        <w:rPr>
          <w:sz w:val="20"/>
        </w:rPr>
      </w:pPr>
      <w:r>
        <w:rPr>
          <w:sz w:val="20"/>
        </w:rPr>
        <w:t>La falta de comunicación por parte del mediador de seguros, al cliente o al tercero perjudicado, de la identidad de las entidades aseguradoras que asumen su responsabilidad civil profesional o, en su caso, de la identidad de la entidad aseguradora con la que se concierte el seguro de responsabilidad civil profesional o de la entidad que otorga garantía equivalente, así como de aquel que sea el garante de su capacidad</w:t>
      </w:r>
      <w:r>
        <w:rPr>
          <w:spacing w:val="-18"/>
          <w:sz w:val="20"/>
        </w:rPr>
        <w:t> </w:t>
      </w:r>
      <w:r>
        <w:rPr>
          <w:sz w:val="20"/>
        </w:rPr>
        <w:t>financiera.</w:t>
      </w:r>
    </w:p>
    <w:p>
      <w:pPr>
        <w:pStyle w:val="ListParagraph"/>
        <w:numPr>
          <w:ilvl w:val="0"/>
          <w:numId w:val="326"/>
        </w:numPr>
        <w:tabs>
          <w:tab w:pos="1637" w:val="left" w:leader="none"/>
        </w:tabs>
        <w:spacing w:line="240" w:lineRule="auto" w:before="124" w:after="0"/>
        <w:ind w:left="1636" w:right="0" w:hanging="223"/>
        <w:jc w:val="both"/>
        <w:rPr>
          <w:sz w:val="20"/>
        </w:rPr>
      </w:pPr>
      <w:r>
        <w:rPr>
          <w:sz w:val="20"/>
        </w:rPr>
        <w:t>Tendrán la consideración de infracciones</w:t>
      </w:r>
      <w:r>
        <w:rPr>
          <w:spacing w:val="-5"/>
          <w:sz w:val="20"/>
        </w:rPr>
        <w:t> </w:t>
      </w:r>
      <w:r>
        <w:rPr>
          <w:sz w:val="20"/>
        </w:rPr>
        <w:t>graves:</w:t>
      </w:r>
    </w:p>
    <w:p>
      <w:pPr>
        <w:spacing w:after="0" w:line="240"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328"/>
        </w:numPr>
        <w:tabs>
          <w:tab w:pos="1681" w:val="left" w:leader="none"/>
        </w:tabs>
        <w:spacing w:line="249" w:lineRule="auto" w:before="126" w:after="0"/>
        <w:ind w:left="1074" w:right="1274" w:firstLine="340"/>
        <w:jc w:val="both"/>
        <w:rPr>
          <w:sz w:val="20"/>
        </w:rPr>
      </w:pPr>
      <w:r>
        <w:rPr>
          <w:sz w:val="20"/>
        </w:rPr>
        <w:t>La realización de actos u operaciones prohibidas por normas sobre distribución de seguros y reaseguros con rango de ley, o con incumplimiento de los requisitos establecidos en ellas, salvo que dicha infracción deba ser calificada como muy</w:t>
      </w:r>
      <w:r>
        <w:rPr>
          <w:spacing w:val="-14"/>
          <w:sz w:val="20"/>
        </w:rPr>
        <w:t> </w:t>
      </w:r>
      <w:r>
        <w:rPr>
          <w:sz w:val="20"/>
        </w:rPr>
        <w:t>grave.</w:t>
      </w:r>
    </w:p>
    <w:p>
      <w:pPr>
        <w:pStyle w:val="ListParagraph"/>
        <w:numPr>
          <w:ilvl w:val="0"/>
          <w:numId w:val="328"/>
        </w:numPr>
        <w:tabs>
          <w:tab w:pos="1655" w:val="left" w:leader="none"/>
        </w:tabs>
        <w:spacing w:line="249" w:lineRule="auto" w:before="3" w:after="0"/>
        <w:ind w:left="1074" w:right="1274" w:firstLine="340"/>
        <w:jc w:val="both"/>
        <w:rPr>
          <w:sz w:val="20"/>
        </w:rPr>
      </w:pPr>
      <w:r>
        <w:rPr>
          <w:sz w:val="20"/>
        </w:rPr>
        <w:t>La realización reiterada de actos u operaciones prohibidas por normas reglamentarias sobre distribución de seguros y de reaseguros o con incumplimiento de los requisitos establecidos en</w:t>
      </w:r>
      <w:r>
        <w:rPr>
          <w:spacing w:val="-3"/>
          <w:sz w:val="20"/>
        </w:rPr>
        <w:t> </w:t>
      </w:r>
      <w:r>
        <w:rPr>
          <w:sz w:val="20"/>
        </w:rPr>
        <w:t>ellas.</w:t>
      </w:r>
    </w:p>
    <w:p>
      <w:pPr>
        <w:pStyle w:val="ListParagraph"/>
        <w:numPr>
          <w:ilvl w:val="0"/>
          <w:numId w:val="328"/>
        </w:numPr>
        <w:tabs>
          <w:tab w:pos="1672" w:val="left" w:leader="none"/>
        </w:tabs>
        <w:spacing w:line="249" w:lineRule="auto" w:before="2" w:after="0"/>
        <w:ind w:left="1074" w:right="1273" w:firstLine="340"/>
        <w:jc w:val="both"/>
        <w:rPr>
          <w:sz w:val="20"/>
        </w:rPr>
      </w:pPr>
      <w:r>
        <w:rPr>
          <w:sz w:val="20"/>
        </w:rPr>
        <w:t>La realización de actos fraudulentos o la utilización de personas físicas o jurídicas interpuestas con la finalidad de conseguir un resultado contrario a las normas de ordenación y supervisión, siempre que tal conducta no esté comprendida en la letra f) del apartado</w:t>
      </w:r>
      <w:r>
        <w:rPr>
          <w:spacing w:val="-24"/>
          <w:sz w:val="20"/>
        </w:rPr>
        <w:t> </w:t>
      </w:r>
      <w:r>
        <w:rPr>
          <w:sz w:val="20"/>
        </w:rPr>
        <w:t>2.</w:t>
      </w:r>
    </w:p>
    <w:p>
      <w:pPr>
        <w:pStyle w:val="ListParagraph"/>
        <w:numPr>
          <w:ilvl w:val="0"/>
          <w:numId w:val="328"/>
        </w:numPr>
        <w:tabs>
          <w:tab w:pos="1650" w:val="left" w:leader="none"/>
        </w:tabs>
        <w:spacing w:line="249" w:lineRule="auto" w:before="2" w:after="0"/>
        <w:ind w:left="1074" w:right="1274" w:firstLine="340"/>
        <w:jc w:val="both"/>
        <w:rPr>
          <w:sz w:val="20"/>
        </w:rPr>
      </w:pPr>
      <w:r>
        <w:rPr>
          <w:sz w:val="20"/>
        </w:rPr>
        <w:t>En el caso de los corredores de seguros, el incumplimiento de la obligación de realizar un asesoramiento basado en un análisis objetivo y personalizado, salvo que dicha infracción deba ser calificada como muy</w:t>
      </w:r>
      <w:r>
        <w:rPr>
          <w:spacing w:val="-2"/>
          <w:sz w:val="20"/>
        </w:rPr>
        <w:t> </w:t>
      </w:r>
      <w:r>
        <w:rPr>
          <w:sz w:val="20"/>
        </w:rPr>
        <w:t>grave.</w:t>
      </w:r>
    </w:p>
    <w:p>
      <w:pPr>
        <w:pStyle w:val="ListParagraph"/>
        <w:numPr>
          <w:ilvl w:val="0"/>
          <w:numId w:val="328"/>
        </w:numPr>
        <w:tabs>
          <w:tab w:pos="1651" w:val="left" w:leader="none"/>
        </w:tabs>
        <w:spacing w:line="249" w:lineRule="auto" w:before="3" w:after="0"/>
        <w:ind w:left="1074" w:right="1274" w:firstLine="340"/>
        <w:jc w:val="both"/>
        <w:rPr>
          <w:sz w:val="20"/>
        </w:rPr>
      </w:pPr>
      <w:r>
        <w:rPr>
          <w:sz w:val="20"/>
        </w:rPr>
        <w:t>La comisión de infracción leve, cuando, durante los dos años anteriores a ella, hubiera sido impuesta una sanción firme no prescrita por el mismo tipo de</w:t>
      </w:r>
      <w:r>
        <w:rPr>
          <w:spacing w:val="-17"/>
          <w:sz w:val="20"/>
        </w:rPr>
        <w:t> </w:t>
      </w:r>
      <w:r>
        <w:rPr>
          <w:sz w:val="20"/>
        </w:rPr>
        <w:t>infracción.</w:t>
      </w:r>
    </w:p>
    <w:p>
      <w:pPr>
        <w:pStyle w:val="ListParagraph"/>
        <w:numPr>
          <w:ilvl w:val="0"/>
          <w:numId w:val="328"/>
        </w:numPr>
        <w:tabs>
          <w:tab w:pos="1631" w:val="left" w:leader="none"/>
        </w:tabs>
        <w:spacing w:line="249" w:lineRule="auto" w:before="2" w:after="0"/>
        <w:ind w:left="1074" w:right="1272" w:firstLine="340"/>
        <w:jc w:val="both"/>
        <w:rPr>
          <w:sz w:val="20"/>
        </w:rPr>
      </w:pPr>
      <w:r>
        <w:rPr>
          <w:sz w:val="20"/>
        </w:rPr>
        <w:t>El incumplimiento de las obligaciones de información y normas de conducta, de la sección 6.ª del capítulo III cuando no concurran las circunstancias a que se refiere la letra l) del apartado 2, respecto de productos de seguros distintos de los productos de inversión basados en</w:t>
      </w:r>
      <w:r>
        <w:rPr>
          <w:spacing w:val="-3"/>
          <w:sz w:val="20"/>
        </w:rPr>
        <w:t> </w:t>
      </w:r>
      <w:r>
        <w:rPr>
          <w:sz w:val="20"/>
        </w:rPr>
        <w:t>seguros.</w:t>
      </w:r>
    </w:p>
    <w:p>
      <w:pPr>
        <w:pStyle w:val="ListParagraph"/>
        <w:numPr>
          <w:ilvl w:val="0"/>
          <w:numId w:val="328"/>
        </w:numPr>
        <w:tabs>
          <w:tab w:pos="1656" w:val="left" w:leader="none"/>
        </w:tabs>
        <w:spacing w:line="249" w:lineRule="auto" w:before="3" w:after="0"/>
        <w:ind w:left="1074" w:right="1274" w:firstLine="340"/>
        <w:jc w:val="both"/>
        <w:rPr>
          <w:sz w:val="20"/>
        </w:rPr>
      </w:pPr>
      <w:r>
        <w:rPr>
          <w:sz w:val="20"/>
        </w:rPr>
        <w:t>La realización de prácticas abusivas que perjudiquen el derecho de los tomadores del seguro, de los asegurados, de los beneficiarios de las pólizas o, en su caso, de las entidades aseguradoras o reaseguradoras, salvo que dicha infracción deba ser calificada como muy grave.</w:t>
      </w:r>
    </w:p>
    <w:p>
      <w:pPr>
        <w:pStyle w:val="ListParagraph"/>
        <w:numPr>
          <w:ilvl w:val="0"/>
          <w:numId w:val="328"/>
        </w:numPr>
        <w:tabs>
          <w:tab w:pos="1676" w:val="left" w:leader="none"/>
        </w:tabs>
        <w:spacing w:line="249" w:lineRule="auto" w:before="3" w:after="0"/>
        <w:ind w:left="1074" w:right="1270" w:firstLine="340"/>
        <w:jc w:val="both"/>
        <w:rPr>
          <w:sz w:val="20"/>
        </w:rPr>
      </w:pPr>
      <w:r>
        <w:rPr>
          <w:sz w:val="20"/>
        </w:rPr>
        <w:t>La falta de remisión a la Dirección General de Seguros y Fondos de Pensiones de cuantos datos o documentos deban remitírsele, ya mediante su presentación permanente o periódica, ya mediante la atención de requerimientos individualizados, o su falta de  veracidad salvo que ello suponga la comisión de una infracción muy grave con arreglo a la letra r) del apartado 2. A los efectos de esta letra h), se entenderá que hay falta de remisión cuando no se produzca dentro del plazo concedido al efecto por la Dirección General de Seguros y Fondos de Pensiones al recordar por escrito la obligación o reiterar el requerimiento</w:t>
      </w:r>
      <w:r>
        <w:rPr>
          <w:spacing w:val="-1"/>
          <w:sz w:val="20"/>
        </w:rPr>
        <w:t> </w:t>
      </w:r>
      <w:r>
        <w:rPr>
          <w:sz w:val="20"/>
        </w:rPr>
        <w:t>individualizado.</w:t>
      </w:r>
    </w:p>
    <w:p>
      <w:pPr>
        <w:pStyle w:val="ListParagraph"/>
        <w:numPr>
          <w:ilvl w:val="0"/>
          <w:numId w:val="328"/>
        </w:numPr>
        <w:tabs>
          <w:tab w:pos="1638" w:val="left" w:leader="none"/>
        </w:tabs>
        <w:spacing w:line="249" w:lineRule="auto" w:before="7" w:after="0"/>
        <w:ind w:left="1074" w:right="1273" w:firstLine="340"/>
        <w:jc w:val="both"/>
        <w:rPr>
          <w:sz w:val="20"/>
        </w:rPr>
      </w:pPr>
      <w:r>
        <w:rPr>
          <w:sz w:val="20"/>
        </w:rPr>
        <w:t>La llevanza irregular de los libros y registros exigidos en la legislación mercantil aplicable y en las normas sobre distribución de seguros y de reaseguros cuando no concurran las especiales circunstancias previstas en la letra q) del apartado</w:t>
      </w:r>
      <w:r>
        <w:rPr>
          <w:spacing w:val="-21"/>
          <w:sz w:val="20"/>
        </w:rPr>
        <w:t> </w:t>
      </w:r>
      <w:r>
        <w:rPr>
          <w:sz w:val="20"/>
        </w:rPr>
        <w:t>2.</w:t>
      </w:r>
    </w:p>
    <w:p>
      <w:pPr>
        <w:pStyle w:val="ListParagraph"/>
        <w:numPr>
          <w:ilvl w:val="0"/>
          <w:numId w:val="326"/>
        </w:numPr>
        <w:tabs>
          <w:tab w:pos="1711" w:val="left" w:leader="none"/>
        </w:tabs>
        <w:spacing w:line="249" w:lineRule="auto" w:before="122" w:after="0"/>
        <w:ind w:left="1074" w:right="1274" w:firstLine="340"/>
        <w:jc w:val="both"/>
        <w:rPr>
          <w:sz w:val="20"/>
        </w:rPr>
      </w:pPr>
      <w:r>
        <w:rPr>
          <w:sz w:val="20"/>
        </w:rPr>
        <w:t>Tendrán la consideración de infracciones leves los incumplimientos de normas reglamentarias sobre distribución de seguros y reaseguros o con incumplimiento de los requisitos establecidos en ellas, cuando dichos incumplimientos no deban ser calificados como muy graves o</w:t>
      </w:r>
      <w:r>
        <w:rPr>
          <w:spacing w:val="-3"/>
          <w:sz w:val="20"/>
        </w:rPr>
        <w:t> </w:t>
      </w:r>
      <w:r>
        <w:rPr>
          <w:sz w:val="20"/>
        </w:rPr>
        <w:t>graves.</w:t>
      </w:r>
    </w:p>
    <w:p>
      <w:pPr>
        <w:pStyle w:val="BodyText"/>
        <w:spacing w:before="6"/>
        <w:ind w:left="0" w:firstLine="0"/>
        <w:jc w:val="left"/>
      </w:pPr>
    </w:p>
    <w:p>
      <w:pPr>
        <w:spacing w:before="0"/>
        <w:ind w:left="1074" w:right="0" w:firstLine="0"/>
        <w:jc w:val="both"/>
        <w:rPr>
          <w:i/>
          <w:sz w:val="20"/>
        </w:rPr>
      </w:pPr>
      <w:bookmarkStart w:name="Artículo 193. Prescripción de infraccion" w:id="320"/>
      <w:bookmarkEnd w:id="320"/>
      <w:r>
        <w:rPr/>
      </w:r>
      <w:r>
        <w:rPr>
          <w:b/>
          <w:sz w:val="20"/>
        </w:rPr>
        <w:t>Artículo 193. </w:t>
      </w:r>
      <w:r>
        <w:rPr>
          <w:i/>
          <w:sz w:val="20"/>
        </w:rPr>
        <w:t>Prescripción de infracciones.</w:t>
      </w:r>
    </w:p>
    <w:p>
      <w:pPr>
        <w:pStyle w:val="ListParagraph"/>
        <w:numPr>
          <w:ilvl w:val="0"/>
          <w:numId w:val="329"/>
        </w:numPr>
        <w:tabs>
          <w:tab w:pos="1655" w:val="left" w:leader="none"/>
        </w:tabs>
        <w:spacing w:line="249" w:lineRule="auto" w:before="118" w:after="0"/>
        <w:ind w:left="1074" w:right="1275" w:firstLine="340"/>
        <w:jc w:val="both"/>
        <w:rPr>
          <w:sz w:val="20"/>
        </w:rPr>
      </w:pPr>
      <w:r>
        <w:rPr>
          <w:sz w:val="20"/>
        </w:rPr>
        <w:t>Las infracciones muy graves prescribirán a los cinco años, las graves, a los cuatro y las leves, a los dos</w:t>
      </w:r>
      <w:r>
        <w:rPr>
          <w:spacing w:val="-6"/>
          <w:sz w:val="20"/>
        </w:rPr>
        <w:t> </w:t>
      </w:r>
      <w:r>
        <w:rPr>
          <w:sz w:val="20"/>
        </w:rPr>
        <w:t>años.</w:t>
      </w:r>
    </w:p>
    <w:p>
      <w:pPr>
        <w:pStyle w:val="ListParagraph"/>
        <w:numPr>
          <w:ilvl w:val="0"/>
          <w:numId w:val="329"/>
        </w:numPr>
        <w:tabs>
          <w:tab w:pos="1639" w:val="left" w:leader="none"/>
        </w:tabs>
        <w:spacing w:line="249" w:lineRule="auto" w:before="1" w:after="0"/>
        <w:ind w:left="1074" w:right="1273" w:firstLine="340"/>
        <w:jc w:val="both"/>
        <w:rPr>
          <w:sz w:val="20"/>
        </w:rPr>
      </w:pPr>
      <w:r>
        <w:rPr>
          <w:sz w:val="20"/>
        </w:rPr>
        <w:t>El plazo de prescripción de las infracciones comenzará a contarse desde el día en que la infracción se hubiera cometido. En las infracciones derivadas de una actividad continuada, la fecha inicial del cómputo será la de finalización de la actividad o la del último acto con que la infracción se</w:t>
      </w:r>
      <w:r>
        <w:rPr>
          <w:spacing w:val="-3"/>
          <w:sz w:val="20"/>
        </w:rPr>
        <w:t> </w:t>
      </w:r>
      <w:r>
        <w:rPr>
          <w:sz w:val="20"/>
        </w:rPr>
        <w:t>consume.</w:t>
      </w:r>
    </w:p>
    <w:p>
      <w:pPr>
        <w:pStyle w:val="ListParagraph"/>
        <w:numPr>
          <w:ilvl w:val="0"/>
          <w:numId w:val="329"/>
        </w:numPr>
        <w:tabs>
          <w:tab w:pos="1753" w:val="left" w:leader="none"/>
        </w:tabs>
        <w:spacing w:line="249" w:lineRule="auto" w:before="4" w:after="0"/>
        <w:ind w:left="1074" w:right="1274" w:firstLine="340"/>
        <w:jc w:val="both"/>
        <w:rPr>
          <w:sz w:val="20"/>
        </w:rPr>
      </w:pPr>
      <w:r>
        <w:rPr>
          <w:sz w:val="20"/>
        </w:rPr>
        <w:t>Interrumpirá la prescripción la iniciación del procedimiento sancionador con conocimiento del interesado, y se reiniciará si el expediente sancionador estuviera paralizado más de dos meses por causa no imputable al presunto</w:t>
      </w:r>
      <w:r>
        <w:rPr>
          <w:spacing w:val="-12"/>
          <w:sz w:val="20"/>
        </w:rPr>
        <w:t> </w:t>
      </w:r>
      <w:r>
        <w:rPr>
          <w:sz w:val="20"/>
        </w:rPr>
        <w:t>responsable.</w:t>
      </w:r>
    </w:p>
    <w:p>
      <w:pPr>
        <w:pStyle w:val="ListParagraph"/>
        <w:numPr>
          <w:ilvl w:val="0"/>
          <w:numId w:val="329"/>
        </w:numPr>
        <w:tabs>
          <w:tab w:pos="1639" w:val="left" w:leader="none"/>
        </w:tabs>
        <w:spacing w:line="249" w:lineRule="auto" w:before="2" w:after="0"/>
        <w:ind w:left="1074" w:right="1274" w:firstLine="340"/>
        <w:jc w:val="both"/>
        <w:rPr>
          <w:sz w:val="20"/>
        </w:rPr>
      </w:pPr>
      <w:r>
        <w:rPr>
          <w:sz w:val="20"/>
        </w:rPr>
        <w:t>También interrumpirá la prescripción la iniciación, con conocimiento del interesado, del procedimiento de inspección en el que se ponga de manifiesto la comisión de la infracción, y se reiniciará una vez dictada la resolución que ponga fin a dicho</w:t>
      </w:r>
      <w:r>
        <w:rPr>
          <w:spacing w:val="-19"/>
          <w:sz w:val="20"/>
        </w:rPr>
        <w:t> </w:t>
      </w:r>
      <w:r>
        <w:rPr>
          <w:sz w:val="20"/>
        </w:rPr>
        <w:t>procedimiento.</w:t>
      </w:r>
    </w:p>
    <w:p>
      <w:pPr>
        <w:pStyle w:val="BodyText"/>
        <w:spacing w:before="5"/>
        <w:ind w:left="0" w:firstLine="0"/>
        <w:jc w:val="left"/>
      </w:pPr>
    </w:p>
    <w:p>
      <w:pPr>
        <w:spacing w:before="0"/>
        <w:ind w:left="1074" w:right="0" w:firstLine="0"/>
        <w:jc w:val="both"/>
        <w:rPr>
          <w:i/>
          <w:sz w:val="20"/>
        </w:rPr>
      </w:pPr>
      <w:bookmarkStart w:name="Artículo 194. Sanciones." w:id="321"/>
      <w:bookmarkEnd w:id="321"/>
      <w:r>
        <w:rPr/>
      </w:r>
      <w:r>
        <w:rPr>
          <w:b/>
          <w:sz w:val="20"/>
        </w:rPr>
        <w:t>Artículo 194.</w:t>
      </w:r>
      <w:r>
        <w:rPr>
          <w:b/>
          <w:spacing w:val="54"/>
          <w:sz w:val="20"/>
        </w:rPr>
        <w:t> </w:t>
      </w:r>
      <w:r>
        <w:rPr>
          <w:i/>
          <w:sz w:val="20"/>
        </w:rPr>
        <w:t>Sanciones.</w:t>
      </w:r>
    </w:p>
    <w:p>
      <w:pPr>
        <w:pStyle w:val="BodyText"/>
        <w:spacing w:line="249" w:lineRule="auto" w:before="118"/>
        <w:ind w:right="1273"/>
      </w:pPr>
      <w:r>
        <w:rPr/>
        <w:t>1. Por la comisión de infracciones muy graves será impuesta en todo caso, alguna de las siguientes sanciones: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330"/>
        </w:numPr>
        <w:tabs>
          <w:tab w:pos="1658" w:val="left" w:leader="none"/>
        </w:tabs>
        <w:spacing w:line="249" w:lineRule="auto" w:before="126" w:after="0"/>
        <w:ind w:left="1074" w:right="1271" w:firstLine="340"/>
        <w:jc w:val="both"/>
        <w:rPr>
          <w:sz w:val="20"/>
        </w:rPr>
      </w:pPr>
      <w:r>
        <w:rPr>
          <w:sz w:val="20"/>
        </w:rPr>
        <w:t>En el caso de mediadores de seguros, mediadores de seguros complementarios o de corredores de reaseguros, cancelación de su inscripción en el registro administrativo previsto en el artículo</w:t>
      </w:r>
      <w:r>
        <w:rPr>
          <w:spacing w:val="-4"/>
          <w:sz w:val="20"/>
        </w:rPr>
        <w:t> </w:t>
      </w:r>
      <w:r>
        <w:rPr>
          <w:sz w:val="20"/>
        </w:rPr>
        <w:t>133.</w:t>
      </w:r>
    </w:p>
    <w:p>
      <w:pPr>
        <w:pStyle w:val="ListParagraph"/>
        <w:numPr>
          <w:ilvl w:val="0"/>
          <w:numId w:val="330"/>
        </w:numPr>
        <w:tabs>
          <w:tab w:pos="1657" w:val="left" w:leader="none"/>
        </w:tabs>
        <w:spacing w:line="249" w:lineRule="auto" w:before="3" w:after="0"/>
        <w:ind w:left="1074" w:right="1271" w:firstLine="339"/>
        <w:jc w:val="both"/>
        <w:rPr>
          <w:sz w:val="20"/>
        </w:rPr>
      </w:pPr>
      <w:r>
        <w:rPr>
          <w:sz w:val="20"/>
        </w:rPr>
        <w:t>En el caso de mediadores de seguros, mediadores de seguros complementarios o de corredores de reaseguros, suspensión por un plazo máximo de 10 años para el ejercicio de la</w:t>
      </w:r>
      <w:r>
        <w:rPr>
          <w:spacing w:val="-2"/>
          <w:sz w:val="20"/>
        </w:rPr>
        <w:t> </w:t>
      </w:r>
      <w:r>
        <w:rPr>
          <w:sz w:val="20"/>
        </w:rPr>
        <w:t>actividad.</w:t>
      </w:r>
    </w:p>
    <w:p>
      <w:pPr>
        <w:pStyle w:val="ListParagraph"/>
        <w:numPr>
          <w:ilvl w:val="0"/>
          <w:numId w:val="330"/>
        </w:numPr>
        <w:tabs>
          <w:tab w:pos="1655" w:val="left" w:leader="none"/>
        </w:tabs>
        <w:spacing w:line="249" w:lineRule="auto" w:before="2" w:after="0"/>
        <w:ind w:left="1074" w:right="1276" w:firstLine="340"/>
        <w:jc w:val="both"/>
        <w:rPr>
          <w:sz w:val="20"/>
        </w:rPr>
      </w:pPr>
      <w:r>
        <w:rPr>
          <w:sz w:val="20"/>
        </w:rPr>
        <w:t>Dar publicidad a la conducta constitutiva de la infracción muy grave, indicando quién es la persona física o jurídica responsable y cuál es la naturaleza de la infracción, así como a la sanción</w:t>
      </w:r>
      <w:r>
        <w:rPr>
          <w:spacing w:val="-2"/>
          <w:sz w:val="20"/>
        </w:rPr>
        <w:t> </w:t>
      </w:r>
      <w:r>
        <w:rPr>
          <w:sz w:val="20"/>
        </w:rPr>
        <w:t>impuesta.</w:t>
      </w:r>
    </w:p>
    <w:p>
      <w:pPr>
        <w:pStyle w:val="ListParagraph"/>
        <w:numPr>
          <w:ilvl w:val="0"/>
          <w:numId w:val="330"/>
        </w:numPr>
        <w:tabs>
          <w:tab w:pos="1648" w:val="left" w:leader="none"/>
        </w:tabs>
        <w:spacing w:line="240" w:lineRule="auto" w:before="2" w:after="0"/>
        <w:ind w:left="1647" w:right="0" w:hanging="234"/>
        <w:jc w:val="both"/>
        <w:rPr>
          <w:sz w:val="20"/>
        </w:rPr>
      </w:pPr>
      <w:r>
        <w:rPr>
          <w:sz w:val="20"/>
        </w:rPr>
        <w:t>Multa por los siguientes</w:t>
      </w:r>
      <w:r>
        <w:rPr>
          <w:spacing w:val="-3"/>
          <w:sz w:val="20"/>
        </w:rPr>
        <w:t> </w:t>
      </w:r>
      <w:r>
        <w:rPr>
          <w:sz w:val="20"/>
        </w:rPr>
        <w:t>importes:</w:t>
      </w:r>
    </w:p>
    <w:p>
      <w:pPr>
        <w:pStyle w:val="ListParagraph"/>
        <w:numPr>
          <w:ilvl w:val="0"/>
          <w:numId w:val="331"/>
        </w:numPr>
        <w:tabs>
          <w:tab w:pos="1583" w:val="left" w:leader="none"/>
        </w:tabs>
        <w:spacing w:line="249" w:lineRule="auto" w:before="131" w:after="0"/>
        <w:ind w:left="1074" w:right="1273" w:firstLine="340"/>
        <w:jc w:val="both"/>
        <w:rPr>
          <w:sz w:val="20"/>
        </w:rPr>
      </w:pPr>
      <w:r>
        <w:rPr>
          <w:sz w:val="20"/>
        </w:rPr>
        <w:t>º Si se trata de una persona jurídica, multa por importe de hasta la mayor de las siguientes cantidades:</w:t>
      </w:r>
    </w:p>
    <w:p>
      <w:pPr>
        <w:pStyle w:val="ListParagraph"/>
        <w:numPr>
          <w:ilvl w:val="1"/>
          <w:numId w:val="331"/>
        </w:numPr>
        <w:tabs>
          <w:tab w:pos="1642" w:val="left" w:leader="none"/>
        </w:tabs>
        <w:spacing w:line="249" w:lineRule="auto" w:before="121" w:after="0"/>
        <w:ind w:left="1074" w:right="1272" w:firstLine="340"/>
        <w:jc w:val="both"/>
        <w:rPr>
          <w:sz w:val="20"/>
        </w:rPr>
      </w:pPr>
      <w:r>
        <w:rPr>
          <w:sz w:val="20"/>
        </w:rPr>
        <w:t>El 3 por ciento del volumen de negocio anual total según las últimas cuentas disponibles aprobadas por el órgano de dirección o 1.000.000 de euros. Si la persona jurídica es una empresa matriz o una filial de la empresa matriz que tenga que elaborar estados financieros consolidados de conformidad con la Ley 22/2015, de 20 de julio, de Auditoría de Cuentas, sobre los estados financieros anuales, los estados financieros consolidados y otros informes afines de ciertos tipos de empresas, el volumen de negocio total aplicable será el volumen de negocio total anual conforme a los últimos estados financieros consolidados disponibles, aprobados por el órgano de dirección de la empresa matriz</w:t>
      </w:r>
      <w:r>
        <w:rPr>
          <w:spacing w:val="-1"/>
          <w:sz w:val="20"/>
        </w:rPr>
        <w:t> </w:t>
      </w:r>
      <w:r>
        <w:rPr>
          <w:sz w:val="20"/>
        </w:rPr>
        <w:t>última.</w:t>
      </w:r>
    </w:p>
    <w:p>
      <w:pPr>
        <w:pStyle w:val="ListParagraph"/>
        <w:numPr>
          <w:ilvl w:val="1"/>
          <w:numId w:val="331"/>
        </w:numPr>
        <w:tabs>
          <w:tab w:pos="1650" w:val="left" w:leader="none"/>
        </w:tabs>
        <w:spacing w:line="249" w:lineRule="auto" w:before="8" w:after="0"/>
        <w:ind w:left="1074" w:right="1277" w:firstLine="340"/>
        <w:jc w:val="both"/>
        <w:rPr>
          <w:sz w:val="20"/>
        </w:rPr>
      </w:pPr>
      <w:r>
        <w:rPr>
          <w:sz w:val="20"/>
        </w:rPr>
        <w:t>El doble del importe de los beneficios obtenidos o de las pérdidas evitadas con la infracción, en caso de que pueda</w:t>
      </w:r>
      <w:r>
        <w:rPr>
          <w:spacing w:val="-8"/>
          <w:sz w:val="20"/>
        </w:rPr>
        <w:t> </w:t>
      </w:r>
      <w:r>
        <w:rPr>
          <w:sz w:val="20"/>
        </w:rPr>
        <w:t>determinarse.</w:t>
      </w:r>
    </w:p>
    <w:p>
      <w:pPr>
        <w:pStyle w:val="ListParagraph"/>
        <w:numPr>
          <w:ilvl w:val="0"/>
          <w:numId w:val="331"/>
        </w:numPr>
        <w:tabs>
          <w:tab w:pos="1583" w:val="left" w:leader="none"/>
        </w:tabs>
        <w:spacing w:line="249" w:lineRule="auto" w:before="121" w:after="0"/>
        <w:ind w:left="1074" w:right="1274" w:firstLine="340"/>
        <w:jc w:val="both"/>
        <w:rPr>
          <w:sz w:val="20"/>
        </w:rPr>
      </w:pPr>
      <w:r>
        <w:rPr>
          <w:sz w:val="20"/>
        </w:rPr>
        <w:t>º Si se trata de una persona física, multa por importe de hasta la mayor de</w:t>
      </w:r>
      <w:r>
        <w:rPr>
          <w:spacing w:val="-3"/>
          <w:sz w:val="20"/>
        </w:rPr>
        <w:t> </w:t>
      </w:r>
      <w:r>
        <w:rPr>
          <w:sz w:val="20"/>
        </w:rPr>
        <w:t>las siguientes cantidades:</w:t>
      </w:r>
    </w:p>
    <w:p>
      <w:pPr>
        <w:pStyle w:val="BodyText"/>
        <w:spacing w:line="249" w:lineRule="auto" w:before="122"/>
        <w:ind w:right="1275"/>
      </w:pPr>
      <w:r>
        <w:rPr/>
        <w:t>100.000 euros o el doble del importe de los beneficios obtenidos o de las pérdidas evitadas con la infracción, en caso de que pueda determinarse.</w:t>
      </w:r>
    </w:p>
    <w:p>
      <w:pPr>
        <w:pStyle w:val="BodyText"/>
        <w:spacing w:line="249" w:lineRule="auto" w:before="121"/>
        <w:ind w:right="1273"/>
      </w:pPr>
      <w:r>
        <w:rPr/>
        <w:t>No obstante lo dispuesto en el párrafo anterior, en el caso de imposición de las sanciones previstas en las letras a), b) y d) podrá imponerse simultáneamente la sanción prevista en la letra</w:t>
      </w:r>
      <w:r>
        <w:rPr>
          <w:spacing w:val="-5"/>
        </w:rPr>
        <w:t> </w:t>
      </w:r>
      <w:r>
        <w:rPr/>
        <w:t>c).</w:t>
      </w:r>
    </w:p>
    <w:p>
      <w:pPr>
        <w:pStyle w:val="BodyText"/>
        <w:spacing w:before="3"/>
        <w:ind w:left="1414" w:firstLine="0"/>
      </w:pPr>
      <w:r>
        <w:rPr/>
        <w:t>2. Sin perjuicio de lo dispuesto en el apartado anterior, en el caso de infracción de la letra</w:t>
      </w:r>
    </w:p>
    <w:p>
      <w:pPr>
        <w:pStyle w:val="ListParagraph"/>
        <w:numPr>
          <w:ilvl w:val="0"/>
          <w:numId w:val="332"/>
        </w:numPr>
        <w:tabs>
          <w:tab w:pos="1297" w:val="left" w:leader="none"/>
        </w:tabs>
        <w:spacing w:line="240" w:lineRule="auto" w:before="10" w:after="0"/>
        <w:ind w:left="1296" w:right="0" w:hanging="223"/>
        <w:jc w:val="both"/>
        <w:rPr>
          <w:sz w:val="20"/>
        </w:rPr>
      </w:pPr>
      <w:r>
        <w:rPr>
          <w:sz w:val="20"/>
        </w:rPr>
        <w:t>del artículo 192.2, se podrán imponer las siguientes</w:t>
      </w:r>
      <w:r>
        <w:rPr>
          <w:spacing w:val="-9"/>
          <w:sz w:val="20"/>
        </w:rPr>
        <w:t> </w:t>
      </w:r>
      <w:r>
        <w:rPr>
          <w:sz w:val="20"/>
        </w:rPr>
        <w:t>sanciones:</w:t>
      </w:r>
    </w:p>
    <w:p>
      <w:pPr>
        <w:pStyle w:val="ListParagraph"/>
        <w:numPr>
          <w:ilvl w:val="1"/>
          <w:numId w:val="332"/>
        </w:numPr>
        <w:tabs>
          <w:tab w:pos="1648" w:val="left" w:leader="none"/>
        </w:tabs>
        <w:spacing w:line="240" w:lineRule="auto" w:before="130" w:after="0"/>
        <w:ind w:left="1647" w:right="0" w:hanging="234"/>
        <w:jc w:val="both"/>
        <w:rPr>
          <w:sz w:val="20"/>
        </w:rPr>
      </w:pPr>
      <w:r>
        <w:rPr>
          <w:sz w:val="20"/>
        </w:rPr>
        <w:t>Multa por los siguientes</w:t>
      </w:r>
      <w:r>
        <w:rPr>
          <w:spacing w:val="-3"/>
          <w:sz w:val="20"/>
        </w:rPr>
        <w:t> </w:t>
      </w:r>
      <w:r>
        <w:rPr>
          <w:sz w:val="20"/>
        </w:rPr>
        <w:t>importes:</w:t>
      </w:r>
    </w:p>
    <w:p>
      <w:pPr>
        <w:pStyle w:val="ListParagraph"/>
        <w:numPr>
          <w:ilvl w:val="0"/>
          <w:numId w:val="333"/>
        </w:numPr>
        <w:tabs>
          <w:tab w:pos="1583" w:val="left" w:leader="none"/>
        </w:tabs>
        <w:spacing w:line="249" w:lineRule="auto" w:before="130" w:after="0"/>
        <w:ind w:left="1074" w:right="1273" w:firstLine="340"/>
        <w:jc w:val="both"/>
        <w:rPr>
          <w:sz w:val="20"/>
        </w:rPr>
      </w:pPr>
      <w:r>
        <w:rPr>
          <w:sz w:val="20"/>
        </w:rPr>
        <w:t>º Si se trata de una persona jurídica, multa por importe de hasta la mayor de las siguientes cantidades:</w:t>
      </w:r>
    </w:p>
    <w:p>
      <w:pPr>
        <w:pStyle w:val="ListParagraph"/>
        <w:numPr>
          <w:ilvl w:val="1"/>
          <w:numId w:val="333"/>
        </w:numPr>
        <w:tabs>
          <w:tab w:pos="1642" w:val="left" w:leader="none"/>
        </w:tabs>
        <w:spacing w:line="249" w:lineRule="auto" w:before="122" w:after="0"/>
        <w:ind w:left="1074" w:right="1273" w:firstLine="340"/>
        <w:jc w:val="both"/>
        <w:rPr>
          <w:sz w:val="20"/>
        </w:rPr>
      </w:pPr>
      <w:r>
        <w:rPr>
          <w:sz w:val="20"/>
        </w:rPr>
        <w:t>El 5 por ciento del volumen de negocio anual total según las últimas cuentas disponibles aprobadas por el órgano de dirección o 5.000.000 de euros. Si la persona jurídica es una empresa matriz o una filial de la empresa matriz que tenga que elaborar estados financieros consolidados de conformidad con la Ley 22/2015, de 20 de julio, el volumen de negocio total aplicable será el volumen de negocio total anual conforme a los últimos estados financieros consolidados disponibles, aprobados por el órgano de dirección de la empresa matriz última,</w:t>
      </w:r>
      <w:r>
        <w:rPr>
          <w:spacing w:val="-5"/>
          <w:sz w:val="20"/>
        </w:rPr>
        <w:t> </w:t>
      </w:r>
      <w:r>
        <w:rPr>
          <w:sz w:val="20"/>
        </w:rPr>
        <w:t>o</w:t>
      </w:r>
    </w:p>
    <w:p>
      <w:pPr>
        <w:pStyle w:val="ListParagraph"/>
        <w:numPr>
          <w:ilvl w:val="1"/>
          <w:numId w:val="333"/>
        </w:numPr>
        <w:tabs>
          <w:tab w:pos="1652" w:val="left" w:leader="none"/>
        </w:tabs>
        <w:spacing w:line="249" w:lineRule="auto" w:before="5" w:after="0"/>
        <w:ind w:left="1074" w:right="1275" w:firstLine="340"/>
        <w:jc w:val="both"/>
        <w:rPr>
          <w:sz w:val="20"/>
        </w:rPr>
      </w:pPr>
      <w:r>
        <w:rPr>
          <w:sz w:val="20"/>
        </w:rPr>
        <w:t>el doble del importe de los beneficios obtenidos o de las pérdidas evitadas con la infracción, en caso de que pueda</w:t>
      </w:r>
      <w:r>
        <w:rPr>
          <w:spacing w:val="-8"/>
          <w:sz w:val="20"/>
        </w:rPr>
        <w:t> </w:t>
      </w:r>
      <w:r>
        <w:rPr>
          <w:sz w:val="20"/>
        </w:rPr>
        <w:t>determinarse.</w:t>
      </w:r>
    </w:p>
    <w:p>
      <w:pPr>
        <w:pStyle w:val="ListParagraph"/>
        <w:numPr>
          <w:ilvl w:val="0"/>
          <w:numId w:val="333"/>
        </w:numPr>
        <w:tabs>
          <w:tab w:pos="1583" w:val="left" w:leader="none"/>
        </w:tabs>
        <w:spacing w:line="249" w:lineRule="auto" w:before="122" w:after="0"/>
        <w:ind w:left="1074" w:right="1274" w:firstLine="340"/>
        <w:jc w:val="both"/>
        <w:rPr>
          <w:sz w:val="20"/>
        </w:rPr>
      </w:pPr>
      <w:r>
        <w:rPr>
          <w:sz w:val="20"/>
        </w:rPr>
        <w:t>º Si se trata de una persona física, multa por importe de hasta la mayor de</w:t>
      </w:r>
      <w:r>
        <w:rPr>
          <w:spacing w:val="-3"/>
          <w:sz w:val="20"/>
        </w:rPr>
        <w:t> </w:t>
      </w:r>
      <w:r>
        <w:rPr>
          <w:sz w:val="20"/>
        </w:rPr>
        <w:t>las siguientes cantidades:</w:t>
      </w:r>
    </w:p>
    <w:p>
      <w:pPr>
        <w:pStyle w:val="BodyText"/>
        <w:spacing w:line="249" w:lineRule="auto" w:before="122"/>
        <w:ind w:right="1275"/>
      </w:pPr>
      <w:r>
        <w:rPr/>
        <w:t>700.000 euros, o el doble del importe de los beneficios obtenidos o de las pérdidas evitadas con la infracción, en caso de que puedan determinarse.</w:t>
      </w:r>
    </w:p>
    <w:p>
      <w:pPr>
        <w:pStyle w:val="ListParagraph"/>
        <w:numPr>
          <w:ilvl w:val="1"/>
          <w:numId w:val="332"/>
        </w:numPr>
        <w:tabs>
          <w:tab w:pos="1648" w:val="left" w:leader="none"/>
        </w:tabs>
        <w:spacing w:line="240" w:lineRule="auto" w:before="121" w:after="0"/>
        <w:ind w:left="1647" w:right="0" w:hanging="234"/>
        <w:jc w:val="left"/>
        <w:rPr>
          <w:sz w:val="20"/>
        </w:rPr>
      </w:pPr>
      <w:r>
        <w:rPr>
          <w:sz w:val="20"/>
        </w:rPr>
        <w:t>Prohibir la comercialización del producto de inversión basado en</w:t>
      </w:r>
      <w:r>
        <w:rPr>
          <w:spacing w:val="-12"/>
          <w:sz w:val="20"/>
        </w:rPr>
        <w:t> </w:t>
      </w:r>
      <w:r>
        <w:rPr>
          <w:sz w:val="20"/>
        </w:rPr>
        <w:t>seguros.</w:t>
      </w:r>
    </w:p>
    <w:p>
      <w:pPr>
        <w:pStyle w:val="ListParagraph"/>
        <w:numPr>
          <w:ilvl w:val="1"/>
          <w:numId w:val="332"/>
        </w:numPr>
        <w:tabs>
          <w:tab w:pos="1637" w:val="left" w:leader="none"/>
        </w:tabs>
        <w:spacing w:line="240" w:lineRule="auto" w:before="10" w:after="0"/>
        <w:ind w:left="1636" w:right="0" w:hanging="223"/>
        <w:jc w:val="left"/>
        <w:rPr>
          <w:sz w:val="20"/>
        </w:rPr>
      </w:pPr>
      <w:r>
        <w:rPr>
          <w:sz w:val="20"/>
        </w:rPr>
        <w:t>Suspender la comercialización del producto de inversión basado en</w:t>
      </w:r>
      <w:r>
        <w:rPr>
          <w:spacing w:val="-12"/>
          <w:sz w:val="20"/>
        </w:rPr>
        <w:t> </w:t>
      </w:r>
      <w:r>
        <w:rPr>
          <w:sz w:val="20"/>
        </w:rPr>
        <w:t>seguros.</w:t>
      </w:r>
    </w:p>
    <w:p>
      <w:pPr>
        <w:pStyle w:val="ListParagraph"/>
        <w:numPr>
          <w:ilvl w:val="1"/>
          <w:numId w:val="332"/>
        </w:numPr>
        <w:tabs>
          <w:tab w:pos="1662" w:val="left" w:leader="none"/>
        </w:tabs>
        <w:spacing w:line="249" w:lineRule="auto" w:before="10" w:after="0"/>
        <w:ind w:left="1074" w:right="1272" w:firstLine="340"/>
        <w:jc w:val="left"/>
        <w:rPr>
          <w:sz w:val="20"/>
        </w:rPr>
      </w:pPr>
      <w:r>
        <w:rPr>
          <w:sz w:val="20"/>
        </w:rPr>
        <w:t>Prohibir facilitar el documento de datos fundamentales y exigir una nueva versión del documento.</w:t>
      </w:r>
    </w:p>
    <w:p>
      <w:pPr>
        <w:spacing w:after="0" w:line="249"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ListParagraph"/>
        <w:numPr>
          <w:ilvl w:val="0"/>
          <w:numId w:val="333"/>
        </w:numPr>
        <w:tabs>
          <w:tab w:pos="1710" w:val="left" w:leader="none"/>
        </w:tabs>
        <w:spacing w:line="249" w:lineRule="auto" w:before="126" w:after="0"/>
        <w:ind w:left="1074" w:right="1273" w:firstLine="340"/>
        <w:jc w:val="left"/>
        <w:rPr>
          <w:sz w:val="20"/>
        </w:rPr>
      </w:pPr>
      <w:r>
        <w:rPr>
          <w:sz w:val="20"/>
        </w:rPr>
        <w:t>Por la comisión de infracciones graves, se impondrá alguna de las siguientes sanciones:</w:t>
      </w:r>
    </w:p>
    <w:p>
      <w:pPr>
        <w:pStyle w:val="ListParagraph"/>
        <w:numPr>
          <w:ilvl w:val="0"/>
          <w:numId w:val="334"/>
        </w:numPr>
        <w:tabs>
          <w:tab w:pos="1689" w:val="left" w:leader="none"/>
        </w:tabs>
        <w:spacing w:line="249" w:lineRule="auto" w:before="122" w:after="0"/>
        <w:ind w:left="1074" w:right="1273" w:firstLine="340"/>
        <w:jc w:val="left"/>
        <w:rPr>
          <w:sz w:val="20"/>
        </w:rPr>
      </w:pPr>
      <w:r>
        <w:rPr>
          <w:sz w:val="20"/>
        </w:rPr>
        <w:t>En el caso de mediadores de seguros o de reaseguros, suspensión por un plazo máximo de un año para el ejercicio de la</w:t>
      </w:r>
      <w:r>
        <w:rPr>
          <w:spacing w:val="-12"/>
          <w:sz w:val="20"/>
        </w:rPr>
        <w:t> </w:t>
      </w:r>
      <w:r>
        <w:rPr>
          <w:sz w:val="20"/>
        </w:rPr>
        <w:t>actividad.</w:t>
      </w:r>
    </w:p>
    <w:p>
      <w:pPr>
        <w:pStyle w:val="ListParagraph"/>
        <w:numPr>
          <w:ilvl w:val="0"/>
          <w:numId w:val="334"/>
        </w:numPr>
        <w:tabs>
          <w:tab w:pos="1648" w:val="left" w:leader="none"/>
        </w:tabs>
        <w:spacing w:line="240" w:lineRule="auto" w:before="1" w:after="0"/>
        <w:ind w:left="1647" w:right="0" w:hanging="234"/>
        <w:jc w:val="left"/>
        <w:rPr>
          <w:sz w:val="20"/>
        </w:rPr>
      </w:pPr>
      <w:r>
        <w:rPr>
          <w:sz w:val="20"/>
        </w:rPr>
        <w:t>Dar publicidad a la conducta constitutiva de infracción grave y de la sanción</w:t>
      </w:r>
      <w:r>
        <w:rPr>
          <w:spacing w:val="-22"/>
          <w:sz w:val="20"/>
        </w:rPr>
        <w:t> </w:t>
      </w:r>
      <w:r>
        <w:rPr>
          <w:sz w:val="20"/>
        </w:rPr>
        <w:t>impuesta.</w:t>
      </w:r>
    </w:p>
    <w:p>
      <w:pPr>
        <w:pStyle w:val="ListParagraph"/>
        <w:numPr>
          <w:ilvl w:val="0"/>
          <w:numId w:val="334"/>
        </w:numPr>
        <w:tabs>
          <w:tab w:pos="1637" w:val="left" w:leader="none"/>
        </w:tabs>
        <w:spacing w:line="240" w:lineRule="auto" w:before="10" w:after="0"/>
        <w:ind w:left="1636" w:right="0" w:hanging="223"/>
        <w:jc w:val="left"/>
        <w:rPr>
          <w:sz w:val="20"/>
        </w:rPr>
      </w:pPr>
      <w:r>
        <w:rPr>
          <w:sz w:val="20"/>
        </w:rPr>
        <w:t>Multa por los siguientes</w:t>
      </w:r>
      <w:r>
        <w:rPr>
          <w:spacing w:val="-3"/>
          <w:sz w:val="20"/>
        </w:rPr>
        <w:t> </w:t>
      </w:r>
      <w:r>
        <w:rPr>
          <w:sz w:val="20"/>
        </w:rPr>
        <w:t>importes:</w:t>
      </w:r>
    </w:p>
    <w:p>
      <w:pPr>
        <w:pStyle w:val="ListParagraph"/>
        <w:numPr>
          <w:ilvl w:val="0"/>
          <w:numId w:val="335"/>
        </w:numPr>
        <w:tabs>
          <w:tab w:pos="1583" w:val="left" w:leader="none"/>
        </w:tabs>
        <w:spacing w:line="249" w:lineRule="auto" w:before="130" w:after="0"/>
        <w:ind w:left="1074" w:right="1273" w:firstLine="340"/>
        <w:jc w:val="both"/>
        <w:rPr>
          <w:sz w:val="20"/>
        </w:rPr>
      </w:pPr>
      <w:r>
        <w:rPr>
          <w:sz w:val="20"/>
        </w:rPr>
        <w:t>º Si se trata de una persona jurídica, multa por importe de hasta la mayor de las siguientes cantidades:</w:t>
      </w:r>
    </w:p>
    <w:p>
      <w:pPr>
        <w:pStyle w:val="ListParagraph"/>
        <w:numPr>
          <w:ilvl w:val="1"/>
          <w:numId w:val="335"/>
        </w:numPr>
        <w:tabs>
          <w:tab w:pos="1642" w:val="left" w:leader="none"/>
        </w:tabs>
        <w:spacing w:line="249" w:lineRule="auto" w:before="122" w:after="0"/>
        <w:ind w:left="1074" w:right="1273" w:firstLine="340"/>
        <w:jc w:val="both"/>
        <w:rPr>
          <w:sz w:val="20"/>
        </w:rPr>
      </w:pPr>
      <w:r>
        <w:rPr>
          <w:sz w:val="20"/>
        </w:rPr>
        <w:t>El 1 por ciento del volumen de negocio anual total según las últimas cuentas disponibles aprobadas por el órgano de dirección o 500.000 euros. Si la persona jurídica es una empresa matriz o una filial de la empresa matriz que tenga que elaborar estados financieros consolidados de conformidad con la Ley 22/2015, de 20 de julio, el volumen de negocio total aplicable será el volumen de negocio total anual conforme a los últimos estados financieros consolidados disponibles, aprobados por el órgano de dirección de la empresa matriz</w:t>
      </w:r>
      <w:r>
        <w:rPr>
          <w:spacing w:val="-1"/>
          <w:sz w:val="20"/>
        </w:rPr>
        <w:t> </w:t>
      </w:r>
      <w:r>
        <w:rPr>
          <w:sz w:val="20"/>
        </w:rPr>
        <w:t>última.</w:t>
      </w:r>
    </w:p>
    <w:p>
      <w:pPr>
        <w:pStyle w:val="ListParagraph"/>
        <w:numPr>
          <w:ilvl w:val="1"/>
          <w:numId w:val="335"/>
        </w:numPr>
        <w:tabs>
          <w:tab w:pos="1650" w:val="left" w:leader="none"/>
        </w:tabs>
        <w:spacing w:line="249" w:lineRule="auto" w:before="6" w:after="0"/>
        <w:ind w:left="1074" w:right="1277" w:firstLine="340"/>
        <w:jc w:val="both"/>
        <w:rPr>
          <w:sz w:val="20"/>
        </w:rPr>
      </w:pPr>
      <w:r>
        <w:rPr>
          <w:sz w:val="20"/>
        </w:rPr>
        <w:t>El doble del importe de los beneficios obtenidos o de las pérdidas evitadas con la infracción, en caso de que pueda</w:t>
      </w:r>
      <w:r>
        <w:rPr>
          <w:spacing w:val="-8"/>
          <w:sz w:val="20"/>
        </w:rPr>
        <w:t> </w:t>
      </w:r>
      <w:r>
        <w:rPr>
          <w:sz w:val="20"/>
        </w:rPr>
        <w:t>determinarse.</w:t>
      </w:r>
    </w:p>
    <w:p>
      <w:pPr>
        <w:pStyle w:val="ListParagraph"/>
        <w:numPr>
          <w:ilvl w:val="0"/>
          <w:numId w:val="335"/>
        </w:numPr>
        <w:tabs>
          <w:tab w:pos="1583" w:val="left" w:leader="none"/>
        </w:tabs>
        <w:spacing w:line="249" w:lineRule="auto" w:before="121" w:after="0"/>
        <w:ind w:left="1074" w:right="1274" w:firstLine="340"/>
        <w:jc w:val="both"/>
        <w:rPr>
          <w:sz w:val="20"/>
        </w:rPr>
      </w:pPr>
      <w:r>
        <w:rPr>
          <w:sz w:val="20"/>
        </w:rPr>
        <w:t>º Si se trata de una persona física, multa por importe de hasta la mayor de</w:t>
      </w:r>
      <w:r>
        <w:rPr>
          <w:spacing w:val="-3"/>
          <w:sz w:val="20"/>
        </w:rPr>
        <w:t> </w:t>
      </w:r>
      <w:r>
        <w:rPr>
          <w:sz w:val="20"/>
        </w:rPr>
        <w:t>las siguientes cantidades:</w:t>
      </w:r>
    </w:p>
    <w:p>
      <w:pPr>
        <w:pStyle w:val="BodyText"/>
        <w:spacing w:line="249" w:lineRule="auto" w:before="122"/>
        <w:ind w:right="1277"/>
      </w:pPr>
      <w:r>
        <w:rPr/>
        <w:t>50.000 euros o el doble del importe de los beneficios obtenidos o de las pérdidas evitadas con la infracción, en caso de que pueda</w:t>
      </w:r>
      <w:r>
        <w:rPr>
          <w:spacing w:val="-13"/>
        </w:rPr>
        <w:t> </w:t>
      </w:r>
      <w:r>
        <w:rPr/>
        <w:t>determinarse.</w:t>
      </w:r>
    </w:p>
    <w:p>
      <w:pPr>
        <w:pStyle w:val="BodyText"/>
        <w:spacing w:line="249" w:lineRule="auto" w:before="122"/>
        <w:ind w:right="1274"/>
      </w:pPr>
      <w:r>
        <w:rPr/>
        <w:t>No obstante lo dispuesto en el párrafo anterior, en el caso de imposición de la sanción prevista en las letras a) y c) podrá imponerse simultáneamente la sanción prevista en la letra b).</w:t>
      </w:r>
    </w:p>
    <w:p>
      <w:pPr>
        <w:pStyle w:val="BodyText"/>
        <w:spacing w:line="249" w:lineRule="auto"/>
        <w:ind w:right="1275"/>
      </w:pPr>
      <w:r>
        <w:rPr/>
        <w:t>4. Por la comisión de infracciones leves, se impondrá alguna de las siguientes  sanciones:</w:t>
      </w:r>
    </w:p>
    <w:p>
      <w:pPr>
        <w:pStyle w:val="ListParagraph"/>
        <w:numPr>
          <w:ilvl w:val="0"/>
          <w:numId w:val="336"/>
        </w:numPr>
        <w:tabs>
          <w:tab w:pos="1648" w:val="left" w:leader="none"/>
        </w:tabs>
        <w:spacing w:line="240" w:lineRule="auto" w:before="122" w:after="0"/>
        <w:ind w:left="1647" w:right="0" w:hanging="234"/>
        <w:jc w:val="left"/>
        <w:rPr>
          <w:sz w:val="20"/>
        </w:rPr>
      </w:pPr>
      <w:r>
        <w:rPr>
          <w:sz w:val="20"/>
        </w:rPr>
        <w:t>Amonestación</w:t>
      </w:r>
      <w:r>
        <w:rPr>
          <w:spacing w:val="-1"/>
          <w:sz w:val="20"/>
        </w:rPr>
        <w:t> </w:t>
      </w:r>
      <w:r>
        <w:rPr>
          <w:sz w:val="20"/>
        </w:rPr>
        <w:t>privada.</w:t>
      </w:r>
    </w:p>
    <w:p>
      <w:pPr>
        <w:pStyle w:val="ListParagraph"/>
        <w:numPr>
          <w:ilvl w:val="0"/>
          <w:numId w:val="336"/>
        </w:numPr>
        <w:tabs>
          <w:tab w:pos="1648" w:val="left" w:leader="none"/>
        </w:tabs>
        <w:spacing w:line="240" w:lineRule="auto" w:before="10" w:after="0"/>
        <w:ind w:left="1647" w:right="0" w:hanging="234"/>
        <w:jc w:val="left"/>
        <w:rPr>
          <w:sz w:val="20"/>
        </w:rPr>
      </w:pPr>
      <w:r>
        <w:rPr>
          <w:sz w:val="20"/>
        </w:rPr>
        <w:t>Multa por los siguientes</w:t>
      </w:r>
      <w:r>
        <w:rPr>
          <w:spacing w:val="-3"/>
          <w:sz w:val="20"/>
        </w:rPr>
        <w:t> </w:t>
      </w:r>
      <w:r>
        <w:rPr>
          <w:sz w:val="20"/>
        </w:rPr>
        <w:t>importes:</w:t>
      </w:r>
    </w:p>
    <w:p>
      <w:pPr>
        <w:pStyle w:val="ListParagraph"/>
        <w:numPr>
          <w:ilvl w:val="0"/>
          <w:numId w:val="337"/>
        </w:numPr>
        <w:tabs>
          <w:tab w:pos="1583" w:val="left" w:leader="none"/>
        </w:tabs>
        <w:spacing w:line="249" w:lineRule="auto" w:before="130" w:after="0"/>
        <w:ind w:left="1074" w:right="1273" w:firstLine="340"/>
        <w:jc w:val="left"/>
        <w:rPr>
          <w:sz w:val="20"/>
        </w:rPr>
      </w:pPr>
      <w:r>
        <w:rPr>
          <w:sz w:val="20"/>
        </w:rPr>
        <w:t>º Si se trata de una persona jurídica, multa por importe de hasta la mayor de las siguientes cantidades:</w:t>
      </w:r>
    </w:p>
    <w:p>
      <w:pPr>
        <w:pStyle w:val="ListParagraph"/>
        <w:numPr>
          <w:ilvl w:val="1"/>
          <w:numId w:val="337"/>
        </w:numPr>
        <w:tabs>
          <w:tab w:pos="1642" w:val="left" w:leader="none"/>
        </w:tabs>
        <w:spacing w:line="249" w:lineRule="auto" w:before="122" w:after="0"/>
        <w:ind w:left="1074" w:right="1273" w:firstLine="340"/>
        <w:jc w:val="both"/>
        <w:rPr>
          <w:sz w:val="20"/>
        </w:rPr>
      </w:pPr>
      <w:r>
        <w:rPr>
          <w:sz w:val="20"/>
        </w:rPr>
        <w:t>El 1 por ciento del volumen de negocio anual total según las últimas cuentas disponibles aprobadas por el órgano de dirección o 100.000 euros. Si la persona jurídica es una empresa matriz o una filial de la empresa matriz que tenga que elaborar estados financieros consolidados de conformidad con la Ley 22/2015, de 20 de julio, el volumen de negocio total aplicable será el volumen de negocio total anual conforme a los últimos estados financieros consolidados disponibles, aprobados por el órgano de dirección de la empresa matriz</w:t>
      </w:r>
      <w:r>
        <w:rPr>
          <w:spacing w:val="-1"/>
          <w:sz w:val="20"/>
        </w:rPr>
        <w:t> </w:t>
      </w:r>
      <w:r>
        <w:rPr>
          <w:sz w:val="20"/>
        </w:rPr>
        <w:t>última.</w:t>
      </w:r>
    </w:p>
    <w:p>
      <w:pPr>
        <w:pStyle w:val="ListParagraph"/>
        <w:numPr>
          <w:ilvl w:val="1"/>
          <w:numId w:val="337"/>
        </w:numPr>
        <w:tabs>
          <w:tab w:pos="1650" w:val="left" w:leader="none"/>
        </w:tabs>
        <w:spacing w:line="249" w:lineRule="auto" w:before="5" w:after="0"/>
        <w:ind w:left="1074" w:right="1277" w:firstLine="340"/>
        <w:jc w:val="both"/>
        <w:rPr>
          <w:sz w:val="20"/>
        </w:rPr>
      </w:pPr>
      <w:r>
        <w:rPr>
          <w:sz w:val="20"/>
        </w:rPr>
        <w:t>El doble del importe de los beneficios obtenidos o de las pérdidas evitadas con la infracción, en caso de que pueda</w:t>
      </w:r>
      <w:r>
        <w:rPr>
          <w:spacing w:val="-8"/>
          <w:sz w:val="20"/>
        </w:rPr>
        <w:t> </w:t>
      </w:r>
      <w:r>
        <w:rPr>
          <w:sz w:val="20"/>
        </w:rPr>
        <w:t>determinarse.</w:t>
      </w:r>
    </w:p>
    <w:p>
      <w:pPr>
        <w:pStyle w:val="ListParagraph"/>
        <w:numPr>
          <w:ilvl w:val="0"/>
          <w:numId w:val="337"/>
        </w:numPr>
        <w:tabs>
          <w:tab w:pos="1583" w:val="left" w:leader="none"/>
        </w:tabs>
        <w:spacing w:line="249" w:lineRule="auto" w:before="122" w:after="0"/>
        <w:ind w:left="1074" w:right="1274" w:firstLine="340"/>
        <w:jc w:val="left"/>
        <w:rPr>
          <w:sz w:val="20"/>
        </w:rPr>
      </w:pPr>
      <w:r>
        <w:rPr>
          <w:sz w:val="20"/>
        </w:rPr>
        <w:t>º Si se trata de una persona física, multa por importe de hasta la mayor de</w:t>
      </w:r>
      <w:r>
        <w:rPr>
          <w:spacing w:val="-3"/>
          <w:sz w:val="20"/>
        </w:rPr>
        <w:t> </w:t>
      </w:r>
      <w:r>
        <w:rPr>
          <w:sz w:val="20"/>
        </w:rPr>
        <w:t>las siguientes cantidades:</w:t>
      </w:r>
    </w:p>
    <w:p>
      <w:pPr>
        <w:pStyle w:val="BodyText"/>
        <w:spacing w:line="249" w:lineRule="auto" w:before="122"/>
        <w:ind w:right="1277"/>
      </w:pPr>
      <w:r>
        <w:rPr/>
        <w:t>10.000 euros o el doble del importe de los beneficios obtenidos o de las pérdidas evitadas con la infracción, en caso de que pueda</w:t>
      </w:r>
      <w:r>
        <w:rPr>
          <w:spacing w:val="-13"/>
        </w:rPr>
        <w:t> </w:t>
      </w:r>
      <w:r>
        <w:rPr/>
        <w:t>determinarse.</w:t>
      </w:r>
    </w:p>
    <w:p>
      <w:pPr>
        <w:pStyle w:val="BodyText"/>
        <w:spacing w:line="249" w:lineRule="auto" w:before="121"/>
        <w:ind w:right="1272"/>
      </w:pPr>
      <w:r>
        <w:rPr/>
        <w:t>5. A efectos de las sanciones previstas, se entenderá por volumen de negocio para mediadores de seguros y reaseguros el total de remuneraciones generadas por la actividad de distribución de seguros y reaseguros correspondiente a contratos perfeccionados o prorrogados en el último ejercicio económico cerrado con anterioridad a la comisión de la infracción. Para aquellos mediadores de seguros y de reaseguros que operen en régimen de derecho de establecimiento o de libre prestación de servicios, esta cifra se referirá al volumen de negocio en</w:t>
      </w:r>
      <w:r>
        <w:rPr>
          <w:spacing w:val="-4"/>
        </w:rPr>
        <w:t> </w:t>
      </w:r>
      <w:r>
        <w:rPr/>
        <w:t>España.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5"/>
      </w:pPr>
      <w:r>
        <w:rPr/>
        <w:t>En el caso de entidades aseguradoras y reaseguradoras se entiende por volumen de negocio lo dispuesto en el artículo 198.c) de la Ley 20/2015, de 14 de julio.</w:t>
      </w:r>
    </w:p>
    <w:p>
      <w:pPr>
        <w:pStyle w:val="BodyText"/>
        <w:spacing w:before="4"/>
        <w:ind w:left="0" w:firstLine="0"/>
        <w:jc w:val="left"/>
      </w:pPr>
    </w:p>
    <w:p>
      <w:pPr>
        <w:spacing w:line="249" w:lineRule="auto" w:before="0"/>
        <w:ind w:left="1074" w:right="1273" w:firstLine="0"/>
        <w:jc w:val="both"/>
        <w:rPr>
          <w:i/>
          <w:sz w:val="20"/>
        </w:rPr>
      </w:pPr>
      <w:bookmarkStart w:name="Artículo 195. Responsabilidad de quienes" w:id="322"/>
      <w:bookmarkEnd w:id="322"/>
      <w:r>
        <w:rPr/>
      </w:r>
      <w:r>
        <w:rPr>
          <w:b/>
          <w:sz w:val="20"/>
        </w:rPr>
        <w:t>Artículo 195. </w:t>
      </w:r>
      <w:r>
        <w:rPr>
          <w:i/>
          <w:sz w:val="20"/>
        </w:rPr>
        <w:t>Responsabilidad de quienes ejercen cargos de administración, de la persona </w:t>
      </w:r>
      <w:r>
        <w:rPr>
          <w:i/>
          <w:sz w:val="20"/>
        </w:rPr>
        <w:t>responsable de la actividad de distribución o de quienes formen parte del órgano de dirección responsable de la actividad de distribución en las entidades aseguradoras y reaseguradoras, sociedades de agencia de seguros, operadores de banca-seguros, sociedades de correduría de seguros y sociedades de correduría de</w:t>
      </w:r>
      <w:r>
        <w:rPr>
          <w:i/>
          <w:spacing w:val="-6"/>
          <w:sz w:val="20"/>
        </w:rPr>
        <w:t> </w:t>
      </w:r>
      <w:r>
        <w:rPr>
          <w:i/>
          <w:sz w:val="20"/>
        </w:rPr>
        <w:t>reaseguros.</w:t>
      </w:r>
    </w:p>
    <w:p>
      <w:pPr>
        <w:pStyle w:val="ListParagraph"/>
        <w:numPr>
          <w:ilvl w:val="0"/>
          <w:numId w:val="338"/>
        </w:numPr>
        <w:tabs>
          <w:tab w:pos="1643" w:val="left" w:leader="none"/>
        </w:tabs>
        <w:spacing w:line="249" w:lineRule="auto" w:before="112" w:after="0"/>
        <w:ind w:left="1074" w:right="1273" w:firstLine="340"/>
        <w:jc w:val="both"/>
        <w:rPr>
          <w:sz w:val="20"/>
        </w:rPr>
      </w:pPr>
      <w:r>
        <w:rPr>
          <w:sz w:val="20"/>
        </w:rPr>
        <w:t>Quien ejerza cargos de administración, de hecho o de derecho, sea responsable de la actividad de distribución o forme parte del órgano de dirección responsable de la actividad de distribución, será responsable de las infracciones muy graves o graves cometidas por los distribuidores de seguros o reaseguros cuando estas sean imputables a su conducta dolosa o</w:t>
      </w:r>
      <w:r>
        <w:rPr>
          <w:spacing w:val="-2"/>
          <w:sz w:val="20"/>
        </w:rPr>
        <w:t> </w:t>
      </w:r>
      <w:r>
        <w:rPr>
          <w:sz w:val="20"/>
        </w:rPr>
        <w:t>negligente.</w:t>
      </w:r>
    </w:p>
    <w:p>
      <w:pPr>
        <w:pStyle w:val="ListParagraph"/>
        <w:numPr>
          <w:ilvl w:val="0"/>
          <w:numId w:val="338"/>
        </w:numPr>
        <w:tabs>
          <w:tab w:pos="1711" w:val="left" w:leader="none"/>
        </w:tabs>
        <w:spacing w:line="249" w:lineRule="auto" w:before="4" w:after="0"/>
        <w:ind w:left="1074" w:right="1273" w:firstLine="340"/>
        <w:jc w:val="both"/>
        <w:rPr>
          <w:sz w:val="20"/>
        </w:rPr>
      </w:pPr>
      <w:r>
        <w:rPr>
          <w:sz w:val="20"/>
        </w:rPr>
        <w:t>A los efectos de lo dispuesto en el apartado anterior, no serán considerados responsables de las infracciones muy graves o graves cometidas por los distribuidores de seguros o reaseguros, en los siguientes</w:t>
      </w:r>
      <w:r>
        <w:rPr>
          <w:spacing w:val="-4"/>
          <w:sz w:val="20"/>
        </w:rPr>
        <w:t> </w:t>
      </w:r>
      <w:r>
        <w:rPr>
          <w:sz w:val="20"/>
        </w:rPr>
        <w:t>casos:</w:t>
      </w:r>
    </w:p>
    <w:p>
      <w:pPr>
        <w:pStyle w:val="ListParagraph"/>
        <w:numPr>
          <w:ilvl w:val="0"/>
          <w:numId w:val="339"/>
        </w:numPr>
        <w:tabs>
          <w:tab w:pos="1671" w:val="left" w:leader="none"/>
        </w:tabs>
        <w:spacing w:line="249" w:lineRule="auto" w:before="122" w:after="0"/>
        <w:ind w:left="1074" w:right="1273" w:firstLine="340"/>
        <w:jc w:val="both"/>
        <w:rPr>
          <w:sz w:val="20"/>
        </w:rPr>
      </w:pPr>
      <w:r>
        <w:rPr>
          <w:sz w:val="20"/>
        </w:rPr>
        <w:t>Cuando quienes formen parte de órganos colegiados de administración no hubieran asistido por causa justificada a las reuniones correspondientes o hubiesen votado en contra o salvado su voto en relación con las decisiones o acuerdos que hubiesen dado lugar a las infracciones.</w:t>
      </w:r>
    </w:p>
    <w:p>
      <w:pPr>
        <w:pStyle w:val="ListParagraph"/>
        <w:numPr>
          <w:ilvl w:val="0"/>
          <w:numId w:val="339"/>
        </w:numPr>
        <w:tabs>
          <w:tab w:pos="1657" w:val="left" w:leader="none"/>
        </w:tabs>
        <w:spacing w:line="249" w:lineRule="auto" w:before="3" w:after="0"/>
        <w:ind w:left="1074" w:right="1275" w:firstLine="340"/>
        <w:jc w:val="both"/>
        <w:rPr>
          <w:sz w:val="20"/>
        </w:rPr>
      </w:pPr>
      <w:r>
        <w:rPr>
          <w:sz w:val="20"/>
        </w:rPr>
        <w:t>Cuando dichas infracciones sean exclusivamente imputables a comisiones ejecutivas, consejeros delegados, directores generales u órganos asimilados, u otras personas con funciones directivas en la</w:t>
      </w:r>
      <w:r>
        <w:rPr>
          <w:spacing w:val="-4"/>
          <w:sz w:val="20"/>
        </w:rPr>
        <w:t> </w:t>
      </w:r>
      <w:r>
        <w:rPr>
          <w:sz w:val="20"/>
        </w:rPr>
        <w:t>sociedad.</w:t>
      </w:r>
    </w:p>
    <w:p>
      <w:pPr>
        <w:pStyle w:val="ListParagraph"/>
        <w:numPr>
          <w:ilvl w:val="0"/>
          <w:numId w:val="338"/>
        </w:numPr>
        <w:tabs>
          <w:tab w:pos="1672" w:val="left" w:leader="none"/>
        </w:tabs>
        <w:spacing w:line="249" w:lineRule="auto" w:before="123" w:after="0"/>
        <w:ind w:left="1074" w:right="1273" w:firstLine="340"/>
        <w:jc w:val="both"/>
        <w:rPr>
          <w:sz w:val="20"/>
        </w:rPr>
      </w:pPr>
      <w:r>
        <w:rPr>
          <w:sz w:val="20"/>
        </w:rPr>
        <w:t>Con independencia de la sanción que corresponda imponer a los distribuidores de seguros o reaseguros por la comisión de infracciones muy graves, se impondrá una de las siguientes sanciones a quienes, conforme a lo dispuesto en el apartado 1, sean responsables de dichas</w:t>
      </w:r>
      <w:r>
        <w:rPr>
          <w:spacing w:val="-3"/>
          <w:sz w:val="20"/>
        </w:rPr>
        <w:t> </w:t>
      </w:r>
      <w:r>
        <w:rPr>
          <w:sz w:val="20"/>
        </w:rPr>
        <w:t>infracciones:</w:t>
      </w:r>
    </w:p>
    <w:p>
      <w:pPr>
        <w:pStyle w:val="ListParagraph"/>
        <w:numPr>
          <w:ilvl w:val="0"/>
          <w:numId w:val="340"/>
        </w:numPr>
        <w:tabs>
          <w:tab w:pos="1708" w:val="left" w:leader="none"/>
        </w:tabs>
        <w:spacing w:line="249" w:lineRule="auto" w:before="123" w:after="0"/>
        <w:ind w:left="1074" w:right="1273" w:firstLine="340"/>
        <w:jc w:val="both"/>
        <w:rPr>
          <w:sz w:val="20"/>
        </w:rPr>
      </w:pPr>
      <w:r>
        <w:rPr>
          <w:sz w:val="20"/>
        </w:rPr>
        <w:t>Separación del cargo con inhabilitación para ejercer cargos de administración o dirección en cualquier sociedad de distribución de seguros o de reaseguros, por un plazo no inferior a cinco años ni superior a diez</w:t>
      </w:r>
      <w:r>
        <w:rPr>
          <w:spacing w:val="-8"/>
          <w:sz w:val="20"/>
        </w:rPr>
        <w:t> </w:t>
      </w:r>
      <w:r>
        <w:rPr>
          <w:sz w:val="20"/>
        </w:rPr>
        <w:t>años.</w:t>
      </w:r>
    </w:p>
    <w:p>
      <w:pPr>
        <w:pStyle w:val="ListParagraph"/>
        <w:numPr>
          <w:ilvl w:val="0"/>
          <w:numId w:val="340"/>
        </w:numPr>
        <w:tabs>
          <w:tab w:pos="1681" w:val="left" w:leader="none"/>
        </w:tabs>
        <w:spacing w:line="249" w:lineRule="auto" w:before="3" w:after="0"/>
        <w:ind w:left="1074" w:right="1273" w:firstLine="340"/>
        <w:jc w:val="both"/>
        <w:rPr>
          <w:sz w:val="20"/>
        </w:rPr>
      </w:pPr>
      <w:r>
        <w:rPr>
          <w:sz w:val="20"/>
        </w:rPr>
        <w:t>Suspensión temporal en el ejercicio del cargo por un plazo no inferior a un año ni superior a cinco</w:t>
      </w:r>
      <w:r>
        <w:rPr>
          <w:spacing w:val="-2"/>
          <w:sz w:val="20"/>
        </w:rPr>
        <w:t> </w:t>
      </w:r>
      <w:r>
        <w:rPr>
          <w:sz w:val="20"/>
        </w:rPr>
        <w:t>años.</w:t>
      </w:r>
    </w:p>
    <w:p>
      <w:pPr>
        <w:pStyle w:val="ListParagraph"/>
        <w:numPr>
          <w:ilvl w:val="0"/>
          <w:numId w:val="340"/>
        </w:numPr>
        <w:tabs>
          <w:tab w:pos="1637" w:val="left" w:leader="none"/>
        </w:tabs>
        <w:spacing w:line="240" w:lineRule="auto" w:before="1" w:after="0"/>
        <w:ind w:left="1636" w:right="0" w:hanging="223"/>
        <w:jc w:val="both"/>
        <w:rPr>
          <w:sz w:val="20"/>
        </w:rPr>
      </w:pPr>
      <w:r>
        <w:rPr>
          <w:sz w:val="20"/>
        </w:rPr>
        <w:t>Multa, a cada uno de ellos, por un importe máximo de 200.000</w:t>
      </w:r>
      <w:r>
        <w:rPr>
          <w:spacing w:val="-15"/>
          <w:sz w:val="20"/>
        </w:rPr>
        <w:t> </w:t>
      </w:r>
      <w:r>
        <w:rPr>
          <w:sz w:val="20"/>
        </w:rPr>
        <w:t>euros.</w:t>
      </w:r>
    </w:p>
    <w:p>
      <w:pPr>
        <w:pStyle w:val="BodyText"/>
        <w:spacing w:line="249" w:lineRule="auto" w:before="130"/>
        <w:ind w:right="1275"/>
      </w:pPr>
      <w:r>
        <w:rPr/>
        <w:t>No obstante lo dispuesto en el párrafo anterior, en el caso de imposición de la sanción prevista en la letra a) podrá aplicarse simultáneamente la sanción prevista en la letra c).</w:t>
      </w:r>
    </w:p>
    <w:p>
      <w:pPr>
        <w:pStyle w:val="ListParagraph"/>
        <w:numPr>
          <w:ilvl w:val="0"/>
          <w:numId w:val="338"/>
        </w:numPr>
        <w:tabs>
          <w:tab w:pos="1672" w:val="left" w:leader="none"/>
        </w:tabs>
        <w:spacing w:line="249" w:lineRule="auto" w:before="2" w:after="0"/>
        <w:ind w:left="1074" w:right="1274" w:firstLine="340"/>
        <w:jc w:val="both"/>
        <w:rPr>
          <w:sz w:val="20"/>
        </w:rPr>
      </w:pPr>
      <w:r>
        <w:rPr>
          <w:sz w:val="20"/>
        </w:rPr>
        <w:t>Con independencia de la sanción que corresponda imponer a los distribuidores de seguros o reaseguros por la comisión de infracciones graves, se impondrá una de las siguientes sanciones a quienes, conforme a lo dispuesto en el apartado 1, sean responsables de dichas</w:t>
      </w:r>
      <w:r>
        <w:rPr>
          <w:spacing w:val="-3"/>
          <w:sz w:val="20"/>
        </w:rPr>
        <w:t> </w:t>
      </w:r>
      <w:r>
        <w:rPr>
          <w:sz w:val="20"/>
        </w:rPr>
        <w:t>infracciones:</w:t>
      </w:r>
    </w:p>
    <w:p>
      <w:pPr>
        <w:pStyle w:val="ListParagraph"/>
        <w:numPr>
          <w:ilvl w:val="0"/>
          <w:numId w:val="341"/>
        </w:numPr>
        <w:tabs>
          <w:tab w:pos="1648" w:val="left" w:leader="none"/>
        </w:tabs>
        <w:spacing w:line="240" w:lineRule="auto" w:before="123" w:after="0"/>
        <w:ind w:left="1647" w:right="0" w:hanging="234"/>
        <w:jc w:val="left"/>
        <w:rPr>
          <w:sz w:val="20"/>
        </w:rPr>
      </w:pPr>
      <w:r>
        <w:rPr>
          <w:sz w:val="20"/>
        </w:rPr>
        <w:t>Suspensión temporal en el ejercicio del cargo por plazo no superior a un</w:t>
      </w:r>
      <w:r>
        <w:rPr>
          <w:spacing w:val="-15"/>
          <w:sz w:val="20"/>
        </w:rPr>
        <w:t> </w:t>
      </w:r>
      <w:r>
        <w:rPr>
          <w:sz w:val="20"/>
        </w:rPr>
        <w:t>año.</w:t>
      </w:r>
    </w:p>
    <w:p>
      <w:pPr>
        <w:pStyle w:val="ListParagraph"/>
        <w:numPr>
          <w:ilvl w:val="0"/>
          <w:numId w:val="341"/>
        </w:numPr>
        <w:tabs>
          <w:tab w:pos="1671" w:val="left" w:leader="none"/>
        </w:tabs>
        <w:spacing w:line="249" w:lineRule="auto" w:before="10" w:after="0"/>
        <w:ind w:left="1074" w:right="1274" w:firstLine="340"/>
        <w:jc w:val="left"/>
        <w:rPr>
          <w:sz w:val="20"/>
        </w:rPr>
      </w:pPr>
      <w:r>
        <w:rPr>
          <w:sz w:val="20"/>
        </w:rPr>
        <w:t>Multa, a cada uno de ellos, por un importe máximo de 100.000 euros. Esta sanción podrá imponerse simultáneamente con la prevista en la letra</w:t>
      </w:r>
      <w:r>
        <w:rPr>
          <w:spacing w:val="-12"/>
          <w:sz w:val="20"/>
        </w:rPr>
        <w:t> </w:t>
      </w:r>
      <w:r>
        <w:rPr>
          <w:sz w:val="20"/>
        </w:rPr>
        <w:t>a).</w:t>
      </w:r>
    </w:p>
    <w:p>
      <w:pPr>
        <w:pStyle w:val="ListParagraph"/>
        <w:numPr>
          <w:ilvl w:val="0"/>
          <w:numId w:val="341"/>
        </w:numPr>
        <w:tabs>
          <w:tab w:pos="1637" w:val="left" w:leader="none"/>
        </w:tabs>
        <w:spacing w:line="240" w:lineRule="auto" w:before="2" w:after="0"/>
        <w:ind w:left="1636" w:right="0" w:hanging="223"/>
        <w:jc w:val="left"/>
        <w:rPr>
          <w:sz w:val="20"/>
        </w:rPr>
      </w:pPr>
      <w:r>
        <w:rPr>
          <w:sz w:val="20"/>
        </w:rPr>
        <w:t>Dar publicidad a la conducta constitutiva de infracción y de la sanción</w:t>
      </w:r>
      <w:r>
        <w:rPr>
          <w:spacing w:val="-17"/>
          <w:sz w:val="20"/>
        </w:rPr>
        <w:t> </w:t>
      </w:r>
      <w:r>
        <w:rPr>
          <w:sz w:val="20"/>
        </w:rPr>
        <w:t>impuesta.</w:t>
      </w:r>
    </w:p>
    <w:p>
      <w:pPr>
        <w:pStyle w:val="ListParagraph"/>
        <w:numPr>
          <w:ilvl w:val="0"/>
          <w:numId w:val="341"/>
        </w:numPr>
        <w:tabs>
          <w:tab w:pos="1648" w:val="left" w:leader="none"/>
        </w:tabs>
        <w:spacing w:line="240" w:lineRule="auto" w:before="10" w:after="0"/>
        <w:ind w:left="1647" w:right="0" w:hanging="234"/>
        <w:jc w:val="left"/>
        <w:rPr>
          <w:sz w:val="20"/>
        </w:rPr>
      </w:pPr>
      <w:r>
        <w:rPr>
          <w:sz w:val="20"/>
        </w:rPr>
        <w:t>Amonestación</w:t>
      </w:r>
      <w:r>
        <w:rPr>
          <w:spacing w:val="-1"/>
          <w:sz w:val="20"/>
        </w:rPr>
        <w:t> </w:t>
      </w:r>
      <w:r>
        <w:rPr>
          <w:sz w:val="20"/>
        </w:rPr>
        <w:t>privada.</w:t>
      </w:r>
    </w:p>
    <w:p>
      <w:pPr>
        <w:pStyle w:val="BodyText"/>
        <w:spacing w:before="1"/>
        <w:ind w:left="0" w:firstLine="0"/>
        <w:jc w:val="left"/>
        <w:rPr>
          <w:sz w:val="21"/>
        </w:rPr>
      </w:pPr>
    </w:p>
    <w:p>
      <w:pPr>
        <w:spacing w:before="0"/>
        <w:ind w:left="1074" w:right="0" w:firstLine="0"/>
        <w:jc w:val="left"/>
        <w:rPr>
          <w:i/>
          <w:sz w:val="20"/>
        </w:rPr>
      </w:pPr>
      <w:bookmarkStart w:name="Artículo 196. Criterios de graduación de" w:id="323"/>
      <w:bookmarkEnd w:id="323"/>
      <w:r>
        <w:rPr/>
      </w:r>
      <w:r>
        <w:rPr>
          <w:b/>
          <w:sz w:val="20"/>
        </w:rPr>
        <w:t>Artículo 196. </w:t>
      </w:r>
      <w:r>
        <w:rPr>
          <w:i/>
          <w:sz w:val="20"/>
        </w:rPr>
        <w:t>Criterios de graduación de las sanciones.</w:t>
      </w:r>
    </w:p>
    <w:p>
      <w:pPr>
        <w:pStyle w:val="ListParagraph"/>
        <w:numPr>
          <w:ilvl w:val="0"/>
          <w:numId w:val="342"/>
        </w:numPr>
        <w:tabs>
          <w:tab w:pos="1675" w:val="left" w:leader="none"/>
        </w:tabs>
        <w:spacing w:line="249" w:lineRule="auto" w:before="118" w:after="0"/>
        <w:ind w:left="1074" w:right="1273" w:firstLine="340"/>
        <w:jc w:val="left"/>
        <w:rPr>
          <w:sz w:val="20"/>
        </w:rPr>
      </w:pPr>
      <w:r>
        <w:rPr>
          <w:sz w:val="20"/>
        </w:rPr>
        <w:t>En la imposición de sanciones se tendrán en cuenta los factores de agravación o atenuación que pudieran</w:t>
      </w:r>
      <w:r>
        <w:rPr>
          <w:spacing w:val="-4"/>
          <w:sz w:val="20"/>
        </w:rPr>
        <w:t> </w:t>
      </w:r>
      <w:r>
        <w:rPr>
          <w:sz w:val="20"/>
        </w:rPr>
        <w:t>concurrir.</w:t>
      </w:r>
    </w:p>
    <w:p>
      <w:pPr>
        <w:pStyle w:val="ListParagraph"/>
        <w:numPr>
          <w:ilvl w:val="0"/>
          <w:numId w:val="342"/>
        </w:numPr>
        <w:tabs>
          <w:tab w:pos="1750" w:val="left" w:leader="none"/>
        </w:tabs>
        <w:spacing w:line="249" w:lineRule="auto" w:before="1" w:after="0"/>
        <w:ind w:left="1074" w:right="1274" w:firstLine="340"/>
        <w:jc w:val="left"/>
        <w:rPr>
          <w:sz w:val="20"/>
        </w:rPr>
      </w:pPr>
      <w:r>
        <w:rPr>
          <w:sz w:val="20"/>
        </w:rPr>
        <w:t>Se considerarán agravantes o atenuantes, según los casos, las siguientes circunstancias:</w:t>
      </w:r>
    </w:p>
    <w:p>
      <w:pPr>
        <w:pStyle w:val="ListParagraph"/>
        <w:numPr>
          <w:ilvl w:val="0"/>
          <w:numId w:val="343"/>
        </w:numPr>
        <w:tabs>
          <w:tab w:pos="1648" w:val="left" w:leader="none"/>
        </w:tabs>
        <w:spacing w:line="240" w:lineRule="auto" w:before="122" w:after="0"/>
        <w:ind w:left="1647" w:right="0" w:hanging="234"/>
        <w:jc w:val="left"/>
        <w:rPr>
          <w:sz w:val="20"/>
        </w:rPr>
      </w:pPr>
      <w:r>
        <w:rPr>
          <w:sz w:val="20"/>
        </w:rPr>
        <w:t>La gravedad y duración de la</w:t>
      </w:r>
      <w:r>
        <w:rPr>
          <w:spacing w:val="-7"/>
          <w:sz w:val="20"/>
        </w:rPr>
        <w:t> </w:t>
      </w:r>
      <w:r>
        <w:rPr>
          <w:sz w:val="20"/>
        </w:rPr>
        <w:t>infracción;</w:t>
      </w:r>
    </w:p>
    <w:p>
      <w:pPr>
        <w:pStyle w:val="ListParagraph"/>
        <w:numPr>
          <w:ilvl w:val="0"/>
          <w:numId w:val="343"/>
        </w:numPr>
        <w:tabs>
          <w:tab w:pos="1648" w:val="left" w:leader="none"/>
        </w:tabs>
        <w:spacing w:line="240" w:lineRule="auto" w:before="10" w:after="0"/>
        <w:ind w:left="1647" w:right="0" w:hanging="234"/>
        <w:jc w:val="left"/>
        <w:rPr>
          <w:sz w:val="20"/>
        </w:rPr>
      </w:pPr>
      <w:r>
        <w:rPr>
          <w:sz w:val="20"/>
        </w:rPr>
        <w:t>el grado de responsabilidad del sujeto</w:t>
      </w:r>
      <w:r>
        <w:rPr>
          <w:spacing w:val="-6"/>
          <w:sz w:val="20"/>
        </w:rPr>
        <w:t> </w:t>
      </w:r>
      <w:r>
        <w:rPr>
          <w:sz w:val="20"/>
        </w:rPr>
        <w:t>infractor;</w:t>
      </w:r>
    </w:p>
    <w:p>
      <w:pPr>
        <w:spacing w:after="0" w:line="240"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343"/>
        </w:numPr>
        <w:tabs>
          <w:tab w:pos="1655" w:val="left" w:leader="none"/>
        </w:tabs>
        <w:spacing w:line="249" w:lineRule="auto" w:before="127" w:after="0"/>
        <w:ind w:left="1074" w:right="1272" w:firstLine="340"/>
        <w:jc w:val="both"/>
        <w:rPr>
          <w:sz w:val="20"/>
        </w:rPr>
      </w:pPr>
      <w:r>
        <w:rPr>
          <w:sz w:val="20"/>
        </w:rPr>
        <w:t>la solidez financiera del sujeto infractor, reflejada, bien en los ingresos anuales de la persona física responsable, o bien en el volumen de negocio total de la persona jurídica responsable;</w:t>
      </w:r>
    </w:p>
    <w:p>
      <w:pPr>
        <w:pStyle w:val="ListParagraph"/>
        <w:numPr>
          <w:ilvl w:val="0"/>
          <w:numId w:val="343"/>
        </w:numPr>
        <w:tabs>
          <w:tab w:pos="1705" w:val="left" w:leader="none"/>
        </w:tabs>
        <w:spacing w:line="249" w:lineRule="auto" w:before="2" w:after="0"/>
        <w:ind w:left="1074" w:right="1275" w:firstLine="340"/>
        <w:jc w:val="both"/>
        <w:rPr>
          <w:sz w:val="20"/>
        </w:rPr>
      </w:pPr>
      <w:r>
        <w:rPr>
          <w:sz w:val="20"/>
        </w:rPr>
        <w:t>la importancia de los beneficios obtenidos o las pérdidas evitadas por el sujeto infractor, en la medida en que puedan</w:t>
      </w:r>
      <w:r>
        <w:rPr>
          <w:spacing w:val="-10"/>
          <w:sz w:val="20"/>
        </w:rPr>
        <w:t> </w:t>
      </w:r>
      <w:r>
        <w:rPr>
          <w:sz w:val="20"/>
        </w:rPr>
        <w:t>determinarse;</w:t>
      </w:r>
    </w:p>
    <w:p>
      <w:pPr>
        <w:pStyle w:val="ListParagraph"/>
        <w:numPr>
          <w:ilvl w:val="0"/>
          <w:numId w:val="343"/>
        </w:numPr>
        <w:tabs>
          <w:tab w:pos="1661" w:val="left" w:leader="none"/>
        </w:tabs>
        <w:spacing w:line="249" w:lineRule="auto" w:before="2" w:after="0"/>
        <w:ind w:left="1074" w:right="1275" w:firstLine="340"/>
        <w:jc w:val="both"/>
        <w:rPr>
          <w:sz w:val="20"/>
        </w:rPr>
      </w:pPr>
      <w:r>
        <w:rPr>
          <w:sz w:val="20"/>
        </w:rPr>
        <w:t>las pérdidas para clientes y terceros causadas por la infracción, en la medida en que puedan</w:t>
      </w:r>
      <w:r>
        <w:rPr>
          <w:spacing w:val="-2"/>
          <w:sz w:val="20"/>
        </w:rPr>
        <w:t> </w:t>
      </w:r>
      <w:r>
        <w:rPr>
          <w:sz w:val="20"/>
        </w:rPr>
        <w:t>determinarse;</w:t>
      </w:r>
    </w:p>
    <w:p>
      <w:pPr>
        <w:pStyle w:val="ListParagraph"/>
        <w:numPr>
          <w:ilvl w:val="0"/>
          <w:numId w:val="343"/>
        </w:numPr>
        <w:tabs>
          <w:tab w:pos="1593" w:val="left" w:leader="none"/>
        </w:tabs>
        <w:spacing w:line="240" w:lineRule="auto" w:before="1" w:after="0"/>
        <w:ind w:left="1592" w:right="0" w:hanging="179"/>
        <w:jc w:val="both"/>
        <w:rPr>
          <w:sz w:val="20"/>
        </w:rPr>
      </w:pPr>
      <w:r>
        <w:rPr>
          <w:sz w:val="20"/>
        </w:rPr>
        <w:t>el nivel de cooperación del sujeto infractor con la autoridad</w:t>
      </w:r>
      <w:r>
        <w:rPr>
          <w:spacing w:val="-12"/>
          <w:sz w:val="20"/>
        </w:rPr>
        <w:t> </w:t>
      </w:r>
      <w:r>
        <w:rPr>
          <w:sz w:val="20"/>
        </w:rPr>
        <w:t>competente;</w:t>
      </w:r>
    </w:p>
    <w:p>
      <w:pPr>
        <w:pStyle w:val="ListParagraph"/>
        <w:numPr>
          <w:ilvl w:val="0"/>
          <w:numId w:val="343"/>
        </w:numPr>
        <w:tabs>
          <w:tab w:pos="1665" w:val="left" w:leader="none"/>
        </w:tabs>
        <w:spacing w:line="249" w:lineRule="auto" w:before="10" w:after="0"/>
        <w:ind w:left="1074" w:right="1275" w:firstLine="340"/>
        <w:jc w:val="both"/>
        <w:rPr>
          <w:sz w:val="20"/>
        </w:rPr>
      </w:pPr>
      <w:r>
        <w:rPr>
          <w:sz w:val="20"/>
        </w:rPr>
        <w:t>las medidas adoptadas por el sujeto infractor con el fin de evitar que la infracción se repita, y</w:t>
      </w:r>
    </w:p>
    <w:p>
      <w:pPr>
        <w:pStyle w:val="ListParagraph"/>
        <w:numPr>
          <w:ilvl w:val="0"/>
          <w:numId w:val="343"/>
        </w:numPr>
        <w:tabs>
          <w:tab w:pos="1648" w:val="left" w:leader="none"/>
        </w:tabs>
        <w:spacing w:line="240" w:lineRule="auto" w:before="2" w:after="0"/>
        <w:ind w:left="1647" w:right="0" w:hanging="234"/>
        <w:jc w:val="both"/>
        <w:rPr>
          <w:sz w:val="20"/>
        </w:rPr>
      </w:pPr>
      <w:r>
        <w:rPr>
          <w:sz w:val="20"/>
        </w:rPr>
        <w:t>en su caso, las infracciones anteriores del sujeto</w:t>
      </w:r>
      <w:r>
        <w:rPr>
          <w:spacing w:val="-9"/>
          <w:sz w:val="20"/>
        </w:rPr>
        <w:t> </w:t>
      </w:r>
      <w:r>
        <w:rPr>
          <w:sz w:val="20"/>
        </w:rPr>
        <w:t>infractor.</w:t>
      </w:r>
    </w:p>
    <w:p>
      <w:pPr>
        <w:pStyle w:val="BodyText"/>
        <w:spacing w:before="1"/>
        <w:ind w:left="0" w:firstLine="0"/>
        <w:jc w:val="left"/>
        <w:rPr>
          <w:sz w:val="21"/>
        </w:rPr>
      </w:pPr>
    </w:p>
    <w:p>
      <w:pPr>
        <w:spacing w:before="0"/>
        <w:ind w:left="1074" w:right="0" w:firstLine="0"/>
        <w:jc w:val="both"/>
        <w:rPr>
          <w:i/>
          <w:sz w:val="20"/>
        </w:rPr>
      </w:pPr>
      <w:bookmarkStart w:name="Artículo 197. Prescripción de sanciones." w:id="324"/>
      <w:bookmarkEnd w:id="324"/>
      <w:r>
        <w:rPr/>
      </w:r>
      <w:r>
        <w:rPr>
          <w:b/>
          <w:sz w:val="20"/>
        </w:rPr>
        <w:t>Artículo 197. </w:t>
      </w:r>
      <w:r>
        <w:rPr>
          <w:i/>
          <w:sz w:val="20"/>
        </w:rPr>
        <w:t>Prescripción de sanciones.</w:t>
      </w:r>
    </w:p>
    <w:p>
      <w:pPr>
        <w:pStyle w:val="ListParagraph"/>
        <w:numPr>
          <w:ilvl w:val="0"/>
          <w:numId w:val="344"/>
        </w:numPr>
        <w:tabs>
          <w:tab w:pos="1714" w:val="left" w:leader="none"/>
        </w:tabs>
        <w:spacing w:line="249" w:lineRule="auto" w:before="118" w:after="0"/>
        <w:ind w:left="1074" w:right="1274" w:firstLine="340"/>
        <w:jc w:val="both"/>
        <w:rPr>
          <w:sz w:val="20"/>
        </w:rPr>
      </w:pPr>
      <w:r>
        <w:rPr>
          <w:sz w:val="20"/>
        </w:rPr>
        <w:t>Las sanciones por infracciones muy graves prescribirán a los cinco años, las sanciones por infracciones graves, a los cuatro, y las sanciones por infracciones leves a los dos</w:t>
      </w:r>
      <w:r>
        <w:rPr>
          <w:spacing w:val="-2"/>
          <w:sz w:val="20"/>
        </w:rPr>
        <w:t> </w:t>
      </w:r>
      <w:r>
        <w:rPr>
          <w:sz w:val="20"/>
        </w:rPr>
        <w:t>años.</w:t>
      </w:r>
    </w:p>
    <w:p>
      <w:pPr>
        <w:pStyle w:val="ListParagraph"/>
        <w:numPr>
          <w:ilvl w:val="0"/>
          <w:numId w:val="344"/>
        </w:numPr>
        <w:tabs>
          <w:tab w:pos="1638" w:val="left" w:leader="none"/>
        </w:tabs>
        <w:spacing w:line="249" w:lineRule="auto" w:before="2" w:after="0"/>
        <w:ind w:left="1074" w:right="1272" w:firstLine="340"/>
        <w:jc w:val="both"/>
        <w:rPr>
          <w:sz w:val="20"/>
        </w:rPr>
      </w:pPr>
      <w:r>
        <w:rPr>
          <w:sz w:val="20"/>
        </w:rPr>
        <w:t>El plazo de prescripción de las sanciones comenzará a contarse desde el día siguiente a aquel en que adquiera firmeza la resolución por la que se impone la sanción o, en su caso, desde el quebrantamiento de la sanción impuesta, si esta hubiese comenzado a</w:t>
      </w:r>
      <w:r>
        <w:rPr>
          <w:spacing w:val="-37"/>
          <w:sz w:val="20"/>
        </w:rPr>
        <w:t> </w:t>
      </w:r>
      <w:r>
        <w:rPr>
          <w:sz w:val="20"/>
        </w:rPr>
        <w:t>cumplirse.</w:t>
      </w:r>
    </w:p>
    <w:p>
      <w:pPr>
        <w:pStyle w:val="ListParagraph"/>
        <w:numPr>
          <w:ilvl w:val="0"/>
          <w:numId w:val="344"/>
        </w:numPr>
        <w:tabs>
          <w:tab w:pos="1699" w:val="left" w:leader="none"/>
        </w:tabs>
        <w:spacing w:line="249" w:lineRule="auto" w:before="3" w:after="0"/>
        <w:ind w:left="1074" w:right="1274" w:firstLine="340"/>
        <w:jc w:val="both"/>
        <w:rPr>
          <w:sz w:val="20"/>
        </w:rPr>
      </w:pPr>
      <w:r>
        <w:rPr>
          <w:sz w:val="20"/>
        </w:rPr>
        <w:t>Interrumpirá la prescripción la iniciación, con conocimiento del interesado, de la ejecución de la sanción, reiniciándose el plazo si dicha ejecución está paralizada durante más de tres meses por causa no imputable al</w:t>
      </w:r>
      <w:r>
        <w:rPr>
          <w:spacing w:val="-8"/>
          <w:sz w:val="20"/>
        </w:rPr>
        <w:t> </w:t>
      </w:r>
      <w:r>
        <w:rPr>
          <w:sz w:val="20"/>
        </w:rPr>
        <w:t>infractor.</w:t>
      </w:r>
    </w:p>
    <w:p>
      <w:pPr>
        <w:pStyle w:val="BodyText"/>
        <w:spacing w:before="5"/>
        <w:ind w:left="0" w:firstLine="0"/>
        <w:jc w:val="left"/>
      </w:pPr>
    </w:p>
    <w:p>
      <w:pPr>
        <w:spacing w:before="0"/>
        <w:ind w:left="1074" w:right="0" w:firstLine="0"/>
        <w:jc w:val="both"/>
        <w:rPr>
          <w:i/>
          <w:sz w:val="20"/>
        </w:rPr>
      </w:pPr>
      <w:bookmarkStart w:name="Artículo 198. Competencias administrativ" w:id="325"/>
      <w:bookmarkEnd w:id="325"/>
      <w:r>
        <w:rPr/>
      </w:r>
      <w:r>
        <w:rPr>
          <w:b/>
          <w:sz w:val="20"/>
        </w:rPr>
        <w:t>Artículo 198. </w:t>
      </w:r>
      <w:r>
        <w:rPr>
          <w:i/>
          <w:sz w:val="20"/>
        </w:rPr>
        <w:t>Competencias administrativas.</w:t>
      </w:r>
    </w:p>
    <w:p>
      <w:pPr>
        <w:pStyle w:val="BodyText"/>
        <w:spacing w:line="249" w:lineRule="auto" w:before="117"/>
        <w:ind w:right="1278"/>
        <w:jc w:val="left"/>
      </w:pPr>
      <w:r>
        <w:rPr/>
        <w:t>La competencia para la instrucción de los expedientes sancionadores y para la imposición de las sanciones correspondientes se regirá por las siguientes</w:t>
      </w:r>
      <w:r>
        <w:rPr>
          <w:spacing w:val="-11"/>
        </w:rPr>
        <w:t> </w:t>
      </w:r>
      <w:r>
        <w:rPr/>
        <w:t>reglas:</w:t>
      </w:r>
    </w:p>
    <w:p>
      <w:pPr>
        <w:pStyle w:val="ListParagraph"/>
        <w:numPr>
          <w:ilvl w:val="0"/>
          <w:numId w:val="345"/>
        </w:numPr>
        <w:tabs>
          <w:tab w:pos="1675" w:val="left" w:leader="none"/>
        </w:tabs>
        <w:spacing w:line="249" w:lineRule="auto" w:before="122" w:after="0"/>
        <w:ind w:left="1074" w:right="1272" w:firstLine="340"/>
        <w:jc w:val="both"/>
        <w:rPr>
          <w:sz w:val="20"/>
        </w:rPr>
      </w:pPr>
      <w:r>
        <w:rPr>
          <w:sz w:val="20"/>
        </w:rPr>
        <w:t>El inicio de los procedimientos sancionadores corresponderá al Director General de Seguros y Fondos de Pensiones, quien designará a un instructor funcionario destinado en la Dirección General de Seguros y Fondos de</w:t>
      </w:r>
      <w:r>
        <w:rPr>
          <w:spacing w:val="-5"/>
          <w:sz w:val="20"/>
        </w:rPr>
        <w:t> </w:t>
      </w:r>
      <w:r>
        <w:rPr>
          <w:sz w:val="20"/>
        </w:rPr>
        <w:t>Pensiones.</w:t>
      </w:r>
    </w:p>
    <w:p>
      <w:pPr>
        <w:pStyle w:val="ListParagraph"/>
        <w:numPr>
          <w:ilvl w:val="0"/>
          <w:numId w:val="345"/>
        </w:numPr>
        <w:tabs>
          <w:tab w:pos="1659" w:val="left" w:leader="none"/>
        </w:tabs>
        <w:spacing w:line="249" w:lineRule="auto" w:before="2" w:after="0"/>
        <w:ind w:left="1074" w:right="1274" w:firstLine="340"/>
        <w:jc w:val="both"/>
        <w:rPr>
          <w:sz w:val="20"/>
        </w:rPr>
      </w:pPr>
      <w:r>
        <w:rPr>
          <w:sz w:val="20"/>
        </w:rPr>
        <w:t>La imposición de sanciones por infracciones graves y leves corresponderá al Director General de Seguros y Fondos de</w:t>
      </w:r>
      <w:r>
        <w:rPr>
          <w:spacing w:val="-3"/>
          <w:sz w:val="20"/>
        </w:rPr>
        <w:t> </w:t>
      </w:r>
      <w:r>
        <w:rPr>
          <w:sz w:val="20"/>
        </w:rPr>
        <w:t>Pensiones.</w:t>
      </w:r>
    </w:p>
    <w:p>
      <w:pPr>
        <w:pStyle w:val="ListParagraph"/>
        <w:numPr>
          <w:ilvl w:val="0"/>
          <w:numId w:val="345"/>
        </w:numPr>
        <w:tabs>
          <w:tab w:pos="1654" w:val="left" w:leader="none"/>
        </w:tabs>
        <w:spacing w:line="249" w:lineRule="auto" w:before="2" w:after="0"/>
        <w:ind w:left="1074" w:right="1271" w:firstLine="340"/>
        <w:jc w:val="both"/>
        <w:rPr>
          <w:sz w:val="20"/>
        </w:rPr>
      </w:pPr>
      <w:r>
        <w:rPr>
          <w:sz w:val="20"/>
        </w:rPr>
        <w:t>La imposición de sanciones por infracciones muy graves corresponderá a la persona titular del Ministerio de Asuntos Económicos y Transformación Digital, a propuesta de la Dirección General de Seguros y Fondos de</w:t>
      </w:r>
      <w:r>
        <w:rPr>
          <w:spacing w:val="-5"/>
          <w:sz w:val="20"/>
        </w:rPr>
        <w:t> </w:t>
      </w:r>
      <w:r>
        <w:rPr>
          <w:sz w:val="20"/>
        </w:rPr>
        <w:t>Pensiones.</w:t>
      </w:r>
    </w:p>
    <w:p>
      <w:pPr>
        <w:pStyle w:val="BodyText"/>
        <w:spacing w:before="5"/>
        <w:ind w:left="0" w:firstLine="0"/>
        <w:jc w:val="left"/>
      </w:pPr>
    </w:p>
    <w:p>
      <w:pPr>
        <w:spacing w:line="249" w:lineRule="auto" w:before="0"/>
        <w:ind w:left="1074" w:right="1273" w:firstLine="0"/>
        <w:jc w:val="both"/>
        <w:rPr>
          <w:i/>
          <w:sz w:val="20"/>
        </w:rPr>
      </w:pPr>
      <w:bookmarkStart w:name="Artículo 199. Denuncia pública y remisió" w:id="326"/>
      <w:bookmarkEnd w:id="326"/>
      <w:r>
        <w:rPr/>
      </w:r>
      <w:r>
        <w:rPr>
          <w:b/>
          <w:sz w:val="20"/>
        </w:rPr>
        <w:t>Artículo 199. </w:t>
      </w:r>
      <w:r>
        <w:rPr>
          <w:i/>
          <w:sz w:val="20"/>
        </w:rPr>
        <w:t>Denuncia pública y remisión al régimen sancionador de las entidades </w:t>
      </w:r>
      <w:r>
        <w:rPr>
          <w:i/>
          <w:sz w:val="20"/>
        </w:rPr>
        <w:t>aseguradoras.</w:t>
      </w:r>
    </w:p>
    <w:p>
      <w:pPr>
        <w:pStyle w:val="ListParagraph"/>
        <w:numPr>
          <w:ilvl w:val="0"/>
          <w:numId w:val="346"/>
        </w:numPr>
        <w:tabs>
          <w:tab w:pos="1696" w:val="left" w:leader="none"/>
        </w:tabs>
        <w:spacing w:line="249" w:lineRule="auto" w:before="109" w:after="0"/>
        <w:ind w:left="1074" w:right="1275" w:firstLine="340"/>
        <w:jc w:val="both"/>
        <w:rPr>
          <w:sz w:val="20"/>
        </w:rPr>
      </w:pPr>
      <w:r>
        <w:rPr>
          <w:sz w:val="20"/>
        </w:rPr>
        <w:t>Los distribuidores de seguros y reaseguros deberán disponer de procedimientos adecuados para que sus empleados puedan notificar infracciones a nivel interno a través de un canal independiente, específico y autónomo, que podrán ser objeto de desarrollo reglamentario.</w:t>
      </w:r>
    </w:p>
    <w:p>
      <w:pPr>
        <w:pStyle w:val="ListParagraph"/>
        <w:numPr>
          <w:ilvl w:val="0"/>
          <w:numId w:val="346"/>
        </w:numPr>
        <w:tabs>
          <w:tab w:pos="1656" w:val="left" w:leader="none"/>
        </w:tabs>
        <w:spacing w:line="249" w:lineRule="auto" w:before="4" w:after="0"/>
        <w:ind w:left="1074" w:right="1275" w:firstLine="340"/>
        <w:jc w:val="both"/>
        <w:rPr>
          <w:sz w:val="20"/>
        </w:rPr>
      </w:pPr>
      <w:r>
        <w:rPr>
          <w:sz w:val="20"/>
        </w:rPr>
        <w:t>Estos procedimientos deberán garantizar la confidencialidad tanto de la persona que informa de las infracciones como de las personas físicas presuntamente responsables de la infracción.</w:t>
      </w:r>
    </w:p>
    <w:p>
      <w:pPr>
        <w:pStyle w:val="ListParagraph"/>
        <w:numPr>
          <w:ilvl w:val="0"/>
          <w:numId w:val="346"/>
        </w:numPr>
        <w:tabs>
          <w:tab w:pos="1663" w:val="left" w:leader="none"/>
        </w:tabs>
        <w:spacing w:line="249" w:lineRule="auto" w:before="2" w:after="0"/>
        <w:ind w:left="1074" w:right="1274" w:firstLine="340"/>
        <w:jc w:val="both"/>
        <w:rPr>
          <w:sz w:val="20"/>
        </w:rPr>
      </w:pPr>
      <w:r>
        <w:rPr>
          <w:sz w:val="20"/>
        </w:rPr>
        <w:t>Asimismo, deberá garantizarse que los empleados que informen de las infracciones cometidas en la entidad sean protegidos frente a represalias, discriminaciones y cualquier otro tipo de trato</w:t>
      </w:r>
      <w:r>
        <w:rPr>
          <w:spacing w:val="-3"/>
          <w:sz w:val="20"/>
        </w:rPr>
        <w:t> </w:t>
      </w:r>
      <w:r>
        <w:rPr>
          <w:sz w:val="20"/>
        </w:rPr>
        <w:t>injusto.</w:t>
      </w:r>
    </w:p>
    <w:p>
      <w:pPr>
        <w:pStyle w:val="ListParagraph"/>
        <w:numPr>
          <w:ilvl w:val="0"/>
          <w:numId w:val="346"/>
        </w:numPr>
        <w:tabs>
          <w:tab w:pos="1685" w:val="left" w:leader="none"/>
        </w:tabs>
        <w:spacing w:line="249" w:lineRule="auto" w:before="3" w:after="0"/>
        <w:ind w:left="1074" w:right="1272" w:firstLine="340"/>
        <w:jc w:val="both"/>
        <w:rPr>
          <w:sz w:val="20"/>
        </w:rPr>
      </w:pPr>
      <w:r>
        <w:rPr>
          <w:sz w:val="20"/>
        </w:rPr>
        <w:t>En todo lo no previsto expresamente en el título I será de aplicación el régimen sancionador que para las entidades aseguradoras se prevé en la Ley 20/2015, de 14 de julio, singularmente en lo concerniente a los criterios de graduación de sanciones que se recogen en su artículo 205, a las medidas inherentes a la imposición de sanciones administrativas que se prevén en su artículo 206 y a las normas complementarias para el ejercicio de la potestad sancionadora del artículo</w:t>
      </w:r>
      <w:r>
        <w:rPr>
          <w:spacing w:val="-4"/>
          <w:sz w:val="20"/>
        </w:rPr>
        <w:t> </w:t>
      </w:r>
      <w:r>
        <w:rPr>
          <w:sz w:val="20"/>
        </w:rPr>
        <w:t>207.</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before="0"/>
        <w:ind w:left="1074" w:right="0" w:firstLine="0"/>
        <w:jc w:val="both"/>
        <w:rPr>
          <w:i/>
          <w:sz w:val="20"/>
        </w:rPr>
      </w:pPr>
      <w:bookmarkStart w:name="Artículo 200. Medidas de control especia" w:id="327"/>
      <w:bookmarkEnd w:id="327"/>
      <w:r>
        <w:rPr/>
      </w:r>
      <w:r>
        <w:rPr>
          <w:b/>
          <w:sz w:val="20"/>
        </w:rPr>
        <w:t>Artículo 200. </w:t>
      </w:r>
      <w:r>
        <w:rPr>
          <w:i/>
          <w:sz w:val="20"/>
        </w:rPr>
        <w:t>Medidas de control especial.</w:t>
      </w:r>
    </w:p>
    <w:p>
      <w:pPr>
        <w:pStyle w:val="BodyText"/>
        <w:spacing w:line="249" w:lineRule="auto" w:before="118"/>
        <w:ind w:right="1272"/>
      </w:pPr>
      <w:r>
        <w:rPr/>
        <w:t>Con independencia de la sanción que, en su caso, proceda aplicar, la Dirección General de Seguros y Fondos de Pensiones podrá adoptar sobre los mediadores de seguros o de reaseguros alguna de las medidas de control especial con arreglo a lo dispuesto en los artículos 160 y 162 a 165 de la Ley 20/2015, de 14 de julio, siempre que se encuentren en alguna de las situaciones previstas en las letras e) a h), ambas inclusive, del artículo 159.1 de la citada ley, en lo que les sea de</w:t>
      </w:r>
      <w:r>
        <w:rPr>
          <w:spacing w:val="-11"/>
        </w:rPr>
        <w:t> </w:t>
      </w:r>
      <w:r>
        <w:rPr/>
        <w:t>aplicación.</w:t>
      </w:r>
    </w:p>
    <w:p>
      <w:pPr>
        <w:pStyle w:val="BodyText"/>
        <w:spacing w:before="7"/>
        <w:ind w:left="0" w:firstLine="0"/>
        <w:jc w:val="left"/>
      </w:pPr>
    </w:p>
    <w:p>
      <w:pPr>
        <w:spacing w:before="0"/>
        <w:ind w:left="1074" w:right="0" w:firstLine="0"/>
        <w:jc w:val="both"/>
        <w:rPr>
          <w:i/>
          <w:sz w:val="20"/>
        </w:rPr>
      </w:pPr>
      <w:bookmarkStart w:name="Artículo 201. Publicación de sanciones y" w:id="328"/>
      <w:bookmarkEnd w:id="328"/>
      <w:r>
        <w:rPr/>
      </w:r>
      <w:r>
        <w:rPr>
          <w:b/>
          <w:sz w:val="20"/>
        </w:rPr>
        <w:t>Artículo 201. </w:t>
      </w:r>
      <w:r>
        <w:rPr>
          <w:i/>
          <w:sz w:val="20"/>
        </w:rPr>
        <w:t>Publicación de sanciones y de otras medidas.</w:t>
      </w:r>
    </w:p>
    <w:p>
      <w:pPr>
        <w:pStyle w:val="ListParagraph"/>
        <w:numPr>
          <w:ilvl w:val="0"/>
          <w:numId w:val="347"/>
        </w:numPr>
        <w:tabs>
          <w:tab w:pos="1682" w:val="left" w:leader="none"/>
        </w:tabs>
        <w:spacing w:line="249" w:lineRule="auto" w:before="118" w:after="0"/>
        <w:ind w:left="1074" w:right="1272" w:firstLine="340"/>
        <w:jc w:val="both"/>
        <w:rPr>
          <w:sz w:val="20"/>
        </w:rPr>
      </w:pPr>
      <w:r>
        <w:rPr>
          <w:sz w:val="20"/>
        </w:rPr>
        <w:t>La Dirección General de Seguros y Fondos de Pensiones publicará en el Boletín Oficial del Estado las resoluciones sancionadoras o aquellas en las que se haya adoptado cualquier medida administrativa por infracción muy grave o grave de las disposiciones del título I y que sean firmes en vía administrativa, debiéndose informar sobre el tipo y la naturaleza de la infracción y la identidad de las personas responsables de la</w:t>
      </w:r>
      <w:r>
        <w:rPr>
          <w:spacing w:val="-30"/>
          <w:sz w:val="20"/>
        </w:rPr>
        <w:t> </w:t>
      </w:r>
      <w:r>
        <w:rPr>
          <w:sz w:val="20"/>
        </w:rPr>
        <w:t>misma.</w:t>
      </w:r>
    </w:p>
    <w:p>
      <w:pPr>
        <w:pStyle w:val="ListParagraph"/>
        <w:numPr>
          <w:ilvl w:val="0"/>
          <w:numId w:val="347"/>
        </w:numPr>
        <w:tabs>
          <w:tab w:pos="1647" w:val="left" w:leader="none"/>
        </w:tabs>
        <w:spacing w:line="249" w:lineRule="auto" w:before="4" w:after="0"/>
        <w:ind w:left="1074" w:right="1273" w:firstLine="340"/>
        <w:jc w:val="both"/>
        <w:rPr>
          <w:sz w:val="20"/>
        </w:rPr>
      </w:pPr>
      <w:r>
        <w:rPr>
          <w:sz w:val="20"/>
        </w:rPr>
        <w:t>En relación con lo previsto en el apartado anterior, cuando tras una evaluación previa la Dirección General de Seguros y Fondos de Pensiones considere que la publicación de la identidad de la persona jurídica destinataria de la sanción o de los datos personales de la persona física sancionada, pudiera ser desproporcionada o pudiera causar un daño desproporcionado a las entidades o personas físicas sancionadas, en la medida en que se pueda determinar el daño, o que dicha publicación pueda poner en peligro una investigación en curso o la estabilidad de los mercados financieros, podrá acordar cualquiera de las medidas siguientes:</w:t>
      </w:r>
    </w:p>
    <w:p>
      <w:pPr>
        <w:pStyle w:val="ListParagraph"/>
        <w:numPr>
          <w:ilvl w:val="0"/>
          <w:numId w:val="348"/>
        </w:numPr>
        <w:tabs>
          <w:tab w:pos="1701" w:val="left" w:leader="none"/>
        </w:tabs>
        <w:spacing w:line="249" w:lineRule="auto" w:before="127" w:after="0"/>
        <w:ind w:left="1074" w:right="1274" w:firstLine="340"/>
        <w:jc w:val="both"/>
        <w:rPr>
          <w:sz w:val="20"/>
        </w:rPr>
      </w:pPr>
      <w:r>
        <w:rPr>
          <w:sz w:val="20"/>
        </w:rPr>
        <w:t>Diferir la publicación hasta el momento en que dejen de existir los motivos que justifiquen tal</w:t>
      </w:r>
      <w:r>
        <w:rPr>
          <w:spacing w:val="-2"/>
          <w:sz w:val="20"/>
        </w:rPr>
        <w:t> </w:t>
      </w:r>
      <w:r>
        <w:rPr>
          <w:sz w:val="20"/>
        </w:rPr>
        <w:t>retraso;</w:t>
      </w:r>
    </w:p>
    <w:p>
      <w:pPr>
        <w:pStyle w:val="ListParagraph"/>
        <w:numPr>
          <w:ilvl w:val="0"/>
          <w:numId w:val="348"/>
        </w:numPr>
        <w:tabs>
          <w:tab w:pos="1658" w:val="left" w:leader="none"/>
        </w:tabs>
        <w:spacing w:line="249" w:lineRule="auto" w:before="1" w:after="0"/>
        <w:ind w:left="1074" w:right="1274" w:firstLine="340"/>
        <w:jc w:val="both"/>
        <w:rPr>
          <w:sz w:val="20"/>
        </w:rPr>
      </w:pPr>
      <w:r>
        <w:rPr>
          <w:sz w:val="20"/>
        </w:rPr>
        <w:t>publicar la sanción impuesta de manera anónima, cuando dicha publicación garantice la protección efectiva de los datos personales de que se trate. En este caso, la publicación de los datos pertinentes podrá aplazarse por un periodo razonable de tiempo si se prevé que en el transcurso de ese periodo dejarán de existir las razones que justifiquen una publicación con protección del</w:t>
      </w:r>
      <w:r>
        <w:rPr>
          <w:spacing w:val="-3"/>
          <w:sz w:val="20"/>
        </w:rPr>
        <w:t> </w:t>
      </w:r>
      <w:r>
        <w:rPr>
          <w:sz w:val="20"/>
        </w:rPr>
        <w:t>anonimato;</w:t>
      </w:r>
    </w:p>
    <w:p>
      <w:pPr>
        <w:pStyle w:val="ListParagraph"/>
        <w:numPr>
          <w:ilvl w:val="0"/>
          <w:numId w:val="348"/>
        </w:numPr>
        <w:tabs>
          <w:tab w:pos="1653" w:val="left" w:leader="none"/>
        </w:tabs>
        <w:spacing w:line="249" w:lineRule="auto" w:before="4" w:after="0"/>
        <w:ind w:left="1074" w:right="1274" w:firstLine="340"/>
        <w:jc w:val="both"/>
        <w:rPr>
          <w:sz w:val="20"/>
        </w:rPr>
      </w:pPr>
      <w:r>
        <w:rPr>
          <w:sz w:val="20"/>
        </w:rPr>
        <w:t>no publicar la sanción impuesta cuando considere que la publicación de conformidad con las letras a) y b) sería insuficiente para garantizar que no se ponga en peligro la estabilidad de los mercados financieros, o la proporcionalidad de la publicación en relación con las infracciones</w:t>
      </w:r>
      <w:r>
        <w:rPr>
          <w:spacing w:val="-3"/>
          <w:sz w:val="20"/>
        </w:rPr>
        <w:t> </w:t>
      </w:r>
      <w:r>
        <w:rPr>
          <w:sz w:val="20"/>
        </w:rPr>
        <w:t>cometidas.</w:t>
      </w:r>
    </w:p>
    <w:p>
      <w:pPr>
        <w:pStyle w:val="BodyText"/>
        <w:spacing w:before="6"/>
        <w:ind w:left="0" w:firstLine="0"/>
        <w:jc w:val="left"/>
      </w:pPr>
    </w:p>
    <w:p>
      <w:pPr>
        <w:spacing w:line="249" w:lineRule="auto" w:before="0"/>
        <w:ind w:left="1074" w:right="1273" w:firstLine="0"/>
        <w:jc w:val="both"/>
        <w:rPr>
          <w:i/>
          <w:sz w:val="20"/>
        </w:rPr>
      </w:pPr>
      <w:bookmarkStart w:name="Artículo 202. Transmisión de información" w:id="329"/>
      <w:bookmarkEnd w:id="329"/>
      <w:r>
        <w:rPr/>
      </w:r>
      <w:r>
        <w:rPr>
          <w:b/>
          <w:sz w:val="20"/>
        </w:rPr>
        <w:t>Artículo 202. </w:t>
      </w:r>
      <w:r>
        <w:rPr>
          <w:i/>
          <w:sz w:val="20"/>
        </w:rPr>
        <w:t>Transmisión de información sobre sanciones y otras medidas a la Autoridad </w:t>
      </w:r>
      <w:r>
        <w:rPr>
          <w:i/>
          <w:sz w:val="20"/>
        </w:rPr>
        <w:t>Europea de Seguros y Pensiones de Jubilación.</w:t>
      </w:r>
    </w:p>
    <w:p>
      <w:pPr>
        <w:pStyle w:val="ListParagraph"/>
        <w:numPr>
          <w:ilvl w:val="0"/>
          <w:numId w:val="349"/>
        </w:numPr>
        <w:tabs>
          <w:tab w:pos="1670" w:val="left" w:leader="none"/>
        </w:tabs>
        <w:spacing w:line="249" w:lineRule="auto" w:before="109" w:after="0"/>
        <w:ind w:left="1074" w:right="1271" w:firstLine="340"/>
        <w:jc w:val="both"/>
        <w:rPr>
          <w:sz w:val="20"/>
        </w:rPr>
      </w:pPr>
      <w:r>
        <w:rPr>
          <w:sz w:val="20"/>
        </w:rPr>
        <w:t>La Dirección General de Seguros y Fondos de Pensiones informará a la Autoridad Europea de Seguros y Pensiones de Jubilación de todas las sanciones y otras medidas administrativas impuestas, pero no publicadas según el artículo 201, incluidos los recursos interpuestos en relación con ellas y el resultado de los</w:t>
      </w:r>
      <w:r>
        <w:rPr>
          <w:spacing w:val="-10"/>
          <w:sz w:val="20"/>
        </w:rPr>
        <w:t> </w:t>
      </w:r>
      <w:r>
        <w:rPr>
          <w:sz w:val="20"/>
        </w:rPr>
        <w:t>mismos.</w:t>
      </w:r>
    </w:p>
    <w:p>
      <w:pPr>
        <w:pStyle w:val="ListParagraph"/>
        <w:numPr>
          <w:ilvl w:val="0"/>
          <w:numId w:val="349"/>
        </w:numPr>
        <w:tabs>
          <w:tab w:pos="1677" w:val="left" w:leader="none"/>
        </w:tabs>
        <w:spacing w:line="249" w:lineRule="auto" w:before="4" w:after="0"/>
        <w:ind w:left="1074" w:right="1272" w:firstLine="340"/>
        <w:jc w:val="both"/>
        <w:rPr>
          <w:sz w:val="20"/>
        </w:rPr>
      </w:pPr>
      <w:r>
        <w:rPr>
          <w:sz w:val="20"/>
        </w:rPr>
        <w:t>La Dirección General de Seguros y Fondos de Pensiones facilitará cada año a la Autoridad Europea de Seguros y Pensiones de Jubilación información agregada relativa a  las sanciones administrativas y otras medidas impuestas de conformidad con lo previsto en la presente</w:t>
      </w:r>
      <w:r>
        <w:rPr>
          <w:spacing w:val="-3"/>
          <w:sz w:val="20"/>
        </w:rPr>
        <w:t> </w:t>
      </w:r>
      <w:r>
        <w:rPr>
          <w:sz w:val="20"/>
        </w:rPr>
        <w:t>subsección.</w:t>
      </w:r>
    </w:p>
    <w:p>
      <w:pPr>
        <w:pStyle w:val="ListParagraph"/>
        <w:numPr>
          <w:ilvl w:val="0"/>
          <w:numId w:val="349"/>
        </w:numPr>
        <w:tabs>
          <w:tab w:pos="1739" w:val="left" w:leader="none"/>
        </w:tabs>
        <w:spacing w:line="249" w:lineRule="auto" w:before="3" w:after="0"/>
        <w:ind w:left="1074" w:right="1272" w:firstLine="340"/>
        <w:jc w:val="both"/>
        <w:rPr>
          <w:sz w:val="20"/>
        </w:rPr>
      </w:pPr>
      <w:r>
        <w:rPr>
          <w:sz w:val="20"/>
        </w:rPr>
        <w:t>Cuando la Dirección General de Seguros y Fondos de Pensiones divulgue públicamente una sanción administrativa u otra medida, notificará simultáneamente este hecho a la Autoridad Europea de Seguros y Pensiones de</w:t>
      </w:r>
      <w:r>
        <w:rPr>
          <w:spacing w:val="-7"/>
          <w:sz w:val="20"/>
        </w:rPr>
        <w:t> </w:t>
      </w:r>
      <w:r>
        <w:rPr>
          <w:sz w:val="20"/>
        </w:rPr>
        <w:t>Jubilación.</w:t>
      </w:r>
    </w:p>
    <w:p>
      <w:pPr>
        <w:pStyle w:val="BodyText"/>
        <w:spacing w:before="4"/>
        <w:ind w:left="0" w:firstLine="0"/>
        <w:jc w:val="left"/>
        <w:rPr>
          <w:sz w:val="25"/>
        </w:rPr>
      </w:pPr>
    </w:p>
    <w:p>
      <w:pPr>
        <w:pStyle w:val="BodyText"/>
        <w:spacing w:before="0"/>
        <w:ind w:left="1414" w:right="1612" w:firstLine="0"/>
        <w:jc w:val="center"/>
      </w:pPr>
      <w:bookmarkStart w:name="Subsección 3.ª Protección de datos de ca" w:id="330"/>
      <w:bookmarkEnd w:id="330"/>
      <w:r>
        <w:rPr/>
      </w:r>
      <w:bookmarkStart w:name="_bookmark63" w:id="331"/>
      <w:bookmarkEnd w:id="331"/>
      <w:r>
        <w:rPr/>
      </w:r>
      <w:r>
        <w:rPr/>
        <w:t>Subsección 3.ª Protección de datos de carácter personal</w:t>
      </w:r>
    </w:p>
    <w:p>
      <w:pPr>
        <w:pStyle w:val="BodyText"/>
        <w:spacing w:before="5"/>
        <w:ind w:left="0" w:firstLine="0"/>
        <w:jc w:val="left"/>
        <w:rPr>
          <w:sz w:val="30"/>
        </w:rPr>
      </w:pPr>
    </w:p>
    <w:p>
      <w:pPr>
        <w:spacing w:before="0"/>
        <w:ind w:left="1074" w:right="0" w:firstLine="0"/>
        <w:jc w:val="both"/>
        <w:rPr>
          <w:i/>
          <w:sz w:val="20"/>
        </w:rPr>
      </w:pPr>
      <w:bookmarkStart w:name="Artículo 203. Condición de responsable o" w:id="332"/>
      <w:bookmarkEnd w:id="332"/>
      <w:r>
        <w:rPr/>
      </w:r>
      <w:r>
        <w:rPr>
          <w:b/>
          <w:sz w:val="20"/>
        </w:rPr>
        <w:t>Artículo 203. </w:t>
      </w:r>
      <w:r>
        <w:rPr>
          <w:i/>
          <w:sz w:val="20"/>
        </w:rPr>
        <w:t>Condición de responsable o encargado del tratamiento.</w:t>
      </w:r>
    </w:p>
    <w:p>
      <w:pPr>
        <w:pStyle w:val="ListParagraph"/>
        <w:numPr>
          <w:ilvl w:val="0"/>
          <w:numId w:val="350"/>
        </w:numPr>
        <w:tabs>
          <w:tab w:pos="1649" w:val="left" w:leader="none"/>
        </w:tabs>
        <w:spacing w:line="249" w:lineRule="auto" w:before="118" w:after="0"/>
        <w:ind w:left="1074" w:right="1273" w:firstLine="340"/>
        <w:jc w:val="both"/>
        <w:rPr>
          <w:sz w:val="20"/>
        </w:rPr>
      </w:pPr>
      <w:r>
        <w:rPr>
          <w:sz w:val="20"/>
        </w:rPr>
        <w:t>A los efectos previstos en la Ley Orgánica 3/2018, de 5 de diciembre, así como en el Reglamento</w:t>
      </w:r>
      <w:r>
        <w:rPr>
          <w:spacing w:val="11"/>
          <w:sz w:val="20"/>
        </w:rPr>
        <w:t> </w:t>
      </w:r>
      <w:r>
        <w:rPr>
          <w:sz w:val="20"/>
        </w:rPr>
        <w:t>(UE)</w:t>
      </w:r>
      <w:r>
        <w:rPr>
          <w:spacing w:val="11"/>
          <w:sz w:val="20"/>
        </w:rPr>
        <w:t> </w:t>
      </w:r>
      <w:r>
        <w:rPr>
          <w:sz w:val="20"/>
        </w:rPr>
        <w:t>2016/679</w:t>
      </w:r>
      <w:r>
        <w:rPr>
          <w:spacing w:val="11"/>
          <w:sz w:val="20"/>
        </w:rPr>
        <w:t> </w:t>
      </w:r>
      <w:r>
        <w:rPr>
          <w:sz w:val="20"/>
        </w:rPr>
        <w:t>del</w:t>
      </w:r>
      <w:r>
        <w:rPr>
          <w:spacing w:val="12"/>
          <w:sz w:val="20"/>
        </w:rPr>
        <w:t> </w:t>
      </w:r>
      <w:r>
        <w:rPr>
          <w:sz w:val="20"/>
        </w:rPr>
        <w:t>Parlamento</w:t>
      </w:r>
      <w:r>
        <w:rPr>
          <w:spacing w:val="11"/>
          <w:sz w:val="20"/>
        </w:rPr>
        <w:t> </w:t>
      </w:r>
      <w:r>
        <w:rPr>
          <w:sz w:val="20"/>
        </w:rPr>
        <w:t>Europeo</w:t>
      </w:r>
      <w:r>
        <w:rPr>
          <w:spacing w:val="11"/>
          <w:sz w:val="20"/>
        </w:rPr>
        <w:t> </w:t>
      </w:r>
      <w:r>
        <w:rPr>
          <w:sz w:val="20"/>
        </w:rPr>
        <w:t>y</w:t>
      </w:r>
      <w:r>
        <w:rPr>
          <w:spacing w:val="12"/>
          <w:sz w:val="20"/>
        </w:rPr>
        <w:t> </w:t>
      </w:r>
      <w:r>
        <w:rPr>
          <w:sz w:val="20"/>
        </w:rPr>
        <w:t>del</w:t>
      </w:r>
      <w:r>
        <w:rPr>
          <w:spacing w:val="11"/>
          <w:sz w:val="20"/>
        </w:rPr>
        <w:t> </w:t>
      </w:r>
      <w:r>
        <w:rPr>
          <w:sz w:val="20"/>
        </w:rPr>
        <w:t>Consejo,</w:t>
      </w:r>
      <w:r>
        <w:rPr>
          <w:spacing w:val="11"/>
          <w:sz w:val="20"/>
        </w:rPr>
        <w:t> </w:t>
      </w:r>
      <w:r>
        <w:rPr>
          <w:sz w:val="20"/>
        </w:rPr>
        <w:t>de</w:t>
      </w:r>
      <w:r>
        <w:rPr>
          <w:spacing w:val="11"/>
          <w:sz w:val="20"/>
        </w:rPr>
        <w:t> </w:t>
      </w:r>
      <w:r>
        <w:rPr>
          <w:sz w:val="20"/>
        </w:rPr>
        <w:t>27</w:t>
      </w:r>
      <w:r>
        <w:rPr>
          <w:spacing w:val="12"/>
          <w:sz w:val="20"/>
        </w:rPr>
        <w:t> </w:t>
      </w:r>
      <w:r>
        <w:rPr>
          <w:sz w:val="20"/>
        </w:rPr>
        <w:t>de</w:t>
      </w:r>
      <w:r>
        <w:rPr>
          <w:spacing w:val="11"/>
          <w:sz w:val="20"/>
        </w:rPr>
        <w:t> </w:t>
      </w:r>
      <w:r>
        <w:rPr>
          <w:sz w:val="20"/>
        </w:rPr>
        <w:t>abril</w:t>
      </w:r>
      <w:r>
        <w:rPr>
          <w:spacing w:val="11"/>
          <w:sz w:val="20"/>
        </w:rPr>
        <w:t> </w:t>
      </w:r>
      <w:r>
        <w:rPr>
          <w:sz w:val="20"/>
        </w:rPr>
        <w:t>de</w:t>
      </w:r>
      <w:r>
        <w:rPr>
          <w:spacing w:val="12"/>
          <w:sz w:val="20"/>
        </w:rPr>
        <w:t> </w:t>
      </w:r>
      <w:r>
        <w:rPr>
          <w:sz w:val="20"/>
        </w:rPr>
        <w:t>2016,</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firstLine="0"/>
      </w:pPr>
      <w:r>
        <w:rPr/>
        <w:t>relativo a la protección de las personas físicas en lo que respecta al tratamiento de datos personales y a la libre circulación de estos datos:</w:t>
      </w:r>
    </w:p>
    <w:p>
      <w:pPr>
        <w:pStyle w:val="ListParagraph"/>
        <w:numPr>
          <w:ilvl w:val="0"/>
          <w:numId w:val="351"/>
        </w:numPr>
        <w:tabs>
          <w:tab w:pos="1668" w:val="left" w:leader="none"/>
        </w:tabs>
        <w:spacing w:line="249" w:lineRule="auto" w:before="121" w:after="0"/>
        <w:ind w:left="1074" w:right="1273" w:firstLine="340"/>
        <w:jc w:val="both"/>
        <w:rPr>
          <w:sz w:val="20"/>
        </w:rPr>
      </w:pPr>
      <w:r>
        <w:rPr>
          <w:sz w:val="20"/>
        </w:rPr>
        <w:t>Los agentes de seguros y los operadores de banca-seguros tendrán la condición de encargados del tratamiento de la entidad aseguradora con la que hubieran celebrado el correspondiente contrato de agencia, en los términos previstos en el título</w:t>
      </w:r>
      <w:r>
        <w:rPr>
          <w:spacing w:val="-13"/>
          <w:sz w:val="20"/>
        </w:rPr>
        <w:t> </w:t>
      </w:r>
      <w:r>
        <w:rPr>
          <w:sz w:val="20"/>
        </w:rPr>
        <w:t>I.</w:t>
      </w:r>
    </w:p>
    <w:p>
      <w:pPr>
        <w:pStyle w:val="ListParagraph"/>
        <w:numPr>
          <w:ilvl w:val="0"/>
          <w:numId w:val="351"/>
        </w:numPr>
        <w:tabs>
          <w:tab w:pos="1678" w:val="left" w:leader="none"/>
        </w:tabs>
        <w:spacing w:line="249" w:lineRule="auto" w:before="3" w:after="0"/>
        <w:ind w:left="1074" w:right="1273" w:firstLine="340"/>
        <w:jc w:val="both"/>
        <w:rPr>
          <w:sz w:val="20"/>
        </w:rPr>
      </w:pPr>
      <w:r>
        <w:rPr>
          <w:sz w:val="20"/>
        </w:rPr>
        <w:t>Los corredores de seguros y los corredores de reaseguros tendrán la condición de responsables del tratamiento respecto de los datos de las personas que acudan a</w:t>
      </w:r>
      <w:r>
        <w:rPr>
          <w:spacing w:val="-29"/>
          <w:sz w:val="20"/>
        </w:rPr>
        <w:t> </w:t>
      </w:r>
      <w:r>
        <w:rPr>
          <w:sz w:val="20"/>
        </w:rPr>
        <w:t>ellos.</w:t>
      </w:r>
    </w:p>
    <w:p>
      <w:pPr>
        <w:pStyle w:val="ListParagraph"/>
        <w:numPr>
          <w:ilvl w:val="0"/>
          <w:numId w:val="351"/>
        </w:numPr>
        <w:tabs>
          <w:tab w:pos="1641" w:val="left" w:leader="none"/>
        </w:tabs>
        <w:spacing w:line="249" w:lineRule="auto" w:before="1" w:after="0"/>
        <w:ind w:left="1074" w:right="1273" w:firstLine="340"/>
        <w:jc w:val="both"/>
        <w:rPr>
          <w:sz w:val="20"/>
        </w:rPr>
      </w:pPr>
      <w:r>
        <w:rPr>
          <w:sz w:val="20"/>
        </w:rPr>
        <w:t>Los colaboradores externos a los que se refiere el artículo 137 tendrán la condición de encargados del tratamiento de los agentes o corredores de seguros con los que hubieran celebrado el correspondiente contrato mercantil. En este caso, solo podrán tratar los datos para los fines previstos en el artículo</w:t>
      </w:r>
      <w:r>
        <w:rPr>
          <w:spacing w:val="-9"/>
          <w:sz w:val="20"/>
        </w:rPr>
        <w:t> </w:t>
      </w:r>
      <w:r>
        <w:rPr>
          <w:sz w:val="20"/>
        </w:rPr>
        <w:t>137.1.</w:t>
      </w:r>
    </w:p>
    <w:p>
      <w:pPr>
        <w:pStyle w:val="ListParagraph"/>
        <w:numPr>
          <w:ilvl w:val="0"/>
          <w:numId w:val="350"/>
        </w:numPr>
        <w:tabs>
          <w:tab w:pos="1686" w:val="left" w:leader="none"/>
        </w:tabs>
        <w:spacing w:line="249" w:lineRule="auto" w:before="124" w:after="0"/>
        <w:ind w:left="1074" w:right="1273" w:firstLine="340"/>
        <w:jc w:val="both"/>
        <w:rPr>
          <w:sz w:val="20"/>
        </w:rPr>
      </w:pPr>
      <w:r>
        <w:rPr>
          <w:sz w:val="20"/>
        </w:rPr>
        <w:t>En el supuesto previsto en la letra a) del apartado 1, en el contrato de agencia deberán hacerse constar los extremos previstos en el artículo 28.3 del Reglamento (UE) 2016/679 del Parlamento Europeo y del Consejo, de 27 de abril de</w:t>
      </w:r>
      <w:r>
        <w:rPr>
          <w:spacing w:val="-18"/>
          <w:sz w:val="20"/>
        </w:rPr>
        <w:t> </w:t>
      </w:r>
      <w:r>
        <w:rPr>
          <w:sz w:val="20"/>
        </w:rPr>
        <w:t>2016.</w:t>
      </w:r>
    </w:p>
    <w:p>
      <w:pPr>
        <w:pStyle w:val="BodyText"/>
        <w:spacing w:line="249" w:lineRule="auto"/>
        <w:ind w:right="1273"/>
      </w:pPr>
      <w:r>
        <w:rPr/>
        <w:t>Del mismo modo, en el supuesto previsto en el apartado 1.c) deberán incluirse en el contrato mercantil celebrado con los colaboradores externos los extremos previstos en el artículo 28.3 del Reglamento (UE) 2016/679 del Parlamento Europeo y del Consejo, de 27  de abril de</w:t>
      </w:r>
      <w:r>
        <w:rPr>
          <w:spacing w:val="-4"/>
        </w:rPr>
        <w:t> </w:t>
      </w:r>
      <w:r>
        <w:rPr/>
        <w:t>2016.</w:t>
      </w:r>
    </w:p>
    <w:p>
      <w:pPr>
        <w:pStyle w:val="ListParagraph"/>
        <w:numPr>
          <w:ilvl w:val="0"/>
          <w:numId w:val="350"/>
        </w:numPr>
        <w:tabs>
          <w:tab w:pos="1695" w:val="left" w:leader="none"/>
        </w:tabs>
        <w:spacing w:line="249" w:lineRule="auto" w:before="3" w:after="0"/>
        <w:ind w:left="1074" w:right="1272" w:firstLine="340"/>
        <w:jc w:val="both"/>
        <w:rPr>
          <w:sz w:val="20"/>
        </w:rPr>
      </w:pPr>
      <w:r>
        <w:rPr>
          <w:sz w:val="20"/>
        </w:rPr>
        <w:t>Las entidades aseguradoras no podrán conservar los datos que les faciliten los mediadores de seguros, y que no deriven en la celebración de un contrato de seguro, estando obligadas a eliminarlos salvo que exista otra base jurídica que permita un tratamiento legítimo de los datos conforme al Reglamento (UE) 2016/679 del Parlamento Europeo y del Consejo, de 27 de abril de</w:t>
      </w:r>
      <w:r>
        <w:rPr>
          <w:spacing w:val="-10"/>
          <w:sz w:val="20"/>
        </w:rPr>
        <w:t> </w:t>
      </w:r>
      <w:r>
        <w:rPr>
          <w:sz w:val="20"/>
        </w:rPr>
        <w:t>2016.</w:t>
      </w:r>
    </w:p>
    <w:p>
      <w:pPr>
        <w:pStyle w:val="BodyText"/>
        <w:spacing w:before="7"/>
        <w:ind w:left="0" w:firstLine="0"/>
        <w:jc w:val="left"/>
      </w:pPr>
    </w:p>
    <w:p>
      <w:pPr>
        <w:spacing w:before="0"/>
        <w:ind w:left="1074" w:right="0" w:firstLine="0"/>
        <w:jc w:val="both"/>
        <w:rPr>
          <w:i/>
          <w:sz w:val="20"/>
        </w:rPr>
      </w:pPr>
      <w:bookmarkStart w:name="Artículo 204. Otras normas de protección" w:id="333"/>
      <w:bookmarkEnd w:id="333"/>
      <w:r>
        <w:rPr/>
      </w:r>
      <w:r>
        <w:rPr>
          <w:b/>
          <w:sz w:val="20"/>
        </w:rPr>
        <w:t>Artículo 204. </w:t>
      </w:r>
      <w:r>
        <w:rPr>
          <w:i/>
          <w:sz w:val="20"/>
        </w:rPr>
        <w:t>Otras normas de protección de datos.</w:t>
      </w:r>
    </w:p>
    <w:p>
      <w:pPr>
        <w:pStyle w:val="ListParagraph"/>
        <w:numPr>
          <w:ilvl w:val="0"/>
          <w:numId w:val="352"/>
        </w:numPr>
        <w:tabs>
          <w:tab w:pos="1662" w:val="left" w:leader="none"/>
        </w:tabs>
        <w:spacing w:line="249" w:lineRule="auto" w:before="118" w:after="0"/>
        <w:ind w:left="1074" w:right="1272" w:firstLine="340"/>
        <w:jc w:val="both"/>
        <w:rPr>
          <w:sz w:val="20"/>
        </w:rPr>
      </w:pPr>
      <w:r>
        <w:rPr>
          <w:sz w:val="20"/>
        </w:rPr>
        <w:t>En la publicidad que remitan a terceros los mediadores de seguros y reaseguros, a través</w:t>
      </w:r>
      <w:r>
        <w:rPr>
          <w:spacing w:val="17"/>
          <w:sz w:val="20"/>
        </w:rPr>
        <w:t> </w:t>
      </w:r>
      <w:r>
        <w:rPr>
          <w:sz w:val="20"/>
        </w:rPr>
        <w:t>de</w:t>
      </w:r>
      <w:r>
        <w:rPr>
          <w:spacing w:val="17"/>
          <w:sz w:val="20"/>
        </w:rPr>
        <w:t> </w:t>
      </w:r>
      <w:r>
        <w:rPr>
          <w:sz w:val="20"/>
        </w:rPr>
        <w:t>comunicaciones</w:t>
      </w:r>
      <w:r>
        <w:rPr>
          <w:spacing w:val="18"/>
          <w:sz w:val="20"/>
        </w:rPr>
        <w:t> </w:t>
      </w:r>
      <w:r>
        <w:rPr>
          <w:sz w:val="20"/>
        </w:rPr>
        <w:t>electrónicas,</w:t>
      </w:r>
      <w:r>
        <w:rPr>
          <w:spacing w:val="16"/>
          <w:sz w:val="20"/>
        </w:rPr>
        <w:t> </w:t>
      </w:r>
      <w:r>
        <w:rPr>
          <w:sz w:val="20"/>
        </w:rPr>
        <w:t>deberá</w:t>
      </w:r>
      <w:r>
        <w:rPr>
          <w:spacing w:val="17"/>
          <w:sz w:val="20"/>
        </w:rPr>
        <w:t> </w:t>
      </w:r>
      <w:r>
        <w:rPr>
          <w:sz w:val="20"/>
        </w:rPr>
        <w:t>estarse</w:t>
      </w:r>
      <w:r>
        <w:rPr>
          <w:spacing w:val="17"/>
          <w:sz w:val="20"/>
        </w:rPr>
        <w:t> </w:t>
      </w:r>
      <w:r>
        <w:rPr>
          <w:sz w:val="20"/>
        </w:rPr>
        <w:t>a</w:t>
      </w:r>
      <w:r>
        <w:rPr>
          <w:spacing w:val="17"/>
          <w:sz w:val="20"/>
        </w:rPr>
        <w:t> </w:t>
      </w:r>
      <w:r>
        <w:rPr>
          <w:sz w:val="20"/>
        </w:rPr>
        <w:t>lo</w:t>
      </w:r>
      <w:r>
        <w:rPr>
          <w:spacing w:val="16"/>
          <w:sz w:val="20"/>
        </w:rPr>
        <w:t> </w:t>
      </w:r>
      <w:r>
        <w:rPr>
          <w:sz w:val="20"/>
        </w:rPr>
        <w:t>dispuesto</w:t>
      </w:r>
      <w:r>
        <w:rPr>
          <w:spacing w:val="17"/>
          <w:sz w:val="20"/>
        </w:rPr>
        <w:t> </w:t>
      </w:r>
      <w:r>
        <w:rPr>
          <w:sz w:val="20"/>
        </w:rPr>
        <w:t>en</w:t>
      </w:r>
      <w:r>
        <w:rPr>
          <w:spacing w:val="17"/>
          <w:sz w:val="20"/>
        </w:rPr>
        <w:t> </w:t>
      </w:r>
      <w:r>
        <w:rPr>
          <w:sz w:val="20"/>
        </w:rPr>
        <w:t>los</w:t>
      </w:r>
      <w:r>
        <w:rPr>
          <w:spacing w:val="17"/>
          <w:sz w:val="20"/>
        </w:rPr>
        <w:t> </w:t>
      </w:r>
      <w:r>
        <w:rPr>
          <w:sz w:val="20"/>
        </w:rPr>
        <w:t>artículos</w:t>
      </w:r>
      <w:r>
        <w:rPr>
          <w:spacing w:val="16"/>
          <w:sz w:val="20"/>
        </w:rPr>
        <w:t> </w:t>
      </w:r>
      <w:r>
        <w:rPr>
          <w:sz w:val="20"/>
        </w:rPr>
        <w:t>21</w:t>
      </w:r>
      <w:r>
        <w:rPr>
          <w:spacing w:val="17"/>
          <w:sz w:val="20"/>
        </w:rPr>
        <w:t> </w:t>
      </w:r>
      <w:r>
        <w:rPr>
          <w:sz w:val="20"/>
        </w:rPr>
        <w:t>y</w:t>
      </w:r>
    </w:p>
    <w:p>
      <w:pPr>
        <w:pStyle w:val="BodyText"/>
        <w:spacing w:line="249" w:lineRule="auto" w:before="1"/>
        <w:ind w:right="1273" w:firstLine="0"/>
      </w:pPr>
      <w:r>
        <w:rPr/>
        <w:t>22.1 de la Ley 34/2002, de 11 de julio, de servicios de la sociedad de la información y de comercio electrónico.</w:t>
      </w:r>
    </w:p>
    <w:p>
      <w:pPr>
        <w:pStyle w:val="ListParagraph"/>
        <w:numPr>
          <w:ilvl w:val="0"/>
          <w:numId w:val="352"/>
        </w:numPr>
        <w:tabs>
          <w:tab w:pos="1645" w:val="left" w:leader="none"/>
        </w:tabs>
        <w:spacing w:line="249" w:lineRule="auto" w:before="2" w:after="0"/>
        <w:ind w:left="1074" w:right="1273" w:firstLine="340"/>
        <w:jc w:val="both"/>
        <w:rPr>
          <w:sz w:val="20"/>
        </w:rPr>
      </w:pPr>
      <w:r>
        <w:rPr>
          <w:sz w:val="20"/>
        </w:rPr>
        <w:t>Los agentes de seguros y operadores de banca-seguros únicamente podrán tratar los datos de los interesados en los términos y con el alcance que se desprenda del contrato de agencia de seguros y siempre en nombre y por cuenta de la entidad aseguradora con la que hubieran celebrado el</w:t>
      </w:r>
      <w:r>
        <w:rPr>
          <w:spacing w:val="-3"/>
          <w:sz w:val="20"/>
        </w:rPr>
        <w:t> </w:t>
      </w:r>
      <w:r>
        <w:rPr>
          <w:sz w:val="20"/>
        </w:rPr>
        <w:t>contrato.</w:t>
      </w:r>
    </w:p>
    <w:p>
      <w:pPr>
        <w:pStyle w:val="BodyText"/>
        <w:spacing w:line="249" w:lineRule="auto" w:before="3"/>
        <w:ind w:right="1273"/>
      </w:pPr>
      <w:r>
        <w:rPr/>
        <w:t>Los operadores de banca-seguros no podrán tratar los datos relacionados con su actividad mediadora para fines propios de su objeto social sin contar con el consentimiento inequívoco y específico de los afectados.</w:t>
      </w:r>
    </w:p>
    <w:p>
      <w:pPr>
        <w:pStyle w:val="ListParagraph"/>
        <w:numPr>
          <w:ilvl w:val="0"/>
          <w:numId w:val="352"/>
        </w:numPr>
        <w:tabs>
          <w:tab w:pos="1664" w:val="left" w:leader="none"/>
        </w:tabs>
        <w:spacing w:line="249" w:lineRule="auto" w:before="3" w:after="0"/>
        <w:ind w:left="1074" w:right="1274" w:firstLine="340"/>
        <w:jc w:val="both"/>
        <w:rPr>
          <w:sz w:val="20"/>
        </w:rPr>
      </w:pPr>
      <w:r>
        <w:rPr>
          <w:sz w:val="20"/>
        </w:rPr>
        <w:t>Los corredores de seguros podrán tratar los datos de las personas que se dirijan a ellos amparándose en alguno de los supuestos del artículo 6.1 del Reglamento (UE) 2016/679 del Parlamento Europeo y del Consejo, de 27 de abril de</w:t>
      </w:r>
      <w:r>
        <w:rPr>
          <w:spacing w:val="-18"/>
          <w:sz w:val="20"/>
        </w:rPr>
        <w:t> </w:t>
      </w:r>
      <w:r>
        <w:rPr>
          <w:sz w:val="20"/>
        </w:rPr>
        <w:t>2016.</w:t>
      </w:r>
    </w:p>
    <w:p>
      <w:pPr>
        <w:pStyle w:val="ListParagraph"/>
        <w:numPr>
          <w:ilvl w:val="0"/>
          <w:numId w:val="352"/>
        </w:numPr>
        <w:tabs>
          <w:tab w:pos="1641" w:val="left" w:leader="none"/>
        </w:tabs>
        <w:spacing w:line="249" w:lineRule="auto" w:before="2" w:after="0"/>
        <w:ind w:left="1074" w:right="1272" w:firstLine="340"/>
        <w:jc w:val="both"/>
        <w:rPr>
          <w:sz w:val="20"/>
        </w:rPr>
      </w:pPr>
      <w:r>
        <w:rPr>
          <w:sz w:val="20"/>
        </w:rPr>
        <w:t>Resuelto el contrato de seguro en cuya distribución hubiera intervenido un corredor de seguros o un corredor de reaseguros, este deberá proceder a la cancelación de los datos, a menos que el interesado le hubiera autorizado el tratamiento de los mismos para otras finalidades y, en particular, para la celebración de un nuevo</w:t>
      </w:r>
      <w:r>
        <w:rPr>
          <w:spacing w:val="-12"/>
          <w:sz w:val="20"/>
        </w:rPr>
        <w:t> </w:t>
      </w:r>
      <w:r>
        <w:rPr>
          <w:sz w:val="20"/>
        </w:rPr>
        <w:t>contrato.</w:t>
      </w:r>
    </w:p>
    <w:p>
      <w:pPr>
        <w:pStyle w:val="BodyText"/>
        <w:spacing w:line="249" w:lineRule="auto" w:before="3"/>
        <w:ind w:right="1273"/>
      </w:pPr>
      <w:r>
        <w:rPr/>
        <w:t>En todo caso, el corredor de seguros y el corredor de reaseguros no podrán facilitar los datos del interesado a otra entidad distinta de aquella con la que el interesado hubiera celebrado el contrato resuelto si no media su consentimiento inequívoco para ello.</w:t>
      </w:r>
    </w:p>
    <w:p>
      <w:pPr>
        <w:pStyle w:val="ListParagraph"/>
        <w:numPr>
          <w:ilvl w:val="0"/>
          <w:numId w:val="352"/>
        </w:numPr>
        <w:tabs>
          <w:tab w:pos="1685" w:val="left" w:leader="none"/>
        </w:tabs>
        <w:spacing w:line="249" w:lineRule="auto" w:before="3" w:after="0"/>
        <w:ind w:left="1074" w:right="1272" w:firstLine="340"/>
        <w:jc w:val="both"/>
        <w:rPr>
          <w:sz w:val="20"/>
        </w:rPr>
      </w:pPr>
      <w:r>
        <w:rPr>
          <w:sz w:val="20"/>
        </w:rPr>
        <w:t>El tratamiento de los datos que los distribuidores de seguros lleven a cabo para valorar la honorabilidad comercial y profesional en el marco de lo dispuesto en el título I, deberá limitarse a la exclusiva finalidad de suministro de la información a la Dirección General de Seguros y Fondos de Pensiones, quedando expresamente limitado el número de personas que dentro de la organización pueda tener acceso a dichos</w:t>
      </w:r>
      <w:r>
        <w:rPr>
          <w:spacing w:val="-23"/>
          <w:sz w:val="20"/>
        </w:rPr>
        <w:t> </w:t>
      </w:r>
      <w:r>
        <w:rPr>
          <w:sz w:val="20"/>
        </w:rPr>
        <w:t>datos.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pStyle w:val="Heading2"/>
        <w:ind w:right="1613"/>
        <w:rPr>
          <w:i/>
        </w:rPr>
      </w:pPr>
      <w:bookmarkStart w:name="Sección 8.ª De los colegios de mediadore" w:id="334"/>
      <w:bookmarkEnd w:id="334"/>
      <w:r>
        <w:rPr>
          <w:b w:val="0"/>
          <w:i w:val="0"/>
        </w:rPr>
      </w:r>
      <w:bookmarkStart w:name="_bookmark64" w:id="335"/>
      <w:bookmarkEnd w:id="335"/>
      <w:r>
        <w:rPr>
          <w:b w:val="0"/>
          <w:i w:val="0"/>
        </w:rPr>
      </w:r>
      <w:r>
        <w:rPr>
          <w:i/>
        </w:rPr>
        <w:t>Sección 8.ª De los colegios de mediadores de seguros y de su consejo general</w:t>
      </w:r>
    </w:p>
    <w:p>
      <w:pPr>
        <w:pStyle w:val="BodyText"/>
        <w:spacing w:before="5"/>
        <w:ind w:left="0" w:firstLine="0"/>
        <w:jc w:val="left"/>
        <w:rPr>
          <w:b/>
          <w:i/>
          <w:sz w:val="30"/>
        </w:rPr>
      </w:pPr>
    </w:p>
    <w:p>
      <w:pPr>
        <w:spacing w:before="0"/>
        <w:ind w:left="1074" w:right="0" w:firstLine="0"/>
        <w:jc w:val="both"/>
        <w:rPr>
          <w:i/>
          <w:sz w:val="20"/>
        </w:rPr>
      </w:pPr>
      <w:bookmarkStart w:name="Artículo 205. Colegios de mediadores de " w:id="336"/>
      <w:bookmarkEnd w:id="336"/>
      <w:r>
        <w:rPr/>
      </w:r>
      <w:r>
        <w:rPr>
          <w:b/>
          <w:sz w:val="20"/>
        </w:rPr>
        <w:t>Artículo 205. </w:t>
      </w:r>
      <w:r>
        <w:rPr>
          <w:i/>
          <w:sz w:val="20"/>
        </w:rPr>
        <w:t>Colegios de mediadores de seguros.</w:t>
      </w:r>
    </w:p>
    <w:p>
      <w:pPr>
        <w:pStyle w:val="ListParagraph"/>
        <w:numPr>
          <w:ilvl w:val="0"/>
          <w:numId w:val="353"/>
        </w:numPr>
        <w:tabs>
          <w:tab w:pos="1659" w:val="left" w:leader="none"/>
        </w:tabs>
        <w:spacing w:line="249" w:lineRule="auto" w:before="118" w:after="0"/>
        <w:ind w:left="1074" w:right="1272" w:firstLine="340"/>
        <w:jc w:val="both"/>
        <w:rPr>
          <w:sz w:val="20"/>
        </w:rPr>
      </w:pPr>
      <w:r>
        <w:rPr>
          <w:sz w:val="20"/>
        </w:rPr>
        <w:t>Los Colegios de mediadores de seguros son corporaciones de derecho público, con personalidad jurídica y plena capacidad de obrar para el cumplimiento de sus fines, a los que se incorporarán los mediadores de seguros que voluntariamente lo deseen, siempre que figuren inscritos en el registro administrativo previsto en el artículo</w:t>
      </w:r>
      <w:r>
        <w:rPr>
          <w:spacing w:val="-18"/>
          <w:sz w:val="20"/>
        </w:rPr>
        <w:t> </w:t>
      </w:r>
      <w:r>
        <w:rPr>
          <w:sz w:val="20"/>
        </w:rPr>
        <w:t>133.</w:t>
      </w:r>
    </w:p>
    <w:p>
      <w:pPr>
        <w:pStyle w:val="ListParagraph"/>
        <w:numPr>
          <w:ilvl w:val="0"/>
          <w:numId w:val="353"/>
        </w:numPr>
        <w:tabs>
          <w:tab w:pos="1654" w:val="left" w:leader="none"/>
        </w:tabs>
        <w:spacing w:line="249" w:lineRule="auto" w:before="3" w:after="0"/>
        <w:ind w:left="1074" w:right="1271" w:firstLine="340"/>
        <w:jc w:val="both"/>
        <w:rPr>
          <w:sz w:val="20"/>
        </w:rPr>
      </w:pPr>
      <w:r>
        <w:rPr>
          <w:sz w:val="20"/>
        </w:rPr>
        <w:t>En ningún caso será requisito para ejercer como mediador de seguros la adhesión a cualquiera de los Colegios de mediadores de seguros, sea cual fuese el ámbito territorial en que se pretenda ejercer la</w:t>
      </w:r>
      <w:r>
        <w:rPr>
          <w:spacing w:val="-6"/>
          <w:sz w:val="20"/>
        </w:rPr>
        <w:t> </w:t>
      </w:r>
      <w:r>
        <w:rPr>
          <w:sz w:val="20"/>
        </w:rPr>
        <w:t>profesión.</w:t>
      </w:r>
    </w:p>
    <w:p>
      <w:pPr>
        <w:pStyle w:val="ListParagraph"/>
        <w:numPr>
          <w:ilvl w:val="0"/>
          <w:numId w:val="353"/>
        </w:numPr>
        <w:tabs>
          <w:tab w:pos="1653" w:val="left" w:leader="none"/>
        </w:tabs>
        <w:spacing w:line="249" w:lineRule="auto" w:before="3" w:after="0"/>
        <w:ind w:left="1074" w:right="1271" w:firstLine="340"/>
        <w:jc w:val="both"/>
        <w:rPr>
          <w:sz w:val="20"/>
        </w:rPr>
      </w:pPr>
      <w:r>
        <w:rPr>
          <w:sz w:val="20"/>
        </w:rPr>
        <w:t>Los Colegios de mediadores de seguros y, en su caso, los consejos autonómicos de Colegios, se relacionan mediante el Consejo General de Colegios de Mediadores de Seguros con la Administración General del Estado, a través de la Dirección General de Seguros y Fondos de</w:t>
      </w:r>
      <w:r>
        <w:rPr>
          <w:spacing w:val="-2"/>
          <w:sz w:val="20"/>
        </w:rPr>
        <w:t> </w:t>
      </w:r>
      <w:r>
        <w:rPr>
          <w:sz w:val="20"/>
        </w:rPr>
        <w:t>Pensiones.</w:t>
      </w:r>
    </w:p>
    <w:p>
      <w:pPr>
        <w:pStyle w:val="BodyText"/>
        <w:spacing w:before="4"/>
        <w:ind w:left="0" w:firstLine="0"/>
        <w:jc w:val="left"/>
        <w:rPr>
          <w:sz w:val="30"/>
        </w:rPr>
      </w:pPr>
    </w:p>
    <w:p>
      <w:pPr>
        <w:pStyle w:val="BodyText"/>
        <w:spacing w:before="0"/>
        <w:ind w:left="2929" w:right="3127" w:firstLine="0"/>
        <w:jc w:val="center"/>
      </w:pPr>
      <w:bookmarkStart w:name="CAPÍTULO IV. Distribuidores de seguros y" w:id="337"/>
      <w:bookmarkEnd w:id="337"/>
      <w:r>
        <w:rPr/>
      </w:r>
      <w:bookmarkStart w:name="_bookmark65" w:id="338"/>
      <w:bookmarkEnd w:id="338"/>
      <w:r>
        <w:rPr/>
      </w:r>
      <w:r>
        <w:rPr/>
        <w:t>CAPÍTULO IV</w:t>
      </w:r>
    </w:p>
    <w:p>
      <w:pPr>
        <w:pStyle w:val="Heading1"/>
        <w:spacing w:line="249" w:lineRule="auto"/>
        <w:ind w:right="1613"/>
      </w:pPr>
      <w:r>
        <w:rPr/>
        <w:t>Distribuidores de seguros y de reaseguros residentes o domiciliados en otros Estados miembros de la Unión Europea</w:t>
      </w:r>
    </w:p>
    <w:p>
      <w:pPr>
        <w:pStyle w:val="BodyText"/>
        <w:spacing w:before="10"/>
        <w:ind w:left="0" w:firstLine="0"/>
        <w:jc w:val="left"/>
        <w:rPr>
          <w:b/>
          <w:sz w:val="19"/>
        </w:rPr>
      </w:pPr>
    </w:p>
    <w:p>
      <w:pPr>
        <w:pStyle w:val="Heading2"/>
        <w:spacing w:line="249" w:lineRule="auto"/>
        <w:ind w:right="1612"/>
      </w:pPr>
      <w:bookmarkStart w:name="Sección 1.ª De la actividad en España de" w:id="339"/>
      <w:bookmarkEnd w:id="339"/>
      <w:r>
        <w:rPr>
          <w:b w:val="0"/>
          <w:i w:val="0"/>
        </w:rPr>
      </w:r>
      <w:bookmarkStart w:name="_bookmark66" w:id="340"/>
      <w:bookmarkEnd w:id="340"/>
      <w:r>
        <w:rPr>
          <w:b w:val="0"/>
          <w:i w:val="0"/>
        </w:rPr>
      </w:r>
      <w:r>
        <w:rPr>
          <w:i/>
        </w:rPr>
        <w:t>Sección 1.ª De la actividad en España de los mediadores de seguros y de </w:t>
      </w:r>
      <w:r>
        <w:rPr/>
        <w:t>reaseguros residentes o domiciliados en otros estados miembros de la Unión Europea</w:t>
      </w:r>
    </w:p>
    <w:p>
      <w:pPr>
        <w:pStyle w:val="BodyText"/>
        <w:spacing w:before="9"/>
        <w:ind w:left="0" w:firstLine="0"/>
        <w:jc w:val="left"/>
        <w:rPr>
          <w:b/>
          <w:i/>
          <w:sz w:val="29"/>
        </w:rPr>
      </w:pPr>
    </w:p>
    <w:p>
      <w:pPr>
        <w:spacing w:before="1"/>
        <w:ind w:left="1074" w:right="0" w:firstLine="0"/>
        <w:jc w:val="both"/>
        <w:rPr>
          <w:i/>
          <w:sz w:val="20"/>
        </w:rPr>
      </w:pPr>
      <w:bookmarkStart w:name="Artículo 206. Normas generales." w:id="341"/>
      <w:bookmarkEnd w:id="341"/>
      <w:r>
        <w:rPr/>
      </w:r>
      <w:r>
        <w:rPr>
          <w:b/>
          <w:sz w:val="20"/>
        </w:rPr>
        <w:t>Artículo 206. </w:t>
      </w:r>
      <w:r>
        <w:rPr>
          <w:i/>
          <w:sz w:val="20"/>
        </w:rPr>
        <w:t>Normas generales.</w:t>
      </w:r>
    </w:p>
    <w:p>
      <w:pPr>
        <w:pStyle w:val="BodyText"/>
        <w:spacing w:line="249" w:lineRule="auto" w:before="117"/>
        <w:ind w:right="1271"/>
      </w:pPr>
      <w:r>
        <w:rPr/>
        <w:t>A los mediadores de seguros o de reaseguros que figuren inscritos en el registro de un Estado miembro de la Unión Europea distinto de España, cuando tal registro sea legalmente admisible con arreglo a la normativa de dicho Estado miembro de origen, les resultarán de aplicación las siguientes disposiciones:</w:t>
      </w:r>
    </w:p>
    <w:p>
      <w:pPr>
        <w:pStyle w:val="ListParagraph"/>
        <w:numPr>
          <w:ilvl w:val="0"/>
          <w:numId w:val="354"/>
        </w:numPr>
        <w:tabs>
          <w:tab w:pos="1654" w:val="left" w:leader="none"/>
        </w:tabs>
        <w:spacing w:line="249" w:lineRule="auto" w:before="123" w:after="0"/>
        <w:ind w:left="1074" w:right="1273" w:firstLine="340"/>
        <w:jc w:val="both"/>
        <w:rPr>
          <w:sz w:val="20"/>
        </w:rPr>
      </w:pPr>
      <w:r>
        <w:rPr>
          <w:sz w:val="20"/>
        </w:rPr>
        <w:t>Podrán iniciar su actividad en España en régimen de derecho de establecimiento o en régimen de libre prestación de servicios cuando las autoridades competentes del Estado miembro de origen les hayan informado en este</w:t>
      </w:r>
      <w:r>
        <w:rPr>
          <w:spacing w:val="-10"/>
          <w:sz w:val="20"/>
        </w:rPr>
        <w:t> </w:t>
      </w:r>
      <w:r>
        <w:rPr>
          <w:sz w:val="20"/>
        </w:rPr>
        <w:t>sentido.</w:t>
      </w:r>
    </w:p>
    <w:p>
      <w:pPr>
        <w:pStyle w:val="BodyText"/>
        <w:spacing w:line="249" w:lineRule="auto" w:before="3"/>
        <w:ind w:right="1273"/>
      </w:pPr>
      <w:r>
        <w:rPr/>
        <w:t>La autoridad competente del Estado miembro de origen comunicará al mediador las normas de interés general que deben cumplir en territorio español, a las que se refiere el artículo 211.</w:t>
      </w:r>
    </w:p>
    <w:p>
      <w:pPr>
        <w:pStyle w:val="ListParagraph"/>
        <w:numPr>
          <w:ilvl w:val="0"/>
          <w:numId w:val="354"/>
        </w:numPr>
        <w:tabs>
          <w:tab w:pos="1710" w:val="left" w:leader="none"/>
        </w:tabs>
        <w:spacing w:line="249" w:lineRule="auto" w:before="2" w:after="0"/>
        <w:ind w:left="1074" w:right="1274" w:firstLine="340"/>
        <w:jc w:val="both"/>
        <w:rPr>
          <w:sz w:val="20"/>
        </w:rPr>
      </w:pPr>
      <w:r>
        <w:rPr>
          <w:sz w:val="20"/>
        </w:rPr>
        <w:t>Deberán presentar en castellano la documentación y demás información que la Dirección General de Seguros y Fondos de Pensiones tiene derecho a exigirles o que deba serle remitida por</w:t>
      </w:r>
      <w:r>
        <w:rPr>
          <w:spacing w:val="-2"/>
          <w:sz w:val="20"/>
        </w:rPr>
        <w:t> </w:t>
      </w:r>
      <w:r>
        <w:rPr>
          <w:sz w:val="20"/>
        </w:rPr>
        <w:t>estos.</w:t>
      </w:r>
    </w:p>
    <w:p>
      <w:pPr>
        <w:pStyle w:val="ListParagraph"/>
        <w:numPr>
          <w:ilvl w:val="0"/>
          <w:numId w:val="354"/>
        </w:numPr>
        <w:tabs>
          <w:tab w:pos="1641" w:val="left" w:leader="none"/>
        </w:tabs>
        <w:spacing w:line="249" w:lineRule="auto" w:before="3" w:after="0"/>
        <w:ind w:left="1074" w:right="1272" w:firstLine="340"/>
        <w:jc w:val="both"/>
        <w:rPr>
          <w:sz w:val="20"/>
        </w:rPr>
      </w:pPr>
      <w:r>
        <w:rPr>
          <w:sz w:val="20"/>
        </w:rPr>
        <w:t>Podrán realizar publicidad de sus servicios en España en los mismos términos que los mediadores de seguros o de reaseguros residentes o domiciliados en</w:t>
      </w:r>
      <w:r>
        <w:rPr>
          <w:spacing w:val="-11"/>
          <w:sz w:val="20"/>
        </w:rPr>
        <w:t> </w:t>
      </w:r>
      <w:r>
        <w:rPr>
          <w:sz w:val="20"/>
        </w:rPr>
        <w:t>España.</w:t>
      </w:r>
    </w:p>
    <w:p>
      <w:pPr>
        <w:pStyle w:val="ListParagraph"/>
        <w:numPr>
          <w:ilvl w:val="0"/>
          <w:numId w:val="354"/>
        </w:numPr>
        <w:tabs>
          <w:tab w:pos="1714" w:val="left" w:leader="none"/>
        </w:tabs>
        <w:spacing w:line="249" w:lineRule="auto" w:before="1" w:after="0"/>
        <w:ind w:left="1074" w:right="1273" w:firstLine="340"/>
        <w:jc w:val="both"/>
        <w:rPr>
          <w:sz w:val="20"/>
        </w:rPr>
      </w:pPr>
      <w:r>
        <w:rPr>
          <w:sz w:val="20"/>
        </w:rPr>
        <w:t>Se inscribirán a efectos meramente informativos, así como los titulares de sus departamentos o servicios de atención al cliente y, en su caso, del defensor del cliente, en el registro administrativo a que se refiere el artículo 133, separadamente para los que ejerzan su actividad en España en régimen de derecho de establecimiento o en régimen de libre prestación de</w:t>
      </w:r>
      <w:r>
        <w:rPr>
          <w:spacing w:val="-3"/>
          <w:sz w:val="20"/>
        </w:rPr>
        <w:t> </w:t>
      </w:r>
      <w:r>
        <w:rPr>
          <w:sz w:val="20"/>
        </w:rPr>
        <w:t>servicios.</w:t>
      </w:r>
    </w:p>
    <w:p>
      <w:pPr>
        <w:pStyle w:val="BodyText"/>
        <w:spacing w:before="7"/>
        <w:ind w:left="0" w:firstLine="0"/>
        <w:jc w:val="left"/>
      </w:pPr>
    </w:p>
    <w:p>
      <w:pPr>
        <w:spacing w:before="0"/>
        <w:ind w:left="1074" w:right="0" w:firstLine="0"/>
        <w:jc w:val="both"/>
        <w:rPr>
          <w:i/>
          <w:sz w:val="20"/>
        </w:rPr>
      </w:pPr>
      <w:bookmarkStart w:name="Artículo 207. Reparto de competencias en" w:id="342"/>
      <w:bookmarkEnd w:id="342"/>
      <w:r>
        <w:rPr/>
      </w:r>
      <w:r>
        <w:rPr>
          <w:b/>
          <w:sz w:val="20"/>
        </w:rPr>
        <w:t>Artículo 207. </w:t>
      </w:r>
      <w:r>
        <w:rPr>
          <w:i/>
          <w:sz w:val="20"/>
        </w:rPr>
        <w:t>Reparto de competencias entre Estados miembros.</w:t>
      </w:r>
    </w:p>
    <w:p>
      <w:pPr>
        <w:pStyle w:val="ListParagraph"/>
        <w:numPr>
          <w:ilvl w:val="0"/>
          <w:numId w:val="355"/>
        </w:numPr>
        <w:tabs>
          <w:tab w:pos="1641" w:val="left" w:leader="none"/>
        </w:tabs>
        <w:spacing w:line="249" w:lineRule="auto" w:before="118" w:after="0"/>
        <w:ind w:left="1074" w:right="1270" w:firstLine="340"/>
        <w:jc w:val="both"/>
        <w:rPr>
          <w:sz w:val="20"/>
        </w:rPr>
      </w:pPr>
      <w:r>
        <w:rPr>
          <w:sz w:val="20"/>
        </w:rPr>
        <w:t>Si la Dirección General de Seguros y Fondos de Pensiones tiene constancia de que el principal centro de actividad del mediador de seguros o de reaseguros que actúa en España en régimen de derecho de establecimiento se sitúa en territorio español, podrá acordar con la autoridad competente del Estado miembro de origen actuar como si la propia Dirección General de Seguros y Fondos de Pensiones fuera la autoridad competente del Estado miembro de origen por lo que atañe a las disposiciones relativas a las siguientes</w:t>
      </w:r>
      <w:r>
        <w:rPr>
          <w:spacing w:val="-34"/>
          <w:sz w:val="20"/>
        </w:rPr>
        <w:t> </w:t>
      </w:r>
      <w:r>
        <w:rPr>
          <w:sz w:val="20"/>
        </w:rPr>
        <w:t>materias:</w:t>
      </w:r>
    </w:p>
    <w:p>
      <w:pPr>
        <w:pStyle w:val="ListParagraph"/>
        <w:numPr>
          <w:ilvl w:val="0"/>
          <w:numId w:val="356"/>
        </w:numPr>
        <w:tabs>
          <w:tab w:pos="1648" w:val="left" w:leader="none"/>
        </w:tabs>
        <w:spacing w:line="240" w:lineRule="auto" w:before="125" w:after="0"/>
        <w:ind w:left="1647" w:right="0" w:hanging="234"/>
        <w:jc w:val="left"/>
        <w:rPr>
          <w:sz w:val="20"/>
        </w:rPr>
      </w:pPr>
      <w:r>
        <w:rPr>
          <w:sz w:val="20"/>
        </w:rPr>
        <w:t>Requisitos necesarios para poder ejercer como distribuidor de</w:t>
      </w:r>
      <w:r>
        <w:rPr>
          <w:spacing w:val="-13"/>
          <w:sz w:val="20"/>
        </w:rPr>
        <w:t> </w:t>
      </w:r>
      <w:r>
        <w:rPr>
          <w:sz w:val="20"/>
        </w:rPr>
        <w:t>seguros.</w:t>
      </w:r>
    </w:p>
    <w:p>
      <w:pPr>
        <w:spacing w:after="0" w:line="240"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356"/>
        </w:numPr>
        <w:tabs>
          <w:tab w:pos="1648" w:val="left" w:leader="none"/>
        </w:tabs>
        <w:spacing w:line="240" w:lineRule="auto" w:before="127" w:after="0"/>
        <w:ind w:left="1647" w:right="0" w:hanging="234"/>
        <w:jc w:val="left"/>
        <w:rPr>
          <w:sz w:val="20"/>
        </w:rPr>
      </w:pPr>
      <w:r>
        <w:rPr>
          <w:sz w:val="20"/>
        </w:rPr>
        <w:t>Obligaciones de información y normas de</w:t>
      </w:r>
      <w:r>
        <w:rPr>
          <w:spacing w:val="-6"/>
          <w:sz w:val="20"/>
        </w:rPr>
        <w:t> </w:t>
      </w:r>
      <w:r>
        <w:rPr>
          <w:sz w:val="20"/>
        </w:rPr>
        <w:t>conducta.</w:t>
      </w:r>
    </w:p>
    <w:p>
      <w:pPr>
        <w:pStyle w:val="ListParagraph"/>
        <w:numPr>
          <w:ilvl w:val="0"/>
          <w:numId w:val="356"/>
        </w:numPr>
        <w:tabs>
          <w:tab w:pos="1688" w:val="left" w:leader="none"/>
        </w:tabs>
        <w:spacing w:line="249" w:lineRule="auto" w:before="10" w:after="0"/>
        <w:ind w:left="1074" w:right="1276" w:firstLine="340"/>
        <w:jc w:val="left"/>
        <w:rPr>
          <w:sz w:val="20"/>
        </w:rPr>
      </w:pPr>
      <w:r>
        <w:rPr>
          <w:sz w:val="20"/>
        </w:rPr>
        <w:t>Requisitos adicionales de información en relación con los productos de inversión basados en</w:t>
      </w:r>
      <w:r>
        <w:rPr>
          <w:spacing w:val="-3"/>
          <w:sz w:val="20"/>
        </w:rPr>
        <w:t> </w:t>
      </w:r>
      <w:r>
        <w:rPr>
          <w:sz w:val="20"/>
        </w:rPr>
        <w:t>seguros.</w:t>
      </w:r>
    </w:p>
    <w:p>
      <w:pPr>
        <w:pStyle w:val="ListParagraph"/>
        <w:numPr>
          <w:ilvl w:val="0"/>
          <w:numId w:val="356"/>
        </w:numPr>
        <w:tabs>
          <w:tab w:pos="1648" w:val="left" w:leader="none"/>
        </w:tabs>
        <w:spacing w:line="240" w:lineRule="auto" w:before="1" w:after="0"/>
        <w:ind w:left="1647" w:right="0" w:hanging="234"/>
        <w:jc w:val="left"/>
        <w:rPr>
          <w:sz w:val="20"/>
        </w:rPr>
      </w:pPr>
      <w:r>
        <w:rPr>
          <w:sz w:val="20"/>
        </w:rPr>
        <w:t>Sanciones y otras</w:t>
      </w:r>
      <w:r>
        <w:rPr>
          <w:spacing w:val="-2"/>
          <w:sz w:val="20"/>
        </w:rPr>
        <w:t> </w:t>
      </w:r>
      <w:r>
        <w:rPr>
          <w:sz w:val="20"/>
        </w:rPr>
        <w:t>medidas.</w:t>
      </w:r>
    </w:p>
    <w:p>
      <w:pPr>
        <w:pStyle w:val="BodyText"/>
        <w:spacing w:line="249" w:lineRule="auto" w:before="130"/>
        <w:ind w:right="1275"/>
      </w:pPr>
      <w:r>
        <w:rPr/>
        <w:t>En caso de existir tal acuerdo, la autoridad competente del Estado miembro de origen lo notificará al mediador de seguros o reaseguros y a la Autoridad Europea de Seguros y Pensiones de Jubilación.</w:t>
      </w:r>
    </w:p>
    <w:p>
      <w:pPr>
        <w:pStyle w:val="ListParagraph"/>
        <w:numPr>
          <w:ilvl w:val="0"/>
          <w:numId w:val="355"/>
        </w:numPr>
        <w:tabs>
          <w:tab w:pos="1652" w:val="left" w:leader="none"/>
        </w:tabs>
        <w:spacing w:line="249" w:lineRule="auto" w:before="3" w:after="0"/>
        <w:ind w:left="1074" w:right="1271" w:firstLine="340"/>
        <w:jc w:val="both"/>
        <w:rPr>
          <w:sz w:val="20"/>
        </w:rPr>
      </w:pPr>
      <w:r>
        <w:rPr>
          <w:sz w:val="20"/>
        </w:rPr>
        <w:t>La Dirección General de Seguros y Fondos de Pensiones asumirá la responsabilidad de garantizar que los servicios dentro de su territorio sean conformes con las normas de interés general a las que hace referencia el artículo 211, así como con las medidas adoptadas en cumplimiento de los</w:t>
      </w:r>
      <w:r>
        <w:rPr>
          <w:spacing w:val="-5"/>
          <w:sz w:val="20"/>
        </w:rPr>
        <w:t> </w:t>
      </w:r>
      <w:r>
        <w:rPr>
          <w:sz w:val="20"/>
        </w:rPr>
        <w:t>mismos.</w:t>
      </w:r>
    </w:p>
    <w:p>
      <w:pPr>
        <w:pStyle w:val="BodyText"/>
        <w:spacing w:line="249" w:lineRule="auto" w:before="3"/>
        <w:ind w:right="1271"/>
      </w:pPr>
      <w:r>
        <w:rPr/>
        <w:t>Asimismo, la Dirección General de Seguros y Fondos de Pensiones tendrá derecho a examinar las decisiones adoptadas por el mediador de seguros o reaseguros, así como a exigir los cambios que sean estrictamente necesarios para poder hacer cumplir lo dispuesto en las normas de interés general previstas en el artículo 211 en relación con los servicios prestados o las actividades desarrolladas por el mediador dentro de su territorio.</w:t>
      </w:r>
    </w:p>
    <w:p>
      <w:pPr>
        <w:pStyle w:val="BodyText"/>
        <w:spacing w:before="7"/>
        <w:ind w:left="0" w:firstLine="0"/>
        <w:jc w:val="left"/>
      </w:pPr>
    </w:p>
    <w:p>
      <w:pPr>
        <w:spacing w:before="0"/>
        <w:ind w:left="1074" w:right="0" w:firstLine="0"/>
        <w:jc w:val="both"/>
        <w:rPr>
          <w:i/>
          <w:sz w:val="20"/>
        </w:rPr>
      </w:pPr>
      <w:bookmarkStart w:name="Artículo 208. Observancia de las disposi" w:id="343"/>
      <w:bookmarkEnd w:id="343"/>
      <w:r>
        <w:rPr/>
      </w:r>
      <w:r>
        <w:rPr>
          <w:b/>
          <w:sz w:val="20"/>
        </w:rPr>
        <w:t>Artículo 208. </w:t>
      </w:r>
      <w:r>
        <w:rPr>
          <w:i/>
          <w:sz w:val="20"/>
        </w:rPr>
        <w:t>Observancia de las disposiciones legales.</w:t>
      </w:r>
    </w:p>
    <w:p>
      <w:pPr>
        <w:pStyle w:val="ListParagraph"/>
        <w:numPr>
          <w:ilvl w:val="0"/>
          <w:numId w:val="357"/>
        </w:numPr>
        <w:tabs>
          <w:tab w:pos="1640" w:val="left" w:leader="none"/>
        </w:tabs>
        <w:spacing w:line="249" w:lineRule="auto" w:before="117" w:after="0"/>
        <w:ind w:left="1074" w:right="1271" w:firstLine="340"/>
        <w:jc w:val="both"/>
        <w:rPr>
          <w:sz w:val="20"/>
        </w:rPr>
      </w:pPr>
      <w:r>
        <w:rPr>
          <w:sz w:val="20"/>
        </w:rPr>
        <w:t>Sin perjuicio de lo dispuesto en el artículo 209 en relación con las normas dictadas por motivos de interés general, si la Dirección General de Seguros y Fondos de Pensiones comprobase que un mediador de seguros o de reaseguros no respeta las disposiciones dictadas en virtud del título I, le requerirá para que acomode su actuación al ordenamiento jurídico. En defecto de la pertinente adecuación por parte del mediador, la Dirección General de Seguros y Fondos de Pensiones informará de ello a la autoridad supervisora del Estado miembro de origen, al objeto de que adopte las medidas oportunas para que el mediador de seguros o de reaseguros ponga fin a la situación irregular y las notifique a la Dirección General de Seguros y Fondos de Pensiones. Asimismo, la Dirección General de Seguros y Fondos de Pensiones podrá facilitar y solicitar a la autoridad supervisora del Estado miembro de origen la información que considere</w:t>
      </w:r>
      <w:r>
        <w:rPr>
          <w:spacing w:val="-7"/>
          <w:sz w:val="20"/>
        </w:rPr>
        <w:t> </w:t>
      </w:r>
      <w:r>
        <w:rPr>
          <w:sz w:val="20"/>
        </w:rPr>
        <w:t>conveniente.</w:t>
      </w:r>
    </w:p>
    <w:p>
      <w:pPr>
        <w:pStyle w:val="ListParagraph"/>
        <w:numPr>
          <w:ilvl w:val="0"/>
          <w:numId w:val="357"/>
        </w:numPr>
        <w:tabs>
          <w:tab w:pos="1701" w:val="left" w:leader="none"/>
        </w:tabs>
        <w:spacing w:line="249" w:lineRule="auto" w:before="9" w:after="0"/>
        <w:ind w:left="1074" w:right="1271" w:firstLine="340"/>
        <w:jc w:val="both"/>
        <w:rPr>
          <w:sz w:val="20"/>
        </w:rPr>
      </w:pPr>
      <w:r>
        <w:rPr>
          <w:sz w:val="20"/>
        </w:rPr>
        <w:t>Si, a pesar de las medidas adoptadas por la autoridad supervisora del Estado miembro de origen, o debido a que estas medidas no resultan adecuadas, o en ausencia de tales medidas, el mediador de seguros o de reaseguros persiste en la infracción del ordenamiento jurídico, actuando de forma claramente perjudicial a gran escala para los intereses de los usuarios de seguros o para el buen funcionamiento del mercado de seguros y reaseguros, la Dirección General de Seguros y Fondos de Pensiones podrá adoptar, tras informar de ello a las autoridades competentes del Estado miembro de origen, las medidas de control especial que sean aplicables con el fin de prevenir nuevas irregularidades y, si fuera absolutamente necesario, impedir que sigan realizando actividades de distribución en el territorio</w:t>
      </w:r>
      <w:r>
        <w:rPr>
          <w:spacing w:val="-2"/>
          <w:sz w:val="20"/>
        </w:rPr>
        <w:t> </w:t>
      </w:r>
      <w:r>
        <w:rPr>
          <w:sz w:val="20"/>
        </w:rPr>
        <w:t>nacional.</w:t>
      </w:r>
    </w:p>
    <w:p>
      <w:pPr>
        <w:pStyle w:val="BodyText"/>
        <w:spacing w:line="249" w:lineRule="auto" w:before="9"/>
        <w:ind w:right="1271"/>
      </w:pPr>
      <w:r>
        <w:rPr/>
        <w:t>Lo anterior se entiende sin perjuicio de la facultad de la Dirección General de Seguros y Fondos de Pensiones de remitir el asunto a la Autoridad Europea de Seguros y Pensiones de Jubilación y solicitar su asistencia de conformidad con el artículo 19 del Reglamento (UE) n.º 1094/2010 del Parlamento Europeo y del Consejo, de 24 de noviembre de 2010, por el que se crea una Autoridad Europea de Supervisión (Autoridad Europea de Seguros y Pensiones de Jubilación), se modifica la Decisión n.º 716/2009/CE y se deroga la Decisión 2009/79/CE de la</w:t>
      </w:r>
      <w:r>
        <w:rPr>
          <w:spacing w:val="-4"/>
        </w:rPr>
        <w:t> </w:t>
      </w:r>
      <w:r>
        <w:rPr/>
        <w:t>Comisión.</w:t>
      </w:r>
    </w:p>
    <w:p>
      <w:pPr>
        <w:pStyle w:val="ListParagraph"/>
        <w:numPr>
          <w:ilvl w:val="0"/>
          <w:numId w:val="357"/>
        </w:numPr>
        <w:tabs>
          <w:tab w:pos="1663" w:val="left" w:leader="none"/>
        </w:tabs>
        <w:spacing w:line="249" w:lineRule="auto" w:before="5" w:after="0"/>
        <w:ind w:left="1074" w:right="1272" w:firstLine="340"/>
        <w:jc w:val="both"/>
        <w:rPr>
          <w:sz w:val="20"/>
        </w:rPr>
      </w:pPr>
      <w:r>
        <w:rPr>
          <w:sz w:val="20"/>
        </w:rPr>
        <w:t>El apartado anterior no afectará a la facultad de la Dirección General de Seguros y Fondos de Pensiones de adoptar las medidas oportunas para de prevenir o sancionar las irregularidades cometidas en territorio nacional en caso de que sea necesaria una acción inmediata a fin de proteger los derechos de los usuarios de servicios financieros, incluyendo la posibilidad de impedir que los mediadores de seguros, de reaseguros y de seguros complementarios realicen nuevas</w:t>
      </w:r>
      <w:r>
        <w:rPr>
          <w:spacing w:val="-2"/>
          <w:sz w:val="20"/>
        </w:rPr>
        <w:t> </w:t>
      </w:r>
      <w:r>
        <w:rPr>
          <w:sz w:val="20"/>
        </w:rPr>
        <w:t>operaciones.</w:t>
      </w:r>
    </w:p>
    <w:p>
      <w:pPr>
        <w:pStyle w:val="ListParagraph"/>
        <w:numPr>
          <w:ilvl w:val="0"/>
          <w:numId w:val="357"/>
        </w:numPr>
        <w:tabs>
          <w:tab w:pos="1654" w:val="left" w:leader="none"/>
        </w:tabs>
        <w:spacing w:line="249" w:lineRule="auto" w:before="5" w:after="0"/>
        <w:ind w:left="1074" w:right="1272" w:firstLine="340"/>
        <w:jc w:val="both"/>
        <w:rPr>
          <w:sz w:val="20"/>
        </w:rPr>
      </w:pPr>
      <w:r>
        <w:rPr>
          <w:sz w:val="20"/>
        </w:rPr>
        <w:t>Toda medida adoptada por la Dirección General de Seguros y Fondos de Pensiones en virtud del presente artículo deberá comunicarse al mediador interesado en un documento debidamente justificado y se notificará a la autoridad competente del Estado miembro de origen, a la Autoridad Europea de Seguros y Pensiones de Jubilación y a la Comisión Europea, sin demora</w:t>
      </w:r>
      <w:r>
        <w:rPr>
          <w:spacing w:val="-2"/>
          <w:sz w:val="20"/>
        </w:rPr>
        <w:t> </w:t>
      </w:r>
      <w:r>
        <w:rPr>
          <w:sz w:val="20"/>
        </w:rPr>
        <w:t>injustificada.</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line="249" w:lineRule="auto" w:before="0"/>
        <w:ind w:left="1074" w:right="1273" w:hanging="1"/>
        <w:jc w:val="both"/>
        <w:rPr>
          <w:i/>
          <w:sz w:val="20"/>
        </w:rPr>
      </w:pPr>
      <w:bookmarkStart w:name="Artículo 209. Observancia de las disposi" w:id="344"/>
      <w:bookmarkEnd w:id="344"/>
      <w:r>
        <w:rPr/>
      </w:r>
      <w:r>
        <w:rPr>
          <w:b/>
          <w:sz w:val="20"/>
        </w:rPr>
        <w:t>Artículo 209. </w:t>
      </w:r>
      <w:r>
        <w:rPr>
          <w:i/>
          <w:sz w:val="20"/>
        </w:rPr>
        <w:t>Observancia de las disposiciones legales adoptadas por motivos de interés </w:t>
      </w:r>
      <w:r>
        <w:rPr>
          <w:i/>
          <w:sz w:val="20"/>
        </w:rPr>
        <w:t>general.</w:t>
      </w:r>
    </w:p>
    <w:p>
      <w:pPr>
        <w:pStyle w:val="ListParagraph"/>
        <w:numPr>
          <w:ilvl w:val="0"/>
          <w:numId w:val="358"/>
        </w:numPr>
        <w:tabs>
          <w:tab w:pos="1681" w:val="left" w:leader="none"/>
        </w:tabs>
        <w:spacing w:line="249" w:lineRule="auto" w:before="109" w:after="0"/>
        <w:ind w:left="1074" w:right="1272" w:firstLine="340"/>
        <w:jc w:val="both"/>
        <w:rPr>
          <w:sz w:val="20"/>
        </w:rPr>
      </w:pPr>
      <w:r>
        <w:rPr>
          <w:sz w:val="20"/>
        </w:rPr>
        <w:t>Los mediadores de seguros o de reaseguros que operen en territorio español en régimen de derecho de establecimiento o de libre prestación de servicios, deberán respetar las disposiciones a las que se refiere el artículo</w:t>
      </w:r>
      <w:r>
        <w:rPr>
          <w:spacing w:val="-11"/>
          <w:sz w:val="20"/>
        </w:rPr>
        <w:t> </w:t>
      </w:r>
      <w:r>
        <w:rPr>
          <w:sz w:val="20"/>
        </w:rPr>
        <w:t>211.</w:t>
      </w:r>
    </w:p>
    <w:p>
      <w:pPr>
        <w:pStyle w:val="ListParagraph"/>
        <w:numPr>
          <w:ilvl w:val="0"/>
          <w:numId w:val="358"/>
        </w:numPr>
        <w:tabs>
          <w:tab w:pos="1667" w:val="left" w:leader="none"/>
        </w:tabs>
        <w:spacing w:line="249" w:lineRule="auto" w:before="3" w:after="0"/>
        <w:ind w:left="1074" w:right="1272" w:firstLine="340"/>
        <w:jc w:val="both"/>
        <w:rPr>
          <w:sz w:val="20"/>
        </w:rPr>
      </w:pPr>
      <w:r>
        <w:rPr>
          <w:sz w:val="20"/>
        </w:rPr>
        <w:t>En el caso de que se infrinjan preceptos sobre disposiciones de interés general, la Dirección General de Seguros y Fondos de Pensiones podrá adoptar las medidas oportunas y no discriminatorias adecuadas, sin necesidad de informar previamente a las autoridades competentes del Estado miembro de origen, incluyendo la posibilidad de impedir que el mediador realice nuevas operaciones en territorio español, a fin de prevenir o sancionar las irregularidades</w:t>
      </w:r>
      <w:r>
        <w:rPr>
          <w:spacing w:val="-2"/>
          <w:sz w:val="20"/>
        </w:rPr>
        <w:t> </w:t>
      </w:r>
      <w:r>
        <w:rPr>
          <w:sz w:val="20"/>
        </w:rPr>
        <w:t>cometidas.</w:t>
      </w:r>
    </w:p>
    <w:p>
      <w:pPr>
        <w:pStyle w:val="ListParagraph"/>
        <w:numPr>
          <w:ilvl w:val="0"/>
          <w:numId w:val="358"/>
        </w:numPr>
        <w:tabs>
          <w:tab w:pos="1659" w:val="left" w:leader="none"/>
        </w:tabs>
        <w:spacing w:line="249" w:lineRule="auto" w:before="5" w:after="0"/>
        <w:ind w:left="1074" w:right="1272" w:firstLine="340"/>
        <w:jc w:val="both"/>
        <w:rPr>
          <w:sz w:val="20"/>
        </w:rPr>
      </w:pPr>
      <w:r>
        <w:rPr>
          <w:sz w:val="20"/>
        </w:rPr>
        <w:t>Asimismo, y con la finalidad de impedir que un mediador de seguros establecido en otro Estado miembro lleve a cabo actividades dentro del territorio español en régimen de libre prestación de servicios o en régimen de derecho de establecimiento, si dichas actividades se realizan, total o principalmente, en territorio español con la única finalidad de evitar las disposiciones legales que serían de aplicación si dicho mediador de seguros tuviera su residencia o domicilio social en España y, además, si su actividad pone seriamente en peligro el buen funcionamiento del mercado asegurador español en lo que respecta a la protección de los usuarios de seguros, la Dirección General de Seguros y Fondos de Pensiones, tras informar a la autoridad competente del Estado miembro de origen, podrá adoptar respecto a dicho mediador de seguros todas las medidas adecuadas necesarias</w:t>
      </w:r>
      <w:r>
        <w:rPr>
          <w:spacing w:val="-4"/>
          <w:sz w:val="20"/>
        </w:rPr>
        <w:t> </w:t>
      </w:r>
      <w:r>
        <w:rPr>
          <w:sz w:val="20"/>
        </w:rPr>
        <w:t>para</w:t>
      </w:r>
      <w:r>
        <w:rPr>
          <w:spacing w:val="-3"/>
          <w:sz w:val="20"/>
        </w:rPr>
        <w:t> </w:t>
      </w:r>
      <w:r>
        <w:rPr>
          <w:sz w:val="20"/>
        </w:rPr>
        <w:t>proteger</w:t>
      </w:r>
      <w:r>
        <w:rPr>
          <w:spacing w:val="-4"/>
          <w:sz w:val="20"/>
        </w:rPr>
        <w:t> </w:t>
      </w:r>
      <w:r>
        <w:rPr>
          <w:sz w:val="20"/>
        </w:rPr>
        <w:t>los</w:t>
      </w:r>
      <w:r>
        <w:rPr>
          <w:spacing w:val="-3"/>
          <w:sz w:val="20"/>
        </w:rPr>
        <w:t> </w:t>
      </w:r>
      <w:r>
        <w:rPr>
          <w:sz w:val="20"/>
        </w:rPr>
        <w:t>derechos</w:t>
      </w:r>
      <w:r>
        <w:rPr>
          <w:spacing w:val="-4"/>
          <w:sz w:val="20"/>
        </w:rPr>
        <w:t> </w:t>
      </w:r>
      <w:r>
        <w:rPr>
          <w:sz w:val="20"/>
        </w:rPr>
        <w:t>de</w:t>
      </w:r>
      <w:r>
        <w:rPr>
          <w:spacing w:val="-3"/>
          <w:sz w:val="20"/>
        </w:rPr>
        <w:t> </w:t>
      </w:r>
      <w:r>
        <w:rPr>
          <w:sz w:val="20"/>
        </w:rPr>
        <w:t>los</w:t>
      </w:r>
      <w:r>
        <w:rPr>
          <w:spacing w:val="-3"/>
          <w:sz w:val="20"/>
        </w:rPr>
        <w:t> </w:t>
      </w:r>
      <w:r>
        <w:rPr>
          <w:sz w:val="20"/>
        </w:rPr>
        <w:t>usuarios</w:t>
      </w:r>
      <w:r>
        <w:rPr>
          <w:spacing w:val="-4"/>
          <w:sz w:val="20"/>
        </w:rPr>
        <w:t> </w:t>
      </w:r>
      <w:r>
        <w:rPr>
          <w:sz w:val="20"/>
        </w:rPr>
        <w:t>de</w:t>
      </w:r>
      <w:r>
        <w:rPr>
          <w:spacing w:val="-3"/>
          <w:sz w:val="20"/>
        </w:rPr>
        <w:t> </w:t>
      </w:r>
      <w:r>
        <w:rPr>
          <w:sz w:val="20"/>
        </w:rPr>
        <w:t>seguros</w:t>
      </w:r>
      <w:r>
        <w:rPr>
          <w:spacing w:val="-3"/>
          <w:sz w:val="20"/>
        </w:rPr>
        <w:t> </w:t>
      </w:r>
      <w:r>
        <w:rPr>
          <w:sz w:val="20"/>
        </w:rPr>
        <w:t>en</w:t>
      </w:r>
      <w:r>
        <w:rPr>
          <w:spacing w:val="-3"/>
          <w:sz w:val="20"/>
        </w:rPr>
        <w:t> </w:t>
      </w:r>
      <w:r>
        <w:rPr>
          <w:sz w:val="20"/>
        </w:rPr>
        <w:t>el</w:t>
      </w:r>
      <w:r>
        <w:rPr>
          <w:spacing w:val="-4"/>
          <w:sz w:val="20"/>
        </w:rPr>
        <w:t> </w:t>
      </w:r>
      <w:r>
        <w:rPr>
          <w:sz w:val="20"/>
        </w:rPr>
        <w:t>territorio</w:t>
      </w:r>
      <w:r>
        <w:rPr>
          <w:spacing w:val="-2"/>
          <w:sz w:val="20"/>
        </w:rPr>
        <w:t> </w:t>
      </w:r>
      <w:r>
        <w:rPr>
          <w:sz w:val="20"/>
        </w:rPr>
        <w:t>español.</w:t>
      </w:r>
    </w:p>
    <w:p>
      <w:pPr>
        <w:pStyle w:val="BodyText"/>
        <w:spacing w:line="249" w:lineRule="auto" w:before="9"/>
        <w:ind w:right="1271"/>
      </w:pPr>
      <w:r>
        <w:rPr/>
        <w:t>La Dirección General de Seguros y Fondos de Pensiones podrá remitir el asunto a la Autoridad Europea de Seguros y Pensiones de Jubilación y solicitar su asistencia de conformidad con el artículo 19 del Reglamento (UE) n.º 1094/2010 del Parlamento Europeo y del Consejo de 24 de noviembre de 2010.</w:t>
      </w:r>
    </w:p>
    <w:p>
      <w:pPr>
        <w:pStyle w:val="BodyText"/>
        <w:spacing w:before="6"/>
        <w:ind w:left="0" w:firstLine="0"/>
        <w:jc w:val="left"/>
      </w:pPr>
    </w:p>
    <w:p>
      <w:pPr>
        <w:spacing w:before="0"/>
        <w:ind w:left="1074" w:right="0" w:firstLine="0"/>
        <w:jc w:val="both"/>
        <w:rPr>
          <w:i/>
          <w:sz w:val="20"/>
        </w:rPr>
      </w:pPr>
      <w:bookmarkStart w:name="Artículo 210. Medidas de intervención." w:id="345"/>
      <w:bookmarkEnd w:id="345"/>
      <w:r>
        <w:rPr/>
      </w:r>
      <w:r>
        <w:rPr>
          <w:b/>
          <w:sz w:val="20"/>
        </w:rPr>
        <w:t>Artículo 210. </w:t>
      </w:r>
      <w:r>
        <w:rPr>
          <w:i/>
          <w:sz w:val="20"/>
        </w:rPr>
        <w:t>Medidas de intervención.</w:t>
      </w:r>
    </w:p>
    <w:p>
      <w:pPr>
        <w:pStyle w:val="ListParagraph"/>
        <w:numPr>
          <w:ilvl w:val="0"/>
          <w:numId w:val="359"/>
        </w:numPr>
        <w:tabs>
          <w:tab w:pos="1666" w:val="left" w:leader="none"/>
        </w:tabs>
        <w:spacing w:line="249" w:lineRule="auto" w:before="117" w:after="0"/>
        <w:ind w:left="1074" w:right="1272" w:firstLine="340"/>
        <w:jc w:val="both"/>
        <w:rPr>
          <w:sz w:val="20"/>
        </w:rPr>
      </w:pPr>
      <w:r>
        <w:rPr>
          <w:sz w:val="20"/>
        </w:rPr>
        <w:t>Cuando la autoridad supervisora de un mediador de seguros, mediador de seguros complementarios o de corredor de reaseguros residente o domiciliado en un Estado miembro distinto de España, que opere en ella en régimen de derecho de establecimiento o en régimen de libre prestación de servicios, acuerde la cancelación de su inscripción en el registro legalmente admisible con arreglo a la normativa de dicho Estado miembro de origen, la Dirección General de Seguros y Fondos de Pensiones tomará razón de dicha cancelación en el registro administrativo previsto en el artículo</w:t>
      </w:r>
      <w:r>
        <w:rPr>
          <w:spacing w:val="-11"/>
          <w:sz w:val="20"/>
        </w:rPr>
        <w:t> </w:t>
      </w:r>
      <w:r>
        <w:rPr>
          <w:sz w:val="20"/>
        </w:rPr>
        <w:t>133.</w:t>
      </w:r>
    </w:p>
    <w:p>
      <w:pPr>
        <w:pStyle w:val="BodyText"/>
        <w:spacing w:line="249" w:lineRule="auto" w:before="6"/>
        <w:ind w:right="1274"/>
      </w:pPr>
      <w:r>
        <w:rPr/>
        <w:t>La Dirección General de Seguros y Fondos de Pensiones podrá acordar la publicidad que considere necesaria de tal</w:t>
      </w:r>
      <w:r>
        <w:rPr>
          <w:spacing w:val="-4"/>
        </w:rPr>
        <w:t> </w:t>
      </w:r>
      <w:r>
        <w:rPr/>
        <w:t>cancelación.</w:t>
      </w:r>
    </w:p>
    <w:p>
      <w:pPr>
        <w:pStyle w:val="ListParagraph"/>
        <w:numPr>
          <w:ilvl w:val="0"/>
          <w:numId w:val="359"/>
        </w:numPr>
        <w:tabs>
          <w:tab w:pos="1644" w:val="left" w:leader="none"/>
        </w:tabs>
        <w:spacing w:line="249" w:lineRule="auto" w:before="2" w:after="0"/>
        <w:ind w:left="1074" w:right="1272" w:firstLine="340"/>
        <w:jc w:val="both"/>
        <w:rPr>
          <w:sz w:val="20"/>
        </w:rPr>
      </w:pPr>
      <w:r>
        <w:rPr>
          <w:sz w:val="20"/>
        </w:rPr>
        <w:t>Los mediadores de seguros o de reaseguros residentes o domiciliados en otro Estado miembro que operen en España en régimen de derecho de establecimiento o en régimen de libre prestación de servicios están sujetos a la potestad sancionadora del Ministerio de Asuntos Económicos y Transformación Digital en los términos establecidos en los artículos 191 y siguientes, en lo que sea de aplicación y con las siguientes</w:t>
      </w:r>
      <w:r>
        <w:rPr>
          <w:spacing w:val="-18"/>
          <w:sz w:val="20"/>
        </w:rPr>
        <w:t> </w:t>
      </w:r>
      <w:r>
        <w:rPr>
          <w:sz w:val="20"/>
        </w:rPr>
        <w:t>precisiones:</w:t>
      </w:r>
    </w:p>
    <w:p>
      <w:pPr>
        <w:pStyle w:val="ListParagraph"/>
        <w:numPr>
          <w:ilvl w:val="0"/>
          <w:numId w:val="360"/>
        </w:numPr>
        <w:tabs>
          <w:tab w:pos="1660" w:val="left" w:leader="none"/>
        </w:tabs>
        <w:spacing w:line="249" w:lineRule="auto" w:before="124" w:after="0"/>
        <w:ind w:left="1074" w:right="1275" w:firstLine="340"/>
        <w:jc w:val="both"/>
        <w:rPr>
          <w:sz w:val="20"/>
        </w:rPr>
      </w:pPr>
      <w:r>
        <w:rPr>
          <w:sz w:val="20"/>
        </w:rPr>
        <w:t>La sanción de cancelación de la inscripción se entenderá sustituida por la prohibición de llevar a cabo nuevas operaciones en el territorio</w:t>
      </w:r>
      <w:r>
        <w:rPr>
          <w:spacing w:val="-12"/>
          <w:sz w:val="20"/>
        </w:rPr>
        <w:t> </w:t>
      </w:r>
      <w:r>
        <w:rPr>
          <w:sz w:val="20"/>
        </w:rPr>
        <w:t>español.</w:t>
      </w:r>
    </w:p>
    <w:p>
      <w:pPr>
        <w:pStyle w:val="ListParagraph"/>
        <w:numPr>
          <w:ilvl w:val="0"/>
          <w:numId w:val="360"/>
        </w:numPr>
        <w:tabs>
          <w:tab w:pos="1695" w:val="left" w:leader="none"/>
        </w:tabs>
        <w:spacing w:line="249" w:lineRule="auto" w:before="1" w:after="0"/>
        <w:ind w:left="1074" w:right="1272" w:firstLine="340"/>
        <w:jc w:val="both"/>
        <w:rPr>
          <w:sz w:val="20"/>
        </w:rPr>
      </w:pPr>
      <w:r>
        <w:rPr>
          <w:sz w:val="20"/>
        </w:rPr>
        <w:t>La iniciación del procedimiento se comunicará a las autoridades supervisoras del Estado miembro de origen para que, sin perjuicio de las sanciones que procedan con arreglo al título I, adopten las medidas que consideren apropiadas para que, en su caso, el mediador ponga fin a su actuación infractora o evite su reiteración en el futuro. Ultimado el procedimiento, el Ministerio de Asuntos Económicos y Transformación Digital notificará la decisión adoptada a las citadas</w:t>
      </w:r>
      <w:r>
        <w:rPr>
          <w:spacing w:val="-6"/>
          <w:sz w:val="20"/>
        </w:rPr>
        <w:t> </w:t>
      </w:r>
      <w:r>
        <w:rPr>
          <w:sz w:val="20"/>
        </w:rPr>
        <w:t>autoridades.</w:t>
      </w:r>
    </w:p>
    <w:p>
      <w:pPr>
        <w:pStyle w:val="ListParagraph"/>
        <w:numPr>
          <w:ilvl w:val="0"/>
          <w:numId w:val="360"/>
        </w:numPr>
        <w:tabs>
          <w:tab w:pos="1663" w:val="left" w:leader="none"/>
        </w:tabs>
        <w:spacing w:line="249" w:lineRule="auto" w:before="5" w:after="0"/>
        <w:ind w:left="1074" w:right="1275" w:firstLine="340"/>
        <w:jc w:val="both"/>
        <w:rPr>
          <w:sz w:val="20"/>
        </w:rPr>
      </w:pPr>
      <w:r>
        <w:rPr>
          <w:sz w:val="20"/>
        </w:rPr>
        <w:t>Se consideran cargos de administración o dirección de las sucursales el apoderado general y las demás personas que dirijan dicha</w:t>
      </w:r>
      <w:r>
        <w:rPr>
          <w:spacing w:val="-11"/>
          <w:sz w:val="20"/>
        </w:rPr>
        <w:t> </w:t>
      </w:r>
      <w:r>
        <w:rPr>
          <w:sz w:val="20"/>
        </w:rPr>
        <w:t>sucursal.</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pStyle w:val="Heading2"/>
        <w:spacing w:line="249" w:lineRule="auto"/>
        <w:ind w:right="1610"/>
      </w:pPr>
      <w:bookmarkStart w:name="Sección 2.ª Normas de interés general ap" w:id="346"/>
      <w:bookmarkEnd w:id="346"/>
      <w:r>
        <w:rPr>
          <w:b w:val="0"/>
          <w:i w:val="0"/>
        </w:rPr>
      </w:r>
      <w:bookmarkStart w:name="_bookmark67" w:id="347"/>
      <w:bookmarkEnd w:id="347"/>
      <w:r>
        <w:rPr>
          <w:b w:val="0"/>
          <w:i w:val="0"/>
        </w:rPr>
      </w:r>
      <w:r>
        <w:rPr>
          <w:i/>
        </w:rPr>
        <w:t>Sección 2.ª Normas de interés general aplicables a los distribuidores de </w:t>
      </w:r>
      <w:r>
        <w:rPr/>
        <w:t>seguros y de reaseguros residentes o domiciliados en otros estados miembros de la Unión Europea</w:t>
      </w:r>
    </w:p>
    <w:p>
      <w:pPr>
        <w:pStyle w:val="BodyText"/>
        <w:spacing w:before="9"/>
        <w:ind w:left="0" w:firstLine="0"/>
        <w:jc w:val="left"/>
        <w:rPr>
          <w:b/>
          <w:i/>
          <w:sz w:val="29"/>
        </w:rPr>
      </w:pPr>
    </w:p>
    <w:p>
      <w:pPr>
        <w:spacing w:before="0"/>
        <w:ind w:left="1074" w:right="0" w:firstLine="0"/>
        <w:jc w:val="both"/>
        <w:rPr>
          <w:i/>
          <w:sz w:val="20"/>
        </w:rPr>
      </w:pPr>
      <w:bookmarkStart w:name="Artículo 211. Normas de interés general." w:id="348"/>
      <w:bookmarkEnd w:id="348"/>
      <w:r>
        <w:rPr/>
      </w:r>
      <w:r>
        <w:rPr>
          <w:b/>
          <w:sz w:val="20"/>
        </w:rPr>
        <w:t>Artículo 211. </w:t>
      </w:r>
      <w:r>
        <w:rPr>
          <w:i/>
          <w:sz w:val="20"/>
        </w:rPr>
        <w:t>Normas de interés general.</w:t>
      </w:r>
    </w:p>
    <w:p>
      <w:pPr>
        <w:pStyle w:val="ListParagraph"/>
        <w:numPr>
          <w:ilvl w:val="0"/>
          <w:numId w:val="361"/>
        </w:numPr>
        <w:tabs>
          <w:tab w:pos="1640" w:val="left" w:leader="none"/>
        </w:tabs>
        <w:spacing w:line="249" w:lineRule="auto" w:before="118" w:after="0"/>
        <w:ind w:left="1074" w:right="1273" w:firstLine="340"/>
        <w:jc w:val="both"/>
        <w:rPr>
          <w:sz w:val="20"/>
        </w:rPr>
      </w:pPr>
      <w:r>
        <w:rPr>
          <w:sz w:val="20"/>
        </w:rPr>
        <w:t>Los distribuidores de seguros y reaseguros residentes o domiciliados en otros Estados miembros de la Unión Europea que ejerzan en España actividades de distribución, habrán  de respetar las disposiciones dictadas por razones de interés general y las de supervisión que, en su caso, resulten</w:t>
      </w:r>
      <w:r>
        <w:rPr>
          <w:spacing w:val="-3"/>
          <w:sz w:val="20"/>
        </w:rPr>
        <w:t> </w:t>
      </w:r>
      <w:r>
        <w:rPr>
          <w:sz w:val="20"/>
        </w:rPr>
        <w:t>aplicables.</w:t>
      </w:r>
    </w:p>
    <w:p>
      <w:pPr>
        <w:pStyle w:val="ListParagraph"/>
        <w:numPr>
          <w:ilvl w:val="0"/>
          <w:numId w:val="361"/>
        </w:numPr>
        <w:tabs>
          <w:tab w:pos="1661" w:val="left" w:leader="none"/>
        </w:tabs>
        <w:spacing w:line="249" w:lineRule="auto" w:before="3" w:after="0"/>
        <w:ind w:left="1074" w:right="1273" w:firstLine="340"/>
        <w:jc w:val="both"/>
        <w:rPr>
          <w:sz w:val="20"/>
        </w:rPr>
      </w:pPr>
      <w:r>
        <w:rPr>
          <w:sz w:val="20"/>
        </w:rPr>
        <w:t>Se considerarán en todo caso como normas de interés general en territorio español las disposiciones relativas a las obligaciones de información y normas de conducta, y las relativas a los requisitos adicionales de información en relación con los productos de inversión basados en seguros, a las que se refiere la sección 6.ª del capítulo</w:t>
      </w:r>
      <w:r>
        <w:rPr>
          <w:spacing w:val="-19"/>
          <w:sz w:val="20"/>
        </w:rPr>
        <w:t> </w:t>
      </w:r>
      <w:r>
        <w:rPr>
          <w:sz w:val="20"/>
        </w:rPr>
        <w:t>III.</w:t>
      </w:r>
    </w:p>
    <w:p>
      <w:pPr>
        <w:pStyle w:val="ListParagraph"/>
        <w:numPr>
          <w:ilvl w:val="0"/>
          <w:numId w:val="361"/>
        </w:numPr>
        <w:tabs>
          <w:tab w:pos="1667" w:val="left" w:leader="none"/>
        </w:tabs>
        <w:spacing w:line="249" w:lineRule="auto" w:before="4" w:after="0"/>
        <w:ind w:left="1074" w:right="1276" w:firstLine="340"/>
        <w:jc w:val="both"/>
        <w:rPr>
          <w:sz w:val="20"/>
        </w:rPr>
      </w:pPr>
      <w:r>
        <w:rPr>
          <w:sz w:val="20"/>
        </w:rPr>
        <w:t>Las normas de interés general serán debidamente publicadas en el sitio web de la Dirección General de Seguros y Fondos de</w:t>
      </w:r>
      <w:r>
        <w:rPr>
          <w:spacing w:val="-5"/>
          <w:sz w:val="20"/>
        </w:rPr>
        <w:t> </w:t>
      </w:r>
      <w:r>
        <w:rPr>
          <w:sz w:val="20"/>
        </w:rPr>
        <w:t>Pensiones.</w:t>
      </w:r>
    </w:p>
    <w:p>
      <w:pPr>
        <w:pStyle w:val="BodyText"/>
        <w:spacing w:before="0"/>
        <w:ind w:left="0" w:firstLine="0"/>
        <w:jc w:val="left"/>
        <w:rPr>
          <w:sz w:val="26"/>
        </w:rPr>
      </w:pPr>
    </w:p>
    <w:p>
      <w:pPr>
        <w:pStyle w:val="BodyText"/>
        <w:spacing w:before="162"/>
        <w:ind w:left="2930" w:right="3127" w:firstLine="0"/>
        <w:jc w:val="center"/>
      </w:pPr>
      <w:bookmarkStart w:name="TÍTULO II. Transposición parcial de la D" w:id="349"/>
      <w:bookmarkEnd w:id="349"/>
      <w:r>
        <w:rPr/>
      </w:r>
      <w:bookmarkStart w:name="_bookmark68" w:id="350"/>
      <w:bookmarkEnd w:id="350"/>
      <w:r>
        <w:rPr/>
      </w:r>
      <w:r>
        <w:rPr/>
        <w:t>TÍTULO II</w:t>
      </w:r>
    </w:p>
    <w:p>
      <w:pPr>
        <w:pStyle w:val="Heading1"/>
        <w:spacing w:line="249" w:lineRule="auto"/>
        <w:ind w:right="1613"/>
      </w:pPr>
      <w:r>
        <w:rPr/>
        <w:t>Transposición parcial de la Directiva (UE) 2016/2341 del Parlamento Europeo y del Consejo, de 14 de diciembre de 2016, relativa a las actividades y la supervisión de los fondos de pensiones de empleo</w:t>
      </w:r>
    </w:p>
    <w:p>
      <w:pPr>
        <w:pStyle w:val="BodyText"/>
        <w:spacing w:before="9"/>
        <w:ind w:left="0" w:firstLine="0"/>
        <w:jc w:val="left"/>
        <w:rPr>
          <w:b/>
          <w:sz w:val="29"/>
        </w:rPr>
      </w:pPr>
    </w:p>
    <w:p>
      <w:pPr>
        <w:spacing w:line="249" w:lineRule="auto" w:before="0"/>
        <w:ind w:left="1074" w:right="1272" w:firstLine="0"/>
        <w:jc w:val="both"/>
        <w:rPr>
          <w:i/>
          <w:sz w:val="20"/>
        </w:rPr>
      </w:pPr>
      <w:bookmarkStart w:name="Artículo 212. Modificación del texto ref" w:id="351"/>
      <w:bookmarkEnd w:id="351"/>
      <w:r>
        <w:rPr/>
      </w:r>
      <w:r>
        <w:rPr>
          <w:b/>
          <w:sz w:val="20"/>
        </w:rPr>
        <w:t>Artículo 212. </w:t>
      </w:r>
      <w:r>
        <w:rPr>
          <w:i/>
          <w:sz w:val="20"/>
        </w:rPr>
        <w:t>Modificación del texto refundido de la Ley de Regulación de los Planes y </w:t>
      </w:r>
      <w:r>
        <w:rPr>
          <w:i/>
          <w:sz w:val="20"/>
        </w:rPr>
        <w:t>Fondos de Pensiones, aprobado por el Real Decreto Legislativo 1/2002, de 29 de noviembre.</w:t>
      </w:r>
    </w:p>
    <w:p>
      <w:pPr>
        <w:pStyle w:val="BodyText"/>
        <w:spacing w:line="249" w:lineRule="auto" w:before="109"/>
        <w:ind w:right="1271"/>
      </w:pPr>
      <w:r>
        <w:rPr/>
        <w:t>El texto refundido de la Ley de Regulación de los Planes y Fondos de Pensiones, aprobado por el Real Decreto Legislativo 1/2002, de 29 de noviembre, queda modificado como sigue:</w:t>
      </w:r>
    </w:p>
    <w:p>
      <w:pPr>
        <w:pStyle w:val="BodyText"/>
        <w:spacing w:before="123"/>
        <w:ind w:left="1414" w:firstLine="0"/>
        <w:jc w:val="left"/>
      </w:pPr>
      <w:r>
        <w:rPr/>
        <w:t>Uno. Se introduce un nuevo artículo 10 bis con la siguiente redacción:</w:t>
      </w:r>
    </w:p>
    <w:p>
      <w:pPr>
        <w:pStyle w:val="BodyText"/>
        <w:spacing w:before="1"/>
        <w:ind w:left="0" w:firstLine="0"/>
        <w:jc w:val="left"/>
        <w:rPr>
          <w:sz w:val="21"/>
        </w:rPr>
      </w:pPr>
    </w:p>
    <w:p>
      <w:pPr>
        <w:spacing w:line="249" w:lineRule="auto" w:before="0"/>
        <w:ind w:left="1754" w:right="1272" w:firstLine="0"/>
        <w:jc w:val="both"/>
        <w:rPr>
          <w:i/>
          <w:sz w:val="20"/>
        </w:rPr>
      </w:pPr>
      <w:r>
        <w:rPr>
          <w:b/>
          <w:sz w:val="20"/>
        </w:rPr>
        <w:t>«Artículo 10 bis. </w:t>
      </w:r>
      <w:r>
        <w:rPr>
          <w:i/>
          <w:sz w:val="20"/>
        </w:rPr>
        <w:t>Información que debe facilitarse a los partícipes potenciales, a los </w:t>
      </w:r>
      <w:r>
        <w:rPr>
          <w:i/>
          <w:sz w:val="20"/>
        </w:rPr>
        <w:t>partícipes y a los beneficiarios.</w:t>
      </w:r>
    </w:p>
    <w:p>
      <w:pPr>
        <w:pStyle w:val="ListParagraph"/>
        <w:numPr>
          <w:ilvl w:val="1"/>
          <w:numId w:val="361"/>
        </w:numPr>
        <w:tabs>
          <w:tab w:pos="2340" w:val="left" w:leader="none"/>
        </w:tabs>
        <w:spacing w:line="249" w:lineRule="auto" w:before="109" w:after="0"/>
        <w:ind w:left="1754" w:right="1273" w:firstLine="340"/>
        <w:jc w:val="both"/>
        <w:rPr>
          <w:sz w:val="20"/>
        </w:rPr>
      </w:pPr>
      <w:r>
        <w:rPr>
          <w:sz w:val="20"/>
        </w:rPr>
        <w:t>Los partícipes potenciales, los partícipes y los beneficiarios de los planes de pensiones deberán disponer de información adecuada y transparente sobre los planes y fondos de pensiones que les permita fundamentar sus decisiones sobre su jubilación y conocer el contenido y evolución de sus derechos en el</w:t>
      </w:r>
      <w:r>
        <w:rPr>
          <w:spacing w:val="-19"/>
          <w:sz w:val="20"/>
        </w:rPr>
        <w:t> </w:t>
      </w:r>
      <w:r>
        <w:rPr>
          <w:sz w:val="20"/>
        </w:rPr>
        <w:t>plan.</w:t>
      </w:r>
    </w:p>
    <w:p>
      <w:pPr>
        <w:pStyle w:val="ListParagraph"/>
        <w:numPr>
          <w:ilvl w:val="1"/>
          <w:numId w:val="361"/>
        </w:numPr>
        <w:tabs>
          <w:tab w:pos="2362" w:val="left" w:leader="none"/>
        </w:tabs>
        <w:spacing w:line="249" w:lineRule="auto" w:before="3" w:after="0"/>
        <w:ind w:left="1754" w:right="1274" w:firstLine="340"/>
        <w:jc w:val="both"/>
        <w:rPr>
          <w:sz w:val="20"/>
        </w:rPr>
      </w:pPr>
      <w:r>
        <w:rPr>
          <w:sz w:val="20"/>
        </w:rPr>
        <w:t>La información que se ha de facilitar a partícipes potenciales, partícipes y beneficiarios, debe cumplir con los siguientes</w:t>
      </w:r>
      <w:r>
        <w:rPr>
          <w:spacing w:val="-7"/>
          <w:sz w:val="20"/>
        </w:rPr>
        <w:t> </w:t>
      </w:r>
      <w:r>
        <w:rPr>
          <w:sz w:val="20"/>
        </w:rPr>
        <w:t>principios:</w:t>
      </w:r>
    </w:p>
    <w:p>
      <w:pPr>
        <w:pStyle w:val="ListParagraph"/>
        <w:numPr>
          <w:ilvl w:val="0"/>
          <w:numId w:val="362"/>
        </w:numPr>
        <w:tabs>
          <w:tab w:pos="2328" w:val="left" w:leader="none"/>
        </w:tabs>
        <w:spacing w:line="240" w:lineRule="auto" w:before="172" w:after="0"/>
        <w:ind w:left="2327" w:right="0" w:hanging="234"/>
        <w:jc w:val="both"/>
        <w:rPr>
          <w:sz w:val="20"/>
        </w:rPr>
      </w:pPr>
      <w:r>
        <w:rPr>
          <w:sz w:val="20"/>
        </w:rPr>
        <w:t>Actualización</w:t>
      </w:r>
      <w:r>
        <w:rPr>
          <w:spacing w:val="-1"/>
          <w:sz w:val="20"/>
        </w:rPr>
        <w:t> </w:t>
      </w:r>
      <w:r>
        <w:rPr>
          <w:sz w:val="20"/>
        </w:rPr>
        <w:t>periódica.</w:t>
      </w:r>
    </w:p>
    <w:p>
      <w:pPr>
        <w:pStyle w:val="ListParagraph"/>
        <w:numPr>
          <w:ilvl w:val="0"/>
          <w:numId w:val="362"/>
        </w:numPr>
        <w:tabs>
          <w:tab w:pos="2396" w:val="left" w:leader="none"/>
        </w:tabs>
        <w:spacing w:line="249" w:lineRule="auto" w:before="10" w:after="0"/>
        <w:ind w:left="1754" w:right="1272" w:firstLine="340"/>
        <w:jc w:val="both"/>
        <w:rPr>
          <w:sz w:val="20"/>
        </w:rPr>
      </w:pPr>
      <w:r>
        <w:rPr>
          <w:sz w:val="20"/>
        </w:rPr>
        <w:t>Claridad en la redacción, utilizando un lenguaje sucinto y comprensible, evitando jergas y el uso de términos técnicos cuando puedan emplearse en su lugar palabras de uso</w:t>
      </w:r>
      <w:r>
        <w:rPr>
          <w:spacing w:val="-4"/>
          <w:sz w:val="20"/>
        </w:rPr>
        <w:t> </w:t>
      </w:r>
      <w:r>
        <w:rPr>
          <w:sz w:val="20"/>
        </w:rPr>
        <w:t>cotidiano.</w:t>
      </w:r>
    </w:p>
    <w:p>
      <w:pPr>
        <w:pStyle w:val="ListParagraph"/>
        <w:numPr>
          <w:ilvl w:val="0"/>
          <w:numId w:val="362"/>
        </w:numPr>
        <w:tabs>
          <w:tab w:pos="2320" w:val="left" w:leader="none"/>
        </w:tabs>
        <w:spacing w:line="249" w:lineRule="auto" w:before="3" w:after="0"/>
        <w:ind w:left="1754" w:right="1273" w:firstLine="340"/>
        <w:jc w:val="both"/>
        <w:rPr>
          <w:sz w:val="20"/>
        </w:rPr>
      </w:pPr>
      <w:r>
        <w:rPr>
          <w:sz w:val="20"/>
        </w:rPr>
        <w:t>No deberá ser engañosa y deberá garantizarse la coherencia en el vocabulario y contenido.</w:t>
      </w:r>
    </w:p>
    <w:p>
      <w:pPr>
        <w:pStyle w:val="ListParagraph"/>
        <w:numPr>
          <w:ilvl w:val="0"/>
          <w:numId w:val="362"/>
        </w:numPr>
        <w:tabs>
          <w:tab w:pos="2328" w:val="left" w:leader="none"/>
        </w:tabs>
        <w:spacing w:line="240" w:lineRule="auto" w:before="1" w:after="0"/>
        <w:ind w:left="2327" w:right="0" w:hanging="234"/>
        <w:jc w:val="left"/>
        <w:rPr>
          <w:sz w:val="20"/>
        </w:rPr>
      </w:pPr>
      <w:r>
        <w:rPr>
          <w:sz w:val="20"/>
        </w:rPr>
        <w:t>Tendrá una presentación que permita su fácil</w:t>
      </w:r>
      <w:r>
        <w:rPr>
          <w:spacing w:val="-7"/>
          <w:sz w:val="20"/>
        </w:rPr>
        <w:t> </w:t>
      </w:r>
      <w:r>
        <w:rPr>
          <w:sz w:val="20"/>
        </w:rPr>
        <w:t>lectura.</w:t>
      </w:r>
    </w:p>
    <w:p>
      <w:pPr>
        <w:pStyle w:val="ListParagraph"/>
        <w:numPr>
          <w:ilvl w:val="0"/>
          <w:numId w:val="362"/>
        </w:numPr>
        <w:tabs>
          <w:tab w:pos="2328" w:val="left" w:leader="none"/>
        </w:tabs>
        <w:spacing w:line="240" w:lineRule="auto" w:before="10" w:after="0"/>
        <w:ind w:left="2327" w:right="0" w:hanging="234"/>
        <w:jc w:val="left"/>
        <w:rPr>
          <w:sz w:val="20"/>
        </w:rPr>
      </w:pPr>
      <w:r>
        <w:rPr>
          <w:sz w:val="20"/>
        </w:rPr>
        <w:t>Estará disponible, al menos, en</w:t>
      </w:r>
      <w:r>
        <w:rPr>
          <w:spacing w:val="-4"/>
          <w:sz w:val="20"/>
        </w:rPr>
        <w:t> </w:t>
      </w:r>
      <w:r>
        <w:rPr>
          <w:sz w:val="20"/>
        </w:rPr>
        <w:t>castellano.</w:t>
      </w:r>
    </w:p>
    <w:p>
      <w:pPr>
        <w:pStyle w:val="ListParagraph"/>
        <w:numPr>
          <w:ilvl w:val="0"/>
          <w:numId w:val="362"/>
        </w:numPr>
        <w:tabs>
          <w:tab w:pos="2273" w:val="left" w:leader="none"/>
        </w:tabs>
        <w:spacing w:line="240" w:lineRule="auto" w:before="10" w:after="0"/>
        <w:ind w:left="2272" w:right="0" w:hanging="179"/>
        <w:jc w:val="left"/>
        <w:rPr>
          <w:sz w:val="20"/>
        </w:rPr>
      </w:pPr>
      <w:r>
        <w:rPr>
          <w:sz w:val="20"/>
        </w:rPr>
        <w:t>Se facilitará de forma</w:t>
      </w:r>
      <w:r>
        <w:rPr>
          <w:spacing w:val="-2"/>
          <w:sz w:val="20"/>
        </w:rPr>
        <w:t> </w:t>
      </w:r>
      <w:r>
        <w:rPr>
          <w:sz w:val="20"/>
        </w:rPr>
        <w:t>gratuita.</w:t>
      </w:r>
    </w:p>
    <w:p>
      <w:pPr>
        <w:pStyle w:val="ListParagraph"/>
        <w:numPr>
          <w:ilvl w:val="1"/>
          <w:numId w:val="361"/>
        </w:numPr>
        <w:tabs>
          <w:tab w:pos="2339" w:val="left" w:leader="none"/>
        </w:tabs>
        <w:spacing w:line="249" w:lineRule="auto" w:before="180" w:after="0"/>
        <w:ind w:left="1754" w:right="1273" w:firstLine="340"/>
        <w:jc w:val="both"/>
        <w:rPr>
          <w:sz w:val="20"/>
        </w:rPr>
      </w:pPr>
      <w:r>
        <w:rPr>
          <w:sz w:val="20"/>
        </w:rPr>
        <w:t>Reglamentariamente se regularán los términos, el contenido y los medios de suministro de la información, tanto con ocasión de la incorporación al plan como con carácter periódico y en caso de movilización de derechos a otro plan y de movilización del plan a otro fondo de pensiones, así como el acceso a las especificaciones</w:t>
      </w:r>
      <w:r>
        <w:rPr>
          <w:spacing w:val="31"/>
          <w:sz w:val="20"/>
        </w:rPr>
        <w:t> </w:t>
      </w:r>
      <w:r>
        <w:rPr>
          <w:sz w:val="20"/>
        </w:rPr>
        <w:t>del</w:t>
      </w:r>
      <w:r>
        <w:rPr>
          <w:spacing w:val="32"/>
          <w:sz w:val="20"/>
        </w:rPr>
        <w:t> </w:t>
      </w:r>
      <w:r>
        <w:rPr>
          <w:sz w:val="20"/>
        </w:rPr>
        <w:t>plan,</w:t>
      </w:r>
      <w:r>
        <w:rPr>
          <w:spacing w:val="32"/>
          <w:sz w:val="20"/>
        </w:rPr>
        <w:t> </w:t>
      </w:r>
      <w:r>
        <w:rPr>
          <w:sz w:val="20"/>
        </w:rPr>
        <w:t>a</w:t>
      </w:r>
      <w:r>
        <w:rPr>
          <w:spacing w:val="31"/>
          <w:sz w:val="20"/>
        </w:rPr>
        <w:t> </w:t>
      </w:r>
      <w:r>
        <w:rPr>
          <w:sz w:val="20"/>
        </w:rPr>
        <w:t>las</w:t>
      </w:r>
      <w:r>
        <w:rPr>
          <w:spacing w:val="32"/>
          <w:sz w:val="20"/>
        </w:rPr>
        <w:t> </w:t>
      </w:r>
      <w:r>
        <w:rPr>
          <w:sz w:val="20"/>
        </w:rPr>
        <w:t>normas</w:t>
      </w:r>
      <w:r>
        <w:rPr>
          <w:spacing w:val="32"/>
          <w:sz w:val="20"/>
        </w:rPr>
        <w:t> </w:t>
      </w:r>
      <w:r>
        <w:rPr>
          <w:sz w:val="20"/>
        </w:rPr>
        <w:t>de</w:t>
      </w:r>
      <w:r>
        <w:rPr>
          <w:spacing w:val="31"/>
          <w:sz w:val="20"/>
        </w:rPr>
        <w:t> </w:t>
      </w:r>
      <w:r>
        <w:rPr>
          <w:sz w:val="20"/>
        </w:rPr>
        <w:t>funcionamiento,</w:t>
      </w:r>
      <w:r>
        <w:rPr>
          <w:spacing w:val="32"/>
          <w:sz w:val="20"/>
        </w:rPr>
        <w:t> </w:t>
      </w:r>
      <w:r>
        <w:rPr>
          <w:sz w:val="20"/>
        </w:rPr>
        <w:t>política</w:t>
      </w:r>
      <w:r>
        <w:rPr>
          <w:spacing w:val="32"/>
          <w:sz w:val="20"/>
        </w:rPr>
        <w:t> </w:t>
      </w:r>
      <w:r>
        <w:rPr>
          <w:sz w:val="20"/>
        </w:rPr>
        <w:t>de</w:t>
      </w:r>
      <w:r>
        <w:rPr>
          <w:spacing w:val="31"/>
          <w:sz w:val="20"/>
        </w:rPr>
        <w:t> </w:t>
      </w:r>
      <w:r>
        <w:rPr>
          <w:sz w:val="20"/>
        </w:rPr>
        <w:t>inversión</w:t>
      </w:r>
      <w:r>
        <w:rPr>
          <w:spacing w:val="32"/>
          <w:sz w:val="20"/>
        </w:rPr>
        <w:t> </w:t>
      </w:r>
      <w:r>
        <w:rPr>
          <w:sz w:val="20"/>
        </w:rPr>
        <w:t>y</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4" w:firstLine="0"/>
      </w:pPr>
      <w:r>
        <w:rPr/>
        <w:t>cuentas anuales del fondo de pensiones y cualquier información complementaria que deba facilitarse con carácter general o a solicitud del partícipe o beneficiario.</w:t>
      </w:r>
    </w:p>
    <w:p>
      <w:pPr>
        <w:pStyle w:val="BodyText"/>
        <w:spacing w:line="249" w:lineRule="auto"/>
        <w:ind w:left="1754" w:right="1274"/>
      </w:pPr>
      <w:r>
        <w:rPr/>
        <w:t>En todo caso se proporcionará a los partícipes potenciales, a los partícipes y a los beneficiarios de los planes de pensiones la información relativa al tratamiento de sus datos prevista en la normativa sobre protección de datos</w:t>
      </w:r>
      <w:r>
        <w:rPr>
          <w:spacing w:val="-24"/>
        </w:rPr>
        <w:t> </w:t>
      </w:r>
      <w:r>
        <w:rPr/>
        <w:t>personales.»</w:t>
      </w:r>
    </w:p>
    <w:p>
      <w:pPr>
        <w:pStyle w:val="BodyText"/>
        <w:spacing w:line="249" w:lineRule="auto" w:before="122"/>
        <w:ind w:right="1311"/>
        <w:jc w:val="left"/>
      </w:pPr>
      <w:r>
        <w:rPr/>
        <w:t>Dos. Se suprime el apartado 7 del artículo 14 y se añaden dos letras, j) y k), al apartado 2 del artículo 14 con la siguiente</w:t>
      </w:r>
      <w:r>
        <w:rPr>
          <w:spacing w:val="-6"/>
        </w:rPr>
        <w:t> </w:t>
      </w:r>
      <w:r>
        <w:rPr/>
        <w:t>redacción:</w:t>
      </w:r>
    </w:p>
    <w:p>
      <w:pPr>
        <w:pStyle w:val="BodyText"/>
        <w:spacing w:line="249" w:lineRule="auto" w:before="172"/>
        <w:ind w:left="1754" w:right="1271"/>
      </w:pPr>
      <w:r>
        <w:rPr/>
        <w:t>«j) Establecer su sistema de gobierno y el sistema de control interno, que faciliten la gestión de la actividad y, en especial, el cumplimiento de las obligaciones en materia de gestión de riesgos, auditoría interna y, en su caso, actuarial conforme al tamaño, la naturaleza, la escala y la complejidad de las actividades del fondo de pensiones.</w:t>
      </w:r>
    </w:p>
    <w:p>
      <w:pPr>
        <w:pStyle w:val="BodyText"/>
        <w:spacing w:line="249" w:lineRule="auto" w:before="4"/>
        <w:ind w:left="1754" w:right="1274"/>
      </w:pPr>
      <w:r>
        <w:rPr/>
        <w:t>k) Ser oída, con carácter preceptivo, en los procesos de externalización de funciones o actividades por parte de la gestora recogidas en el artículo 30 sexies.»</w:t>
      </w:r>
    </w:p>
    <w:p>
      <w:pPr>
        <w:pStyle w:val="BodyText"/>
        <w:spacing w:before="122"/>
        <w:ind w:left="1395" w:right="1300" w:firstLine="0"/>
        <w:jc w:val="center"/>
      </w:pPr>
      <w:r>
        <w:rPr/>
        <w:t>Tres. Se añaden dos nuevos apartados 8 y 9 en el artículo 16 con la siguiente redacción:</w:t>
      </w:r>
    </w:p>
    <w:p>
      <w:pPr>
        <w:pStyle w:val="BodyText"/>
        <w:spacing w:line="249" w:lineRule="auto" w:before="180"/>
        <w:ind w:left="1754" w:right="1272"/>
      </w:pPr>
      <w:r>
        <w:rPr/>
        <w:t>«8. La comisión de control del fondo de pensiones, con la participación de la entidad gestora, elaborará por escrito una declaración comprensiva de los principios de su política de inversión, que será revisada al menos cada tres años y en todo caso inmediatamente después de que se produzcan cambios significativos en la política de inversión. A dicha declaración se le dará suficiente</w:t>
      </w:r>
      <w:r>
        <w:rPr>
          <w:spacing w:val="-22"/>
        </w:rPr>
        <w:t> </w:t>
      </w:r>
      <w:r>
        <w:rPr/>
        <w:t>publicidad.</w:t>
      </w:r>
    </w:p>
    <w:p>
      <w:pPr>
        <w:pStyle w:val="BodyText"/>
        <w:spacing w:line="249" w:lineRule="auto" w:before="4"/>
        <w:ind w:left="1754" w:right="1272"/>
      </w:pPr>
      <w:r>
        <w:rPr/>
        <w:t>Esta declaración mencionará cuestiones como los métodos de medición del riesgo de inversión y los procesos de gestión del control de riesgos empleados, así como la asignación de activos con respecto a la naturaleza y duración de sus compromisos en concepto de pensiones.</w:t>
      </w:r>
    </w:p>
    <w:p>
      <w:pPr>
        <w:pStyle w:val="BodyText"/>
        <w:spacing w:line="249" w:lineRule="auto" w:before="3"/>
        <w:ind w:left="1754" w:right="1272"/>
      </w:pPr>
      <w:r>
        <w:rPr/>
        <w:t>Asimismo, en el caso de los fondos de pensiones de empleo, se deberá indicar si se tienen en consideración, en las decisiones de inversión, los criterios de inversión socialmente responsable (éticos, sociales, medioambientales y de buen gobierno) que afectan a los diferentes activos que integran el fondo de</w:t>
      </w:r>
      <w:r>
        <w:rPr>
          <w:spacing w:val="-25"/>
        </w:rPr>
        <w:t> </w:t>
      </w:r>
      <w:r>
        <w:rPr/>
        <w:t>pensiones.</w:t>
      </w:r>
    </w:p>
    <w:p>
      <w:pPr>
        <w:pStyle w:val="BodyText"/>
        <w:spacing w:line="249" w:lineRule="auto" w:before="4"/>
        <w:ind w:left="1754" w:right="1273"/>
      </w:pPr>
      <w:r>
        <w:rPr/>
        <w:t>De la misma manera, la comisión de control del fondo de pensiones de empleo, o en su caso la entidad gestora, deberá dejar constancia en el informe de gestión anual del fondo de pensiones de empleo de la política ejercida en relación con los criterios de inversión socialmente responsable anteriormente señalados, así como del procedimiento seguido para su implantación, gestión y seguimiento.</w:t>
      </w:r>
    </w:p>
    <w:p>
      <w:pPr>
        <w:pStyle w:val="BodyText"/>
        <w:spacing w:line="249" w:lineRule="auto" w:before="4"/>
        <w:ind w:left="1754" w:right="1272"/>
      </w:pPr>
      <w:r>
        <w:rPr/>
        <w:t>9. La comisión de control del fondo de pensiones, con la participación de la entidad gestora, elaborará por escrito una declaración de Estrategia de Inversión a largo plazo. A dicha declaración se le dará suficiente publicidad.</w:t>
      </w:r>
    </w:p>
    <w:p>
      <w:pPr>
        <w:pStyle w:val="BodyText"/>
        <w:spacing w:line="249" w:lineRule="auto"/>
        <w:ind w:left="1754" w:right="1273"/>
      </w:pPr>
      <w:r>
        <w:rPr/>
        <w:t>El contenido mínimo se determinará reglamentariamente, e incluirá información relativa a cómo los elementos principales de su estrategia de inversión en sociedades cuyas acciones estén admitidas a negociación en un mercado regulado que esté situado u opere en un Estado miembro, son coherentes con el perfil y la duración de sus pasivos, en particular sus pasivos a largo plazo, y a la manera en que contribuyen al rendimiento a medio y largo plazo de sus</w:t>
      </w:r>
      <w:r>
        <w:rPr>
          <w:spacing w:val="-13"/>
        </w:rPr>
        <w:t> </w:t>
      </w:r>
      <w:r>
        <w:rPr/>
        <w:t>activos.»</w:t>
      </w:r>
    </w:p>
    <w:p>
      <w:pPr>
        <w:pStyle w:val="BodyText"/>
        <w:spacing w:line="249" w:lineRule="auto" w:before="125"/>
        <w:ind w:right="1647"/>
        <w:jc w:val="left"/>
      </w:pPr>
      <w:r>
        <w:rPr/>
        <w:t>Cuatro. La letra g) del apartado 1 y el apartado 4 del artículo 20 quedan redactados como sigue:</w:t>
      </w:r>
    </w:p>
    <w:p>
      <w:pPr>
        <w:pStyle w:val="BodyText"/>
        <w:spacing w:line="249" w:lineRule="auto" w:before="172"/>
        <w:ind w:left="1754" w:right="1272"/>
      </w:pPr>
      <w:r>
        <w:rPr/>
        <w:t>«g) A los socios les resultará de aplicación lo dispuesto en el artículo 36 de la Ley 20/2015, de 14 de julio, de ordenación, supervisión y solvencia de las entidades aseguradoras y reaseguradoras. La idoneidad de quienes ostenten, directa o indirectamente, una participación significativa en la entidad gestora se evaluará en la forma que reglamentariamente se establezca. La persona titular del Ministerio de Asuntos Económicos y Transformación Digital podrá regular el contenido de la información y la documentación acreditativa que deberá remitirse a la Dirección General de Seguros y Fondos de Pensiones para la evaluación.»</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3"/>
      </w:pPr>
      <w:r>
        <w:rPr/>
        <w:t>«4. Reglamentariamente se determinarán las condiciones en las que las entidades gestoras de fondos de pensiones podrán contratar la gestión de las inversiones de los fondos de pensiones que administran con terceras entidades autorizadas conforme a las siguientes Directivas:</w:t>
      </w:r>
    </w:p>
    <w:p>
      <w:pPr>
        <w:pStyle w:val="ListParagraph"/>
        <w:numPr>
          <w:ilvl w:val="0"/>
          <w:numId w:val="363"/>
        </w:numPr>
        <w:tabs>
          <w:tab w:pos="2334" w:val="left" w:leader="none"/>
        </w:tabs>
        <w:spacing w:line="249" w:lineRule="auto" w:before="174" w:after="0"/>
        <w:ind w:left="1754" w:right="1273" w:firstLine="340"/>
        <w:jc w:val="both"/>
        <w:rPr>
          <w:sz w:val="20"/>
        </w:rPr>
      </w:pPr>
      <w:r>
        <w:rPr>
          <w:sz w:val="20"/>
        </w:rPr>
        <w:t>Directiva 2009/65/CE del Parlamento Europeo y del Consejo, de 13 de julio de 2009, por la que se coordinan las disposiciones legales, reglamentarias y administrativas sobre determinados organismos de inversión colectiva en valores mobiliarios.</w:t>
      </w:r>
    </w:p>
    <w:p>
      <w:pPr>
        <w:pStyle w:val="ListParagraph"/>
        <w:numPr>
          <w:ilvl w:val="0"/>
          <w:numId w:val="363"/>
        </w:numPr>
        <w:tabs>
          <w:tab w:pos="2342" w:val="left" w:leader="none"/>
        </w:tabs>
        <w:spacing w:line="249" w:lineRule="auto" w:before="3" w:after="0"/>
        <w:ind w:left="1754" w:right="1275" w:firstLine="340"/>
        <w:jc w:val="both"/>
        <w:rPr>
          <w:sz w:val="20"/>
        </w:rPr>
      </w:pPr>
      <w:r>
        <w:rPr>
          <w:sz w:val="20"/>
        </w:rPr>
        <w:t>Directiva 2009/138/CE de 25 de noviembre de 2009, sobre el seguro de vida, el acceso a la actividad de seguro y de reaseguro y su ejercicio (Solvencia</w:t>
      </w:r>
      <w:r>
        <w:rPr>
          <w:spacing w:val="-21"/>
          <w:sz w:val="20"/>
        </w:rPr>
        <w:t> </w:t>
      </w:r>
      <w:r>
        <w:rPr>
          <w:sz w:val="20"/>
        </w:rPr>
        <w:t>II).</w:t>
      </w:r>
    </w:p>
    <w:p>
      <w:pPr>
        <w:pStyle w:val="ListParagraph"/>
        <w:numPr>
          <w:ilvl w:val="0"/>
          <w:numId w:val="363"/>
        </w:numPr>
        <w:tabs>
          <w:tab w:pos="2327" w:val="left" w:leader="none"/>
        </w:tabs>
        <w:spacing w:line="249" w:lineRule="auto" w:before="1" w:after="0"/>
        <w:ind w:left="1754" w:right="1273" w:firstLine="340"/>
        <w:jc w:val="both"/>
        <w:rPr>
          <w:sz w:val="20"/>
        </w:rPr>
      </w:pPr>
      <w:r>
        <w:rPr>
          <w:sz w:val="20"/>
        </w:rPr>
        <w:t>Directiva 2011/61/UE del Parlamento Europeo y del Consejo, de 8 de junio de 2011, relativa a los gestores de fondos de inversión alternativos y por la que se modifican las Directivas 2003/41/CE y 2009/65/CE y los Reglamentos (CE) n.º 1060/2009 y (UE) n.º</w:t>
      </w:r>
      <w:r>
        <w:rPr>
          <w:spacing w:val="-3"/>
          <w:sz w:val="20"/>
        </w:rPr>
        <w:t> </w:t>
      </w:r>
      <w:r>
        <w:rPr>
          <w:sz w:val="20"/>
        </w:rPr>
        <w:t>1095/2010.</w:t>
      </w:r>
    </w:p>
    <w:p>
      <w:pPr>
        <w:pStyle w:val="ListParagraph"/>
        <w:numPr>
          <w:ilvl w:val="0"/>
          <w:numId w:val="363"/>
        </w:numPr>
        <w:tabs>
          <w:tab w:pos="2329" w:val="left" w:leader="none"/>
        </w:tabs>
        <w:spacing w:line="249" w:lineRule="auto" w:before="4" w:after="0"/>
        <w:ind w:left="1754" w:right="1274" w:firstLine="340"/>
        <w:jc w:val="both"/>
        <w:rPr>
          <w:sz w:val="20"/>
        </w:rPr>
      </w:pPr>
      <w:r>
        <w:rPr>
          <w:sz w:val="20"/>
        </w:rPr>
        <w:t>Directiva 2013/36/UE del Parlamento Europeo y del Consejo, de 26 de junio de 2013, relativa al acceso a la actividad de las entidades de crédito y a la supervisión prudencial de las entidades de crédito y las empresas de inversión, por la que se modifica la Directiva 2002/87/CE y se derogan las Directivas 2006/48/CE y 2006/49/CE.</w:t>
      </w:r>
    </w:p>
    <w:p>
      <w:pPr>
        <w:pStyle w:val="ListParagraph"/>
        <w:numPr>
          <w:ilvl w:val="0"/>
          <w:numId w:val="363"/>
        </w:numPr>
        <w:tabs>
          <w:tab w:pos="2373" w:val="left" w:leader="none"/>
        </w:tabs>
        <w:spacing w:line="249" w:lineRule="auto" w:before="4" w:after="0"/>
        <w:ind w:left="1754" w:right="1274" w:firstLine="340"/>
        <w:jc w:val="both"/>
        <w:rPr>
          <w:sz w:val="20"/>
        </w:rPr>
      </w:pPr>
      <w:r>
        <w:rPr>
          <w:sz w:val="20"/>
        </w:rPr>
        <w:t>Directiva 2014/65/UE de 15 de mayo de 2014 relativa a los mercados de instrumentos financieros y por la que se modifican la Directiva 2002/92/CE y la Directiva</w:t>
      </w:r>
      <w:r>
        <w:rPr>
          <w:spacing w:val="-2"/>
          <w:sz w:val="20"/>
        </w:rPr>
        <w:t> </w:t>
      </w:r>
      <w:r>
        <w:rPr>
          <w:sz w:val="20"/>
        </w:rPr>
        <w:t>2011/61/UE.</w:t>
      </w:r>
    </w:p>
    <w:p>
      <w:pPr>
        <w:pStyle w:val="BodyText"/>
        <w:spacing w:line="249" w:lineRule="auto" w:before="172"/>
        <w:ind w:left="1754" w:right="1273"/>
      </w:pPr>
      <w:r>
        <w:rPr/>
        <w:t>Asimismo, podrá contratarse la gestión de las inversiones de los fondos de pensiones con otras entidades gestoras de fondos de pensiones autorizadas de acuerdo con esta Ley o con otras entidades gestoras de fondos de pensiones contempladas en el apartado 1 del artículo 2 de la Directiva (UE) 2016/2341 del Parlamento Europeo y del Consejo, de 14 de diciembre de 2016, relativa a las actividades y supervisión de los fondos de pensiones de empleo.»</w:t>
      </w:r>
    </w:p>
    <w:p>
      <w:pPr>
        <w:pStyle w:val="BodyText"/>
        <w:spacing w:before="125"/>
        <w:ind w:left="1414" w:firstLine="0"/>
        <w:jc w:val="left"/>
      </w:pPr>
      <w:r>
        <w:rPr/>
        <w:t>Cinco. El título del capítulo VII queda redactado como sigue:</w:t>
      </w:r>
    </w:p>
    <w:p>
      <w:pPr>
        <w:pStyle w:val="BodyText"/>
        <w:spacing w:before="0"/>
        <w:ind w:left="0" w:firstLine="0"/>
        <w:jc w:val="left"/>
        <w:rPr>
          <w:sz w:val="31"/>
        </w:rPr>
      </w:pPr>
    </w:p>
    <w:p>
      <w:pPr>
        <w:pStyle w:val="BodyText"/>
        <w:spacing w:before="0"/>
        <w:ind w:left="2929" w:right="3127" w:firstLine="0"/>
        <w:jc w:val="center"/>
      </w:pPr>
      <w:r>
        <w:rPr/>
        <w:t>«CAPÍTULO VII</w:t>
      </w:r>
    </w:p>
    <w:p>
      <w:pPr>
        <w:pStyle w:val="Heading1"/>
        <w:ind w:left="2930"/>
      </w:pPr>
      <w:r>
        <w:rPr/>
        <w:t>Ordenación y Supervisión»</w:t>
      </w:r>
    </w:p>
    <w:p>
      <w:pPr>
        <w:pStyle w:val="BodyText"/>
        <w:spacing w:before="124"/>
        <w:ind w:left="1414" w:firstLine="0"/>
        <w:jc w:val="left"/>
      </w:pPr>
      <w:r>
        <w:rPr/>
        <w:t>Seis. Se modifica el artículo 24 quedando redactado como sigue:</w:t>
      </w:r>
    </w:p>
    <w:p>
      <w:pPr>
        <w:pStyle w:val="BodyText"/>
        <w:spacing w:before="1"/>
        <w:ind w:left="0" w:firstLine="0"/>
        <w:jc w:val="left"/>
        <w:rPr>
          <w:sz w:val="21"/>
        </w:rPr>
      </w:pPr>
    </w:p>
    <w:p>
      <w:pPr>
        <w:spacing w:before="1"/>
        <w:ind w:left="1754" w:right="0" w:firstLine="0"/>
        <w:jc w:val="both"/>
        <w:rPr>
          <w:i/>
          <w:sz w:val="20"/>
        </w:rPr>
      </w:pPr>
      <w:r>
        <w:rPr>
          <w:b/>
          <w:sz w:val="20"/>
        </w:rPr>
        <w:t>«Artículo 24. </w:t>
      </w:r>
      <w:r>
        <w:rPr>
          <w:i/>
          <w:sz w:val="20"/>
        </w:rPr>
        <w:t>Ordenación y Supervisión administrativa.</w:t>
      </w:r>
    </w:p>
    <w:p>
      <w:pPr>
        <w:pStyle w:val="ListParagraph"/>
        <w:numPr>
          <w:ilvl w:val="0"/>
          <w:numId w:val="364"/>
        </w:numPr>
        <w:tabs>
          <w:tab w:pos="2324" w:val="left" w:leader="none"/>
        </w:tabs>
        <w:spacing w:line="249" w:lineRule="auto" w:before="117" w:after="0"/>
        <w:ind w:left="1754" w:right="1271" w:firstLine="340"/>
        <w:jc w:val="both"/>
        <w:rPr>
          <w:sz w:val="20"/>
        </w:rPr>
      </w:pPr>
      <w:r>
        <w:rPr>
          <w:sz w:val="20"/>
        </w:rPr>
        <w:t>En los términos fijados en esta Ley y sus normas de desarrollo, corresponde a la persona titular del Ministerio de Asuntos Económicos y Transformación Digital y a la Dirección General de Seguros y Fondos de Pensiones el ejercicio de las competencias de ordenación y supervisión de la actividad de los planes y fondos de pensiones. En el ejercicio de sus competencias velarán por el correcto cumplimiento de las disposiciones legales y reglamentarias por parte de las entidades gestoras y depositarias de fondos de pensiones, las personas que ejerzan la dirección efectiva y las funciones claves previstas en esta ley, las entidades o personas en las que hayan delegado o externalizado funciones, los comercializadores de planes de pensiones individuales, los promotores de los planes de pensiones, las comisiones de control, los actuarios, los representantes de los fondos de pensiones autorizados o registrados en otros Estados miembros y cualesquiera personas o entidades para las que se establezca alguna función, prohibición o mandato en esta Ley y en sus normas de desarrollo y</w:t>
      </w:r>
      <w:r>
        <w:rPr>
          <w:spacing w:val="-4"/>
          <w:sz w:val="20"/>
        </w:rPr>
        <w:t> </w:t>
      </w:r>
      <w:r>
        <w:rPr>
          <w:sz w:val="20"/>
        </w:rPr>
        <w:t>complementarias.</w:t>
      </w:r>
    </w:p>
    <w:p>
      <w:pPr>
        <w:pStyle w:val="BodyText"/>
        <w:spacing w:line="249" w:lineRule="auto" w:before="12"/>
        <w:ind w:left="1754" w:right="1271"/>
      </w:pPr>
      <w:r>
        <w:rPr/>
        <w:t>La Dirección General de Seguros y Fondos de Pensiones formará parte, en su condición de autoridad supervisora española en materia de fondos de pensiones, de la Autoridad Europea de Seguros y Pensiones de Jubilación (AESPJ), conforme a lo</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4" w:firstLine="0"/>
      </w:pPr>
      <w:r>
        <w:rPr/>
        <w:t>dispuesto en el Reglamento n.º 1094/2010, de 24 de noviembre, del Parlamento Europeo y del Consejo, por el que se crea una Autoridad Europea de Supervisión.</w:t>
      </w:r>
    </w:p>
    <w:p>
      <w:pPr>
        <w:pStyle w:val="BodyText"/>
        <w:spacing w:line="249" w:lineRule="auto" w:before="1"/>
        <w:ind w:left="1754" w:right="1275"/>
      </w:pPr>
      <w:r>
        <w:rPr/>
        <w:t>Será de aplicación en materia de planes y fondos de pensiones lo establecido en el artículo 17 de la Ley 20/2015, de 14 de julio.</w:t>
      </w:r>
    </w:p>
    <w:p>
      <w:pPr>
        <w:pStyle w:val="ListParagraph"/>
        <w:numPr>
          <w:ilvl w:val="0"/>
          <w:numId w:val="364"/>
        </w:numPr>
        <w:tabs>
          <w:tab w:pos="2389" w:val="left" w:leader="none"/>
        </w:tabs>
        <w:spacing w:line="249" w:lineRule="auto" w:before="2" w:after="0"/>
        <w:ind w:left="1754" w:right="1273" w:firstLine="340"/>
        <w:jc w:val="both"/>
        <w:rPr>
          <w:sz w:val="20"/>
        </w:rPr>
      </w:pPr>
      <w:r>
        <w:rPr>
          <w:sz w:val="20"/>
        </w:rPr>
        <w:t>La Dirección General de Seguros y Fondos de Pensiones ejercerá sus funciones de supervisión sobre las entidades gestoras y los planes y fondos de pensiones, así como sobre el resto de entidades y sujetos contemplados en el primer párrafo del apartado</w:t>
      </w:r>
      <w:r>
        <w:rPr>
          <w:spacing w:val="-4"/>
          <w:sz w:val="20"/>
        </w:rPr>
        <w:t> </w:t>
      </w:r>
      <w:r>
        <w:rPr>
          <w:sz w:val="20"/>
        </w:rPr>
        <w:t>1.</w:t>
      </w:r>
    </w:p>
    <w:p>
      <w:pPr>
        <w:pStyle w:val="BodyText"/>
        <w:spacing w:line="249" w:lineRule="auto" w:before="3"/>
        <w:ind w:left="1754" w:right="1271"/>
      </w:pPr>
      <w:r>
        <w:rPr/>
        <w:t>La supervisión consistirá en la verificación continua del correcto ejercicio de la actividad, de la situación financiera, de las conductas de mercado y del cumplimiento de la normativa de planes y fondos de pensiones.</w:t>
      </w:r>
    </w:p>
    <w:p>
      <w:pPr>
        <w:pStyle w:val="BodyText"/>
        <w:spacing w:line="249" w:lineRule="auto" w:before="3"/>
        <w:ind w:left="1754" w:right="1273"/>
      </w:pPr>
      <w:r>
        <w:rPr/>
        <w:t>Los planes y fondos de pensiones y sus entidades gestoras están sujetos a supervisión prudencial que incluirá, cuando proceda, entre otros, los siguientes ámbitos:</w:t>
      </w:r>
    </w:p>
    <w:p>
      <w:pPr>
        <w:pStyle w:val="ListParagraph"/>
        <w:numPr>
          <w:ilvl w:val="0"/>
          <w:numId w:val="365"/>
        </w:numPr>
        <w:tabs>
          <w:tab w:pos="2328" w:val="left" w:leader="none"/>
        </w:tabs>
        <w:spacing w:line="240" w:lineRule="auto" w:before="172" w:after="0"/>
        <w:ind w:left="2327" w:right="0" w:hanging="234"/>
        <w:jc w:val="left"/>
        <w:rPr>
          <w:sz w:val="20"/>
        </w:rPr>
      </w:pPr>
      <w:r>
        <w:rPr>
          <w:sz w:val="20"/>
        </w:rPr>
        <w:t>Las condiciones de</w:t>
      </w:r>
      <w:r>
        <w:rPr>
          <w:spacing w:val="-3"/>
          <w:sz w:val="20"/>
        </w:rPr>
        <w:t> </w:t>
      </w:r>
      <w:r>
        <w:rPr>
          <w:sz w:val="20"/>
        </w:rPr>
        <w:t>funcionamiento.</w:t>
      </w:r>
    </w:p>
    <w:p>
      <w:pPr>
        <w:pStyle w:val="ListParagraph"/>
        <w:numPr>
          <w:ilvl w:val="0"/>
          <w:numId w:val="365"/>
        </w:numPr>
        <w:tabs>
          <w:tab w:pos="2328" w:val="left" w:leader="none"/>
        </w:tabs>
        <w:spacing w:line="240" w:lineRule="auto" w:before="10" w:after="0"/>
        <w:ind w:left="2327" w:right="0" w:hanging="234"/>
        <w:jc w:val="left"/>
        <w:rPr>
          <w:sz w:val="20"/>
        </w:rPr>
      </w:pPr>
      <w:r>
        <w:rPr>
          <w:sz w:val="20"/>
        </w:rPr>
        <w:t>Las provisiones</w:t>
      </w:r>
      <w:r>
        <w:rPr>
          <w:spacing w:val="-3"/>
          <w:sz w:val="20"/>
        </w:rPr>
        <w:t> </w:t>
      </w:r>
      <w:r>
        <w:rPr>
          <w:sz w:val="20"/>
        </w:rPr>
        <w:t>técnicas.</w:t>
      </w:r>
    </w:p>
    <w:p>
      <w:pPr>
        <w:pStyle w:val="ListParagraph"/>
        <w:numPr>
          <w:ilvl w:val="0"/>
          <w:numId w:val="365"/>
        </w:numPr>
        <w:tabs>
          <w:tab w:pos="2317" w:val="left" w:leader="none"/>
        </w:tabs>
        <w:spacing w:line="240" w:lineRule="auto" w:before="10" w:after="0"/>
        <w:ind w:left="2316" w:right="0" w:hanging="223"/>
        <w:jc w:val="left"/>
        <w:rPr>
          <w:sz w:val="20"/>
        </w:rPr>
      </w:pPr>
      <w:r>
        <w:rPr>
          <w:sz w:val="20"/>
        </w:rPr>
        <w:t>La financiación de las provisiones</w:t>
      </w:r>
      <w:r>
        <w:rPr>
          <w:spacing w:val="-5"/>
          <w:sz w:val="20"/>
        </w:rPr>
        <w:t> </w:t>
      </w:r>
      <w:r>
        <w:rPr>
          <w:sz w:val="20"/>
        </w:rPr>
        <w:t>técnicas.</w:t>
      </w:r>
    </w:p>
    <w:p>
      <w:pPr>
        <w:pStyle w:val="ListParagraph"/>
        <w:numPr>
          <w:ilvl w:val="0"/>
          <w:numId w:val="365"/>
        </w:numPr>
        <w:tabs>
          <w:tab w:pos="2328" w:val="left" w:leader="none"/>
        </w:tabs>
        <w:spacing w:line="240" w:lineRule="auto" w:before="10" w:after="0"/>
        <w:ind w:left="2327" w:right="0" w:hanging="234"/>
        <w:jc w:val="left"/>
        <w:rPr>
          <w:sz w:val="20"/>
        </w:rPr>
      </w:pPr>
      <w:r>
        <w:rPr>
          <w:sz w:val="20"/>
        </w:rPr>
        <w:t>La exigencia de fondos</w:t>
      </w:r>
      <w:r>
        <w:rPr>
          <w:spacing w:val="-4"/>
          <w:sz w:val="20"/>
        </w:rPr>
        <w:t> </w:t>
      </w:r>
      <w:r>
        <w:rPr>
          <w:sz w:val="20"/>
        </w:rPr>
        <w:t>propios.</w:t>
      </w:r>
    </w:p>
    <w:p>
      <w:pPr>
        <w:pStyle w:val="ListParagraph"/>
        <w:numPr>
          <w:ilvl w:val="0"/>
          <w:numId w:val="365"/>
        </w:numPr>
        <w:tabs>
          <w:tab w:pos="2328" w:val="left" w:leader="none"/>
        </w:tabs>
        <w:spacing w:line="240" w:lineRule="auto" w:before="10" w:after="0"/>
        <w:ind w:left="2327" w:right="0" w:hanging="234"/>
        <w:jc w:val="left"/>
        <w:rPr>
          <w:sz w:val="20"/>
        </w:rPr>
      </w:pPr>
      <w:r>
        <w:rPr>
          <w:sz w:val="20"/>
        </w:rPr>
        <w:t>El margen de solvencia</w:t>
      </w:r>
      <w:r>
        <w:rPr>
          <w:spacing w:val="-2"/>
          <w:sz w:val="20"/>
        </w:rPr>
        <w:t> </w:t>
      </w:r>
      <w:r>
        <w:rPr>
          <w:sz w:val="20"/>
        </w:rPr>
        <w:t>disponible.</w:t>
      </w:r>
    </w:p>
    <w:p>
      <w:pPr>
        <w:pStyle w:val="ListParagraph"/>
        <w:numPr>
          <w:ilvl w:val="0"/>
          <w:numId w:val="365"/>
        </w:numPr>
        <w:tabs>
          <w:tab w:pos="2273" w:val="left" w:leader="none"/>
        </w:tabs>
        <w:spacing w:line="240" w:lineRule="auto" w:before="10" w:after="0"/>
        <w:ind w:left="2272" w:right="0" w:hanging="179"/>
        <w:jc w:val="left"/>
        <w:rPr>
          <w:sz w:val="20"/>
        </w:rPr>
      </w:pPr>
      <w:r>
        <w:rPr>
          <w:sz w:val="20"/>
        </w:rPr>
        <w:t>El margen de solvencia</w:t>
      </w:r>
      <w:r>
        <w:rPr>
          <w:spacing w:val="-2"/>
          <w:sz w:val="20"/>
        </w:rPr>
        <w:t> </w:t>
      </w:r>
      <w:r>
        <w:rPr>
          <w:sz w:val="20"/>
        </w:rPr>
        <w:t>obligatorio.</w:t>
      </w:r>
    </w:p>
    <w:p>
      <w:pPr>
        <w:pStyle w:val="ListParagraph"/>
        <w:numPr>
          <w:ilvl w:val="0"/>
          <w:numId w:val="365"/>
        </w:numPr>
        <w:tabs>
          <w:tab w:pos="2328" w:val="left" w:leader="none"/>
        </w:tabs>
        <w:spacing w:line="240" w:lineRule="auto" w:before="10" w:after="0"/>
        <w:ind w:left="2327" w:right="0" w:hanging="234"/>
        <w:jc w:val="left"/>
        <w:rPr>
          <w:sz w:val="20"/>
        </w:rPr>
      </w:pPr>
      <w:r>
        <w:rPr>
          <w:sz w:val="20"/>
        </w:rPr>
        <w:t>Las normas de</w:t>
      </w:r>
      <w:r>
        <w:rPr>
          <w:spacing w:val="-4"/>
          <w:sz w:val="20"/>
        </w:rPr>
        <w:t> </w:t>
      </w:r>
      <w:r>
        <w:rPr>
          <w:sz w:val="20"/>
        </w:rPr>
        <w:t>inversión.</w:t>
      </w:r>
    </w:p>
    <w:p>
      <w:pPr>
        <w:pStyle w:val="ListParagraph"/>
        <w:numPr>
          <w:ilvl w:val="0"/>
          <w:numId w:val="365"/>
        </w:numPr>
        <w:tabs>
          <w:tab w:pos="2328" w:val="left" w:leader="none"/>
        </w:tabs>
        <w:spacing w:line="240" w:lineRule="auto" w:before="10" w:after="0"/>
        <w:ind w:left="2327" w:right="0" w:hanging="234"/>
        <w:jc w:val="left"/>
        <w:rPr>
          <w:sz w:val="20"/>
        </w:rPr>
      </w:pPr>
      <w:r>
        <w:rPr>
          <w:sz w:val="20"/>
        </w:rPr>
        <w:t>La gestión de las</w:t>
      </w:r>
      <w:r>
        <w:rPr>
          <w:spacing w:val="-5"/>
          <w:sz w:val="20"/>
        </w:rPr>
        <w:t> </w:t>
      </w:r>
      <w:r>
        <w:rPr>
          <w:sz w:val="20"/>
        </w:rPr>
        <w:t>inversiones.</w:t>
      </w:r>
    </w:p>
    <w:p>
      <w:pPr>
        <w:pStyle w:val="ListParagraph"/>
        <w:numPr>
          <w:ilvl w:val="0"/>
          <w:numId w:val="365"/>
        </w:numPr>
        <w:tabs>
          <w:tab w:pos="2262" w:val="left" w:leader="none"/>
        </w:tabs>
        <w:spacing w:line="240" w:lineRule="auto" w:before="10" w:after="0"/>
        <w:ind w:left="2261" w:right="0" w:hanging="168"/>
        <w:jc w:val="left"/>
        <w:rPr>
          <w:sz w:val="20"/>
        </w:rPr>
      </w:pPr>
      <w:r>
        <w:rPr>
          <w:sz w:val="20"/>
        </w:rPr>
        <w:t>El sistema de gobierno,</w:t>
      </w:r>
      <w:r>
        <w:rPr>
          <w:spacing w:val="-3"/>
          <w:sz w:val="20"/>
        </w:rPr>
        <w:t> </w:t>
      </w:r>
      <w:r>
        <w:rPr>
          <w:sz w:val="20"/>
        </w:rPr>
        <w:t>y</w:t>
      </w:r>
    </w:p>
    <w:p>
      <w:pPr>
        <w:pStyle w:val="ListParagraph"/>
        <w:numPr>
          <w:ilvl w:val="0"/>
          <w:numId w:val="365"/>
        </w:numPr>
        <w:tabs>
          <w:tab w:pos="2262" w:val="left" w:leader="none"/>
        </w:tabs>
        <w:spacing w:line="240" w:lineRule="auto" w:before="10" w:after="0"/>
        <w:ind w:left="2261" w:right="0" w:hanging="168"/>
        <w:jc w:val="left"/>
        <w:rPr>
          <w:sz w:val="20"/>
        </w:rPr>
      </w:pPr>
      <w:r>
        <w:rPr>
          <w:sz w:val="20"/>
        </w:rPr>
        <w:t>La información que debe proporcionarse a los partícipes y</w:t>
      </w:r>
      <w:r>
        <w:rPr>
          <w:spacing w:val="-19"/>
          <w:sz w:val="20"/>
        </w:rPr>
        <w:t> </w:t>
      </w:r>
      <w:r>
        <w:rPr>
          <w:sz w:val="20"/>
        </w:rPr>
        <w:t>beneficiarios.</w:t>
      </w:r>
    </w:p>
    <w:p>
      <w:pPr>
        <w:pStyle w:val="BodyText"/>
        <w:spacing w:line="249" w:lineRule="auto" w:before="180"/>
        <w:ind w:left="1754" w:right="1274"/>
      </w:pPr>
      <w:r>
        <w:rPr/>
        <w:t>La supervisión prudencial se basará en un planteamiento prospectivo y orientado al riesgo.</w:t>
      </w:r>
    </w:p>
    <w:p>
      <w:pPr>
        <w:pStyle w:val="BodyText"/>
        <w:spacing w:line="249" w:lineRule="auto"/>
        <w:ind w:left="1754" w:right="1273"/>
      </w:pPr>
      <w:r>
        <w:rPr/>
        <w:t>Las facultades de supervisión se ejercerán de manera oportuna y proporcionada teniendo en cuenta el tamaño, la naturaleza, la escala y la complejidad de las actividades de los fondos de pensiones y comprenderá una combinación adecuada de inspecciones in situ y actividades realizadas en otro lugar.</w:t>
      </w:r>
    </w:p>
    <w:p>
      <w:pPr>
        <w:pStyle w:val="BodyText"/>
        <w:spacing w:line="249" w:lineRule="auto" w:before="3"/>
        <w:ind w:left="1754" w:right="1273"/>
      </w:pPr>
      <w:r>
        <w:rPr/>
        <w:t>En materia de supervisión en el ámbito de la actividad de las entidades gestoras, de los planes y fondos de pensiones y demás sujetos y entidades contemplados en el primer párrafo del apartado 1, será de aplicación lo dispuesto sobre la supervisión de las entidades aseguradoras en los capítulos I, II y III del título IV de la Ley 20/2015, de 14 de julio, con las particularidades previstas en esta Ley y su normativa de</w:t>
      </w:r>
      <w:r>
        <w:rPr>
          <w:spacing w:val="-2"/>
        </w:rPr>
        <w:t> </w:t>
      </w:r>
      <w:r>
        <w:rPr/>
        <w:t>desarrollo.</w:t>
      </w:r>
    </w:p>
    <w:p>
      <w:pPr>
        <w:pStyle w:val="ListParagraph"/>
        <w:numPr>
          <w:ilvl w:val="0"/>
          <w:numId w:val="364"/>
        </w:numPr>
        <w:tabs>
          <w:tab w:pos="2324" w:val="left" w:leader="none"/>
        </w:tabs>
        <w:spacing w:line="249" w:lineRule="auto" w:before="5" w:after="0"/>
        <w:ind w:left="1754" w:right="1275" w:firstLine="340"/>
        <w:jc w:val="both"/>
        <w:rPr>
          <w:sz w:val="20"/>
        </w:rPr>
      </w:pPr>
      <w:r>
        <w:rPr>
          <w:sz w:val="20"/>
        </w:rPr>
        <w:t>Será de aplicación a la inspección de entidades gestoras y de planes y fondos de pensiones lo dispuesto sobre la inspección de entidades aseguradoras en el capítulo IV del título IV de la Ley 20/2015, de 14 de</w:t>
      </w:r>
      <w:r>
        <w:rPr>
          <w:spacing w:val="-13"/>
          <w:sz w:val="20"/>
        </w:rPr>
        <w:t> </w:t>
      </w:r>
      <w:r>
        <w:rPr>
          <w:sz w:val="20"/>
        </w:rPr>
        <w:t>julio.</w:t>
      </w:r>
    </w:p>
    <w:p>
      <w:pPr>
        <w:pStyle w:val="BodyText"/>
        <w:spacing w:line="249" w:lineRule="auto" w:before="3"/>
        <w:ind w:left="1754" w:right="1272"/>
      </w:pPr>
      <w:r>
        <w:rPr/>
        <w:t>A falta de mención expresa en contrario en las especificaciones de los planes de pensiones o en las normas de funcionamiento de los fondos de pensiones, todas las actuaciones derivadas de la Inspección de los planes y fondos de pensiones, excepto las que se refieran a las personas físicas, se entenderán notificadas cuando la comunicación se efectúe ante la entidad gestora correspondiente.</w:t>
      </w:r>
    </w:p>
    <w:p>
      <w:pPr>
        <w:pStyle w:val="BodyText"/>
        <w:spacing w:line="249" w:lineRule="auto" w:before="4"/>
        <w:ind w:left="1754" w:right="1271"/>
      </w:pPr>
      <w:r>
        <w:rPr/>
        <w:t>Asimismo, la Dirección General de Seguros y Fondos de Pensiones podrá ordenar la inspección de las entidades depositarias de fondos de pensiones para comprobar el correcto cumplimiento de la normativa relativa a los planes y fondos de pensiones. En este caso se informará de la orden de inspección al ente u órgano administrativo al que, en su caso, corresponda el control y supervisión de la entidad, pudiendo solicitar de aquel su actuación o asistencia en los supuestos que sea preciso, siendo aplicable igualmente lo dispuesto sobre la inspección de entidades aseguradoras en el citado capítulo IV del título IV de la Ley 20/2015, de 14 de julio.</w:t>
      </w:r>
    </w:p>
    <w:p>
      <w:pPr>
        <w:pStyle w:val="ListParagraph"/>
        <w:numPr>
          <w:ilvl w:val="0"/>
          <w:numId w:val="364"/>
        </w:numPr>
        <w:tabs>
          <w:tab w:pos="2351" w:val="left" w:leader="none"/>
        </w:tabs>
        <w:spacing w:line="249" w:lineRule="auto" w:before="6" w:after="0"/>
        <w:ind w:left="1754" w:right="1272" w:firstLine="340"/>
        <w:jc w:val="both"/>
        <w:rPr>
          <w:sz w:val="20"/>
        </w:rPr>
      </w:pPr>
      <w:r>
        <w:rPr>
          <w:sz w:val="20"/>
        </w:rPr>
        <w:t>La Dirección General de Seguros y Fondos de Pensiones podrá ordenar la inspección de las funciones transferidas a un tercero, así como las de comercialización de planes de pensiones, para comprobar si se desarrollan de conformidad</w:t>
      </w:r>
      <w:r>
        <w:rPr>
          <w:spacing w:val="32"/>
          <w:sz w:val="20"/>
        </w:rPr>
        <w:t> </w:t>
      </w:r>
      <w:r>
        <w:rPr>
          <w:sz w:val="20"/>
        </w:rPr>
        <w:t>con</w:t>
      </w:r>
      <w:r>
        <w:rPr>
          <w:spacing w:val="32"/>
          <w:sz w:val="20"/>
        </w:rPr>
        <w:t> </w:t>
      </w:r>
      <w:r>
        <w:rPr>
          <w:sz w:val="20"/>
        </w:rPr>
        <w:t>la</w:t>
      </w:r>
      <w:r>
        <w:rPr>
          <w:spacing w:val="33"/>
          <w:sz w:val="20"/>
        </w:rPr>
        <w:t> </w:t>
      </w:r>
      <w:r>
        <w:rPr>
          <w:sz w:val="20"/>
        </w:rPr>
        <w:t>normativa</w:t>
      </w:r>
      <w:r>
        <w:rPr>
          <w:spacing w:val="32"/>
          <w:sz w:val="20"/>
        </w:rPr>
        <w:t> </w:t>
      </w:r>
      <w:r>
        <w:rPr>
          <w:sz w:val="20"/>
        </w:rPr>
        <w:t>de</w:t>
      </w:r>
      <w:r>
        <w:rPr>
          <w:spacing w:val="33"/>
          <w:sz w:val="20"/>
        </w:rPr>
        <w:t> </w:t>
      </w:r>
      <w:r>
        <w:rPr>
          <w:sz w:val="20"/>
        </w:rPr>
        <w:t>planes</w:t>
      </w:r>
      <w:r>
        <w:rPr>
          <w:spacing w:val="32"/>
          <w:sz w:val="20"/>
        </w:rPr>
        <w:t> </w:t>
      </w:r>
      <w:r>
        <w:rPr>
          <w:sz w:val="20"/>
        </w:rPr>
        <w:t>y</w:t>
      </w:r>
      <w:r>
        <w:rPr>
          <w:spacing w:val="33"/>
          <w:sz w:val="20"/>
        </w:rPr>
        <w:t> </w:t>
      </w:r>
      <w:r>
        <w:rPr>
          <w:sz w:val="20"/>
        </w:rPr>
        <w:t>fondos</w:t>
      </w:r>
      <w:r>
        <w:rPr>
          <w:spacing w:val="32"/>
          <w:sz w:val="20"/>
        </w:rPr>
        <w:t> </w:t>
      </w:r>
      <w:r>
        <w:rPr>
          <w:sz w:val="20"/>
        </w:rPr>
        <w:t>de</w:t>
      </w:r>
      <w:r>
        <w:rPr>
          <w:spacing w:val="33"/>
          <w:sz w:val="20"/>
        </w:rPr>
        <w:t> </w:t>
      </w:r>
      <w:r>
        <w:rPr>
          <w:sz w:val="20"/>
        </w:rPr>
        <w:t>pensiones.</w:t>
      </w:r>
      <w:r>
        <w:rPr>
          <w:spacing w:val="32"/>
          <w:sz w:val="20"/>
        </w:rPr>
        <w:t> </w:t>
      </w:r>
      <w:r>
        <w:rPr>
          <w:sz w:val="20"/>
        </w:rPr>
        <w:t>En</w:t>
      </w:r>
      <w:r>
        <w:rPr>
          <w:spacing w:val="33"/>
          <w:sz w:val="20"/>
        </w:rPr>
        <w:t> </w:t>
      </w:r>
      <w:r>
        <w:rPr>
          <w:sz w:val="20"/>
        </w:rPr>
        <w:t>este</w:t>
      </w:r>
      <w:r>
        <w:rPr>
          <w:spacing w:val="32"/>
          <w:sz w:val="20"/>
        </w:rPr>
        <w:t> </w:t>
      </w:r>
      <w:r>
        <w:rPr>
          <w:sz w:val="20"/>
        </w:rPr>
        <w:t>caso</w:t>
      </w:r>
      <w:r>
        <w:rPr>
          <w:spacing w:val="33"/>
          <w:sz w:val="20"/>
        </w:rPr>
        <w:t> </w:t>
      </w:r>
      <w:r>
        <w:rPr>
          <w:sz w:val="20"/>
        </w:rPr>
        <w:t>se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3" w:firstLine="0"/>
      </w:pPr>
      <w:r>
        <w:rPr/>
        <w:t>informará de la orden de inspección al ente u órgano administrativo al que, en su caso, corresponda el control y supervisión del prestador del servicio, pudiendo solicitar de aquel su actuación o asistencia en los supuestos en que sea necesario, siendo aplicable lo dispuesto sobre la inspección de entidades aseguradoras en el citado capítulo IV del título IV de la Ley 20/2015, de 14 de julio.</w:t>
      </w:r>
    </w:p>
    <w:p>
      <w:pPr>
        <w:pStyle w:val="ListParagraph"/>
        <w:numPr>
          <w:ilvl w:val="0"/>
          <w:numId w:val="364"/>
        </w:numPr>
        <w:tabs>
          <w:tab w:pos="2326" w:val="left" w:leader="none"/>
        </w:tabs>
        <w:spacing w:line="249" w:lineRule="auto" w:before="4" w:after="0"/>
        <w:ind w:left="1754" w:right="1272" w:firstLine="340"/>
        <w:jc w:val="both"/>
        <w:rPr>
          <w:sz w:val="20"/>
        </w:rPr>
      </w:pPr>
      <w:r>
        <w:rPr>
          <w:sz w:val="20"/>
        </w:rPr>
        <w:t>En caso de actividad transfronteriza de los fondos de pensiones de empleo se hará constar en el registro administrativo de fondos de pensiones los Estados miembros en que desarrollen dicha actividad y la Dirección General de Seguros y Fondos de Pensiones comunicará dicha información a la Autoridad Europea de Seguros y Pensiones de</w:t>
      </w:r>
      <w:r>
        <w:rPr>
          <w:spacing w:val="-2"/>
          <w:sz w:val="20"/>
        </w:rPr>
        <w:t> </w:t>
      </w:r>
      <w:r>
        <w:rPr>
          <w:sz w:val="20"/>
        </w:rPr>
        <w:t>Jubilación.</w:t>
      </w:r>
    </w:p>
    <w:p>
      <w:pPr>
        <w:pStyle w:val="BodyText"/>
        <w:spacing w:line="249" w:lineRule="auto" w:before="174"/>
        <w:ind w:left="1754" w:right="1272"/>
      </w:pPr>
      <w:r>
        <w:rPr/>
        <w:t>Asimismo, la Dirección General de Seguros y Fondos de Pensiones notificará a  la Autoridad Europea de Seguros y Pensiones de Jubilación las decisiones de prohibir las actividades de fondos de pensiones de empleo adoptadas conforme a lo previsto en esta Ley y que en todo caso deberán motivarse de manera detallada y notificarse al fondo de que se trate. A tal efecto, notificará a dicha Autoridad la revocación de la autorización administrativa de los fondos de pensiones de empleo, salvo que sea motivada por las causas previstas en el artículo 31.2, párrafos a) y c). Igualmente notificará a dicha Autoridad los requerimientos de cese de actividad de fondos de pensiones de empleo no autorizados, así como las medidas administrativas de control especial consistentes en la prohibición de admitir nuevos planes en los fondos o nuevos participes o aportaciones, y en la prohibición de actividad</w:t>
      </w:r>
      <w:r>
        <w:rPr>
          <w:spacing w:val="-2"/>
        </w:rPr>
        <w:t> </w:t>
      </w:r>
      <w:r>
        <w:rPr/>
        <w:t>transfronteriza.»</w:t>
      </w:r>
    </w:p>
    <w:p>
      <w:pPr>
        <w:pStyle w:val="BodyText"/>
        <w:spacing w:before="130"/>
        <w:ind w:left="1339" w:right="1300" w:firstLine="0"/>
        <w:jc w:val="center"/>
      </w:pPr>
      <w:r>
        <w:rPr/>
        <w:t>Siete. Se introduce un nuevo artículo 24 bis en el capítulo VII con la siguiente redacción:</w:t>
      </w:r>
    </w:p>
    <w:p>
      <w:pPr>
        <w:pStyle w:val="BodyText"/>
        <w:spacing w:before="1"/>
        <w:ind w:left="0" w:firstLine="0"/>
        <w:jc w:val="left"/>
        <w:rPr>
          <w:sz w:val="21"/>
        </w:rPr>
      </w:pPr>
    </w:p>
    <w:p>
      <w:pPr>
        <w:spacing w:before="0"/>
        <w:ind w:left="1754" w:right="0" w:firstLine="0"/>
        <w:jc w:val="both"/>
        <w:rPr>
          <w:i/>
          <w:sz w:val="20"/>
        </w:rPr>
      </w:pPr>
      <w:r>
        <w:rPr>
          <w:b/>
          <w:sz w:val="20"/>
        </w:rPr>
        <w:t>«Artículo 24 bis. </w:t>
      </w:r>
      <w:r>
        <w:rPr>
          <w:i/>
          <w:sz w:val="20"/>
        </w:rPr>
        <w:t>Transparencia de la actuación supervisora.</w:t>
      </w:r>
    </w:p>
    <w:p>
      <w:pPr>
        <w:pStyle w:val="ListParagraph"/>
        <w:numPr>
          <w:ilvl w:val="0"/>
          <w:numId w:val="366"/>
        </w:numPr>
        <w:tabs>
          <w:tab w:pos="2325" w:val="left" w:leader="none"/>
        </w:tabs>
        <w:spacing w:line="249" w:lineRule="auto" w:before="117" w:after="0"/>
        <w:ind w:left="1754" w:right="1272" w:firstLine="340"/>
        <w:jc w:val="both"/>
        <w:rPr>
          <w:sz w:val="20"/>
        </w:rPr>
      </w:pPr>
      <w:r>
        <w:rPr>
          <w:sz w:val="20"/>
        </w:rPr>
        <w:t>De conformidad con lo establecido en el artículo 111 de la Ley 20/2015, de 14 de julio, la Dirección General de Seguros y Fondos de Pensiones ejercerá la supervisión de forma transparente, independiente y responsable, garantizando debidamente la protección de la información</w:t>
      </w:r>
      <w:r>
        <w:rPr>
          <w:spacing w:val="-10"/>
          <w:sz w:val="20"/>
        </w:rPr>
        <w:t> </w:t>
      </w:r>
      <w:r>
        <w:rPr>
          <w:sz w:val="20"/>
        </w:rPr>
        <w:t>confidencial.</w:t>
      </w:r>
    </w:p>
    <w:p>
      <w:pPr>
        <w:pStyle w:val="ListParagraph"/>
        <w:numPr>
          <w:ilvl w:val="0"/>
          <w:numId w:val="366"/>
        </w:numPr>
        <w:tabs>
          <w:tab w:pos="2332" w:val="left" w:leader="none"/>
        </w:tabs>
        <w:spacing w:line="249" w:lineRule="auto" w:before="4" w:after="0"/>
        <w:ind w:left="1754" w:right="1273" w:firstLine="340"/>
        <w:jc w:val="both"/>
        <w:rPr>
          <w:sz w:val="20"/>
        </w:rPr>
      </w:pPr>
      <w:r>
        <w:rPr>
          <w:sz w:val="20"/>
        </w:rPr>
        <w:t>La Dirección General de Seguros y Fondos de Pensiones con objeto de velar por la transparencia en la supervisión, divulgará la siguiente</w:t>
      </w:r>
      <w:r>
        <w:rPr>
          <w:spacing w:val="-14"/>
          <w:sz w:val="20"/>
        </w:rPr>
        <w:t> </w:t>
      </w:r>
      <w:r>
        <w:rPr>
          <w:sz w:val="20"/>
        </w:rPr>
        <w:t>información:</w:t>
      </w:r>
    </w:p>
    <w:p>
      <w:pPr>
        <w:pStyle w:val="ListParagraph"/>
        <w:numPr>
          <w:ilvl w:val="0"/>
          <w:numId w:val="367"/>
        </w:numPr>
        <w:tabs>
          <w:tab w:pos="2358" w:val="left" w:leader="none"/>
        </w:tabs>
        <w:spacing w:line="249" w:lineRule="auto" w:before="171" w:after="0"/>
        <w:ind w:left="1754" w:right="1273" w:firstLine="340"/>
        <w:jc w:val="left"/>
        <w:rPr>
          <w:sz w:val="20"/>
        </w:rPr>
      </w:pPr>
      <w:r>
        <w:rPr>
          <w:sz w:val="20"/>
        </w:rPr>
        <w:t>El texto de las disposiciones legales, reglamentarias y administrativas, y las orientaciones generales en el ámbito de los planes y fondos de</w:t>
      </w:r>
      <w:r>
        <w:rPr>
          <w:spacing w:val="-26"/>
          <w:sz w:val="20"/>
        </w:rPr>
        <w:t> </w:t>
      </w:r>
      <w:r>
        <w:rPr>
          <w:sz w:val="20"/>
        </w:rPr>
        <w:t>pensiones.</w:t>
      </w:r>
    </w:p>
    <w:p>
      <w:pPr>
        <w:pStyle w:val="ListParagraph"/>
        <w:numPr>
          <w:ilvl w:val="0"/>
          <w:numId w:val="367"/>
        </w:numPr>
        <w:tabs>
          <w:tab w:pos="2346" w:val="left" w:leader="none"/>
        </w:tabs>
        <w:spacing w:line="249" w:lineRule="auto" w:before="2" w:after="0"/>
        <w:ind w:left="1754" w:right="1276" w:firstLine="340"/>
        <w:jc w:val="left"/>
        <w:rPr>
          <w:sz w:val="20"/>
        </w:rPr>
      </w:pPr>
      <w:r>
        <w:rPr>
          <w:sz w:val="20"/>
        </w:rPr>
        <w:t>La decisión sobre el ejercicio de las opciones previstas en la normativa de la Unión</w:t>
      </w:r>
      <w:r>
        <w:rPr>
          <w:spacing w:val="-2"/>
          <w:sz w:val="20"/>
        </w:rPr>
        <w:t> </w:t>
      </w:r>
      <w:r>
        <w:rPr>
          <w:sz w:val="20"/>
        </w:rPr>
        <w:t>Europea.</w:t>
      </w:r>
    </w:p>
    <w:p>
      <w:pPr>
        <w:pStyle w:val="ListParagraph"/>
        <w:numPr>
          <w:ilvl w:val="0"/>
          <w:numId w:val="367"/>
        </w:numPr>
        <w:tabs>
          <w:tab w:pos="2326" w:val="left" w:leader="none"/>
        </w:tabs>
        <w:spacing w:line="214" w:lineRule="exact" w:before="2" w:after="0"/>
        <w:ind w:left="2325" w:right="0" w:hanging="232"/>
        <w:jc w:val="left"/>
        <w:rPr>
          <w:sz w:val="20"/>
        </w:rPr>
      </w:pPr>
      <w:r>
        <w:rPr>
          <w:sz w:val="20"/>
        </w:rPr>
        <w:t>Información</w:t>
      </w:r>
      <w:r>
        <w:rPr>
          <w:spacing w:val="8"/>
          <w:sz w:val="20"/>
        </w:rPr>
        <w:t> </w:t>
      </w:r>
      <w:r>
        <w:rPr>
          <w:sz w:val="20"/>
        </w:rPr>
        <w:t>sobre</w:t>
      </w:r>
      <w:r>
        <w:rPr>
          <w:spacing w:val="8"/>
          <w:sz w:val="20"/>
        </w:rPr>
        <w:t> </w:t>
      </w:r>
      <w:r>
        <w:rPr>
          <w:sz w:val="20"/>
        </w:rPr>
        <w:t>el</w:t>
      </w:r>
      <w:r>
        <w:rPr>
          <w:spacing w:val="7"/>
          <w:sz w:val="20"/>
        </w:rPr>
        <w:t> </w:t>
      </w:r>
      <w:r>
        <w:rPr>
          <w:sz w:val="20"/>
        </w:rPr>
        <w:t>proceso</w:t>
      </w:r>
      <w:r>
        <w:rPr>
          <w:spacing w:val="7"/>
          <w:sz w:val="20"/>
        </w:rPr>
        <w:t> </w:t>
      </w:r>
      <w:r>
        <w:rPr>
          <w:sz w:val="20"/>
        </w:rPr>
        <w:t>de</w:t>
      </w:r>
      <w:r>
        <w:rPr>
          <w:spacing w:val="7"/>
          <w:sz w:val="20"/>
        </w:rPr>
        <w:t> </w:t>
      </w:r>
      <w:r>
        <w:rPr>
          <w:sz w:val="20"/>
        </w:rPr>
        <w:t>revisión</w:t>
      </w:r>
      <w:r>
        <w:rPr>
          <w:spacing w:val="9"/>
          <w:sz w:val="20"/>
        </w:rPr>
        <w:t> </w:t>
      </w:r>
      <w:r>
        <w:rPr>
          <w:sz w:val="20"/>
        </w:rPr>
        <w:t>supervisora</w:t>
      </w:r>
      <w:r>
        <w:rPr>
          <w:spacing w:val="8"/>
          <w:sz w:val="20"/>
        </w:rPr>
        <w:t> </w:t>
      </w:r>
      <w:r>
        <w:rPr>
          <w:sz w:val="20"/>
        </w:rPr>
        <w:t>previsto</w:t>
      </w:r>
      <w:r>
        <w:rPr>
          <w:spacing w:val="7"/>
          <w:sz w:val="20"/>
        </w:rPr>
        <w:t> </w:t>
      </w:r>
      <w:r>
        <w:rPr>
          <w:sz w:val="20"/>
        </w:rPr>
        <w:t>en</w:t>
      </w:r>
      <w:r>
        <w:rPr>
          <w:spacing w:val="7"/>
          <w:sz w:val="20"/>
        </w:rPr>
        <w:t> </w:t>
      </w:r>
      <w:r>
        <w:rPr>
          <w:sz w:val="20"/>
        </w:rPr>
        <w:t>el</w:t>
      </w:r>
      <w:r>
        <w:rPr>
          <w:spacing w:val="7"/>
          <w:sz w:val="20"/>
        </w:rPr>
        <w:t> </w:t>
      </w:r>
      <w:r>
        <w:rPr>
          <w:sz w:val="20"/>
        </w:rPr>
        <w:t>artículo</w:t>
      </w:r>
      <w:r>
        <w:rPr>
          <w:spacing w:val="7"/>
          <w:sz w:val="20"/>
        </w:rPr>
        <w:t> </w:t>
      </w:r>
      <w:r>
        <w:rPr>
          <w:sz w:val="20"/>
        </w:rPr>
        <w:t>24</w:t>
      </w:r>
    </w:p>
    <w:p>
      <w:pPr>
        <w:pStyle w:val="BodyText"/>
        <w:spacing w:before="26"/>
        <w:ind w:left="1754" w:firstLine="0"/>
        <w:jc w:val="left"/>
      </w:pPr>
      <w:r>
        <w:rPr/>
        <w:t>ter.</w:t>
      </w:r>
    </w:p>
    <w:p>
      <w:pPr>
        <w:pStyle w:val="ListParagraph"/>
        <w:numPr>
          <w:ilvl w:val="0"/>
          <w:numId w:val="367"/>
        </w:numPr>
        <w:tabs>
          <w:tab w:pos="2375" w:val="left" w:leader="none"/>
        </w:tabs>
        <w:spacing w:line="214" w:lineRule="exact" w:before="10" w:after="0"/>
        <w:ind w:left="2374" w:right="0" w:hanging="281"/>
        <w:jc w:val="left"/>
        <w:rPr>
          <w:sz w:val="20"/>
        </w:rPr>
      </w:pPr>
      <w:r>
        <w:rPr>
          <w:sz w:val="20"/>
        </w:rPr>
        <w:t>Los</w:t>
      </w:r>
      <w:r>
        <w:rPr>
          <w:spacing w:val="43"/>
          <w:sz w:val="20"/>
        </w:rPr>
        <w:t> </w:t>
      </w:r>
      <w:r>
        <w:rPr>
          <w:sz w:val="20"/>
        </w:rPr>
        <w:t>datos</w:t>
      </w:r>
      <w:r>
        <w:rPr>
          <w:spacing w:val="44"/>
          <w:sz w:val="20"/>
        </w:rPr>
        <w:t> </w:t>
      </w:r>
      <w:r>
        <w:rPr>
          <w:sz w:val="20"/>
        </w:rPr>
        <w:t>estadísticos</w:t>
      </w:r>
      <w:r>
        <w:rPr>
          <w:spacing w:val="44"/>
          <w:sz w:val="20"/>
        </w:rPr>
        <w:t> </w:t>
      </w:r>
      <w:r>
        <w:rPr>
          <w:sz w:val="20"/>
        </w:rPr>
        <w:t>agregados</w:t>
      </w:r>
      <w:r>
        <w:rPr>
          <w:spacing w:val="44"/>
          <w:sz w:val="20"/>
        </w:rPr>
        <w:t> </w:t>
      </w:r>
      <w:r>
        <w:rPr>
          <w:sz w:val="20"/>
        </w:rPr>
        <w:t>sobre</w:t>
      </w:r>
      <w:r>
        <w:rPr>
          <w:spacing w:val="44"/>
          <w:sz w:val="20"/>
        </w:rPr>
        <w:t> </w:t>
      </w:r>
      <w:r>
        <w:rPr>
          <w:sz w:val="20"/>
        </w:rPr>
        <w:t>los</w:t>
      </w:r>
      <w:r>
        <w:rPr>
          <w:spacing w:val="44"/>
          <w:sz w:val="20"/>
        </w:rPr>
        <w:t> </w:t>
      </w:r>
      <w:r>
        <w:rPr>
          <w:sz w:val="20"/>
        </w:rPr>
        <w:t>aspectos</w:t>
      </w:r>
      <w:r>
        <w:rPr>
          <w:spacing w:val="44"/>
          <w:sz w:val="20"/>
        </w:rPr>
        <w:t> </w:t>
      </w:r>
      <w:r>
        <w:rPr>
          <w:sz w:val="20"/>
        </w:rPr>
        <w:t>fundamentales</w:t>
      </w:r>
      <w:r>
        <w:rPr>
          <w:spacing w:val="44"/>
          <w:sz w:val="20"/>
        </w:rPr>
        <w:t> </w:t>
      </w:r>
      <w:r>
        <w:rPr>
          <w:sz w:val="20"/>
        </w:rPr>
        <w:t>de</w:t>
      </w:r>
      <w:r>
        <w:rPr>
          <w:spacing w:val="44"/>
          <w:sz w:val="20"/>
        </w:rPr>
        <w:t> </w:t>
      </w:r>
      <w:r>
        <w:rPr>
          <w:sz w:val="20"/>
        </w:rPr>
        <w:t>la</w:t>
      </w:r>
    </w:p>
    <w:p>
      <w:pPr>
        <w:pStyle w:val="BodyText"/>
        <w:spacing w:before="26"/>
        <w:ind w:left="1754" w:firstLine="0"/>
      </w:pPr>
      <w:r>
        <w:rPr/>
        <w:t>aplicación de las normas prudenciales.</w:t>
      </w:r>
    </w:p>
    <w:p>
      <w:pPr>
        <w:pStyle w:val="ListParagraph"/>
        <w:numPr>
          <w:ilvl w:val="0"/>
          <w:numId w:val="367"/>
        </w:numPr>
        <w:tabs>
          <w:tab w:pos="2386" w:val="left" w:leader="none"/>
        </w:tabs>
        <w:spacing w:line="249" w:lineRule="auto" w:before="10" w:after="0"/>
        <w:ind w:left="1754" w:right="1273" w:firstLine="340"/>
        <w:jc w:val="both"/>
        <w:rPr>
          <w:sz w:val="20"/>
        </w:rPr>
      </w:pPr>
      <w:r>
        <w:rPr>
          <w:sz w:val="20"/>
        </w:rPr>
        <w:t>Los objetivos de la supervisión y las principales funciones y actuaciones supervisoras.</w:t>
      </w:r>
    </w:p>
    <w:p>
      <w:pPr>
        <w:pStyle w:val="ListParagraph"/>
        <w:numPr>
          <w:ilvl w:val="0"/>
          <w:numId w:val="367"/>
        </w:numPr>
        <w:tabs>
          <w:tab w:pos="2367" w:val="left" w:leader="none"/>
        </w:tabs>
        <w:spacing w:line="249" w:lineRule="auto" w:before="2" w:after="0"/>
        <w:ind w:left="1754" w:right="1274" w:firstLine="340"/>
        <w:jc w:val="both"/>
        <w:rPr>
          <w:sz w:val="20"/>
        </w:rPr>
      </w:pPr>
      <w:r>
        <w:rPr>
          <w:sz w:val="20"/>
        </w:rPr>
        <w:t>Las normas relativas a las sanciones administrativas y otras medidas aplicables a las</w:t>
      </w:r>
      <w:r>
        <w:rPr>
          <w:spacing w:val="-4"/>
          <w:sz w:val="20"/>
        </w:rPr>
        <w:t> </w:t>
      </w:r>
      <w:r>
        <w:rPr>
          <w:sz w:val="20"/>
        </w:rPr>
        <w:t>infracciones.</w:t>
      </w:r>
    </w:p>
    <w:p>
      <w:pPr>
        <w:pStyle w:val="ListParagraph"/>
        <w:numPr>
          <w:ilvl w:val="0"/>
          <w:numId w:val="367"/>
        </w:numPr>
        <w:tabs>
          <w:tab w:pos="2407" w:val="left" w:leader="none"/>
        </w:tabs>
        <w:spacing w:line="249" w:lineRule="auto" w:before="1" w:after="0"/>
        <w:ind w:left="1754" w:right="1273" w:firstLine="340"/>
        <w:jc w:val="both"/>
        <w:rPr>
          <w:sz w:val="20"/>
        </w:rPr>
      </w:pPr>
      <w:r>
        <w:rPr>
          <w:sz w:val="20"/>
        </w:rPr>
        <w:t>Las guías técnicas que elabore, dirigidas a las entidades sometidas a supervisión, de conformidad con lo previsto en el artículo 111. 2 de la Ley 20/2015, de 14 de</w:t>
      </w:r>
      <w:r>
        <w:rPr>
          <w:spacing w:val="-4"/>
          <w:sz w:val="20"/>
        </w:rPr>
        <w:t> </w:t>
      </w:r>
      <w:r>
        <w:rPr>
          <w:sz w:val="20"/>
        </w:rPr>
        <w:t>julio.</w:t>
      </w:r>
    </w:p>
    <w:p>
      <w:pPr>
        <w:pStyle w:val="ListParagraph"/>
        <w:numPr>
          <w:ilvl w:val="0"/>
          <w:numId w:val="366"/>
        </w:numPr>
        <w:tabs>
          <w:tab w:pos="2326" w:val="left" w:leader="none"/>
        </w:tabs>
        <w:spacing w:line="249" w:lineRule="auto" w:before="173" w:after="0"/>
        <w:ind w:left="1754" w:right="1271" w:firstLine="340"/>
        <w:jc w:val="both"/>
        <w:rPr>
          <w:sz w:val="20"/>
        </w:rPr>
      </w:pPr>
      <w:r>
        <w:rPr>
          <w:sz w:val="20"/>
        </w:rPr>
        <w:t>La Dirección General de Seguros y Fondos de Pensiones deberá comunicar a la Autoridad Europea de Seguros y Pensiones de Jubilación (AESPJ) las disposiciones de carácter prudencial que no estén contenidas en la legislación social y laboral aplicable a los planes de pensiones de empleo, a que se refiere el artículo 38.</w:t>
      </w:r>
    </w:p>
    <w:p>
      <w:pPr>
        <w:pStyle w:val="BodyText"/>
        <w:spacing w:line="249" w:lineRule="auto" w:before="4"/>
        <w:ind w:left="1754" w:right="1278"/>
        <w:jc w:val="left"/>
      </w:pPr>
      <w:r>
        <w:rPr/>
        <w:t>La Dirección General de Seguros y Fondos de Pensiones actualizará dicha información como mínimo cada dos años.»</w:t>
      </w:r>
    </w:p>
    <w:p>
      <w:pPr>
        <w:pStyle w:val="BodyText"/>
        <w:spacing w:before="122"/>
        <w:ind w:left="1340" w:right="1300" w:firstLine="0"/>
        <w:jc w:val="center"/>
      </w:pPr>
      <w:r>
        <w:rPr/>
        <w:t>Ocho. Se introduce un nuevo artículo 24 ter en el capítulo VII con la siguiente redacción:</w:t>
      </w:r>
    </w:p>
    <w:p>
      <w:pPr>
        <w:spacing w:after="0"/>
        <w:jc w:val="cente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spacing w:before="0"/>
        <w:ind w:left="1754" w:right="0" w:firstLine="0"/>
        <w:jc w:val="both"/>
        <w:rPr>
          <w:i/>
          <w:sz w:val="20"/>
        </w:rPr>
      </w:pPr>
      <w:r>
        <w:rPr>
          <w:b/>
          <w:sz w:val="20"/>
        </w:rPr>
        <w:t>«Artículo 24 ter. </w:t>
      </w:r>
      <w:r>
        <w:rPr>
          <w:i/>
          <w:sz w:val="20"/>
        </w:rPr>
        <w:t>Facultades generales de supervisión.</w:t>
      </w:r>
    </w:p>
    <w:p>
      <w:pPr>
        <w:pStyle w:val="BodyText"/>
        <w:spacing w:line="249" w:lineRule="auto" w:before="118"/>
        <w:ind w:left="1754" w:right="1271"/>
      </w:pPr>
      <w:r>
        <w:rPr/>
        <w:t>1. En el ejercicio de sus funciones de supervisión de planes y fondos de pensiones, así como respecto de las actividades externalizadas, en los términos establecidos en esta Ley y en las demás normas reguladoras de los planes y fondos de pensiones, la Dirección General de Seguros y Fondos de Pensiones tendrá las siguientes facultades:</w:t>
      </w:r>
    </w:p>
    <w:p>
      <w:pPr>
        <w:pStyle w:val="ListParagraph"/>
        <w:numPr>
          <w:ilvl w:val="0"/>
          <w:numId w:val="368"/>
        </w:numPr>
        <w:tabs>
          <w:tab w:pos="2380" w:val="left" w:leader="none"/>
        </w:tabs>
        <w:spacing w:line="249" w:lineRule="auto" w:before="174" w:after="0"/>
        <w:ind w:left="1754" w:right="1273" w:firstLine="340"/>
        <w:jc w:val="both"/>
        <w:rPr>
          <w:sz w:val="20"/>
        </w:rPr>
      </w:pPr>
      <w:r>
        <w:rPr>
          <w:sz w:val="20"/>
        </w:rPr>
        <w:t>Revisar las estrategias, los procesos y los procedimientos de información establecidos por los fondos de pensiones a fin de cumplir las disposiciones legales, reglamentarias y administrativas. Dicha revisión tendrá en cuenta las circunstancias en que operen los fondos de pensiones, y en su caso, las partes que desempeñan las funciones clave o cualquier otra actividad externalizada. La revisión comprenderá los siguientes</w:t>
      </w:r>
      <w:r>
        <w:rPr>
          <w:spacing w:val="-2"/>
          <w:sz w:val="20"/>
        </w:rPr>
        <w:t> </w:t>
      </w:r>
      <w:r>
        <w:rPr>
          <w:sz w:val="20"/>
        </w:rPr>
        <w:t>elementos:</w:t>
      </w:r>
    </w:p>
    <w:p>
      <w:pPr>
        <w:pStyle w:val="ListParagraph"/>
        <w:numPr>
          <w:ilvl w:val="0"/>
          <w:numId w:val="369"/>
        </w:numPr>
        <w:tabs>
          <w:tab w:pos="2263" w:val="left" w:leader="none"/>
        </w:tabs>
        <w:spacing w:line="249" w:lineRule="auto" w:before="175" w:after="0"/>
        <w:ind w:left="1754" w:right="1273" w:firstLine="340"/>
        <w:jc w:val="left"/>
        <w:rPr>
          <w:sz w:val="20"/>
        </w:rPr>
      </w:pPr>
      <w:r>
        <w:rPr>
          <w:sz w:val="20"/>
        </w:rPr>
        <w:t>º Una evaluación de los requisitos cualitativos en relación con el sistema de gobierno.</w:t>
      </w:r>
    </w:p>
    <w:p>
      <w:pPr>
        <w:pStyle w:val="ListParagraph"/>
        <w:numPr>
          <w:ilvl w:val="0"/>
          <w:numId w:val="369"/>
        </w:numPr>
        <w:tabs>
          <w:tab w:pos="2263" w:val="left" w:leader="none"/>
        </w:tabs>
        <w:spacing w:line="240" w:lineRule="auto" w:before="2" w:after="0"/>
        <w:ind w:left="2262" w:right="0" w:hanging="169"/>
        <w:jc w:val="left"/>
        <w:rPr>
          <w:sz w:val="20"/>
        </w:rPr>
      </w:pPr>
      <w:r>
        <w:rPr>
          <w:sz w:val="20"/>
        </w:rPr>
        <w:t>º Una evaluación de los riesgos que afronta el fondo de</w:t>
      </w:r>
      <w:r>
        <w:rPr>
          <w:spacing w:val="-16"/>
          <w:sz w:val="20"/>
        </w:rPr>
        <w:t> </w:t>
      </w:r>
      <w:r>
        <w:rPr>
          <w:sz w:val="20"/>
        </w:rPr>
        <w:t>pensiones.</w:t>
      </w:r>
    </w:p>
    <w:p>
      <w:pPr>
        <w:pStyle w:val="ListParagraph"/>
        <w:numPr>
          <w:ilvl w:val="0"/>
          <w:numId w:val="369"/>
        </w:numPr>
        <w:tabs>
          <w:tab w:pos="2263" w:val="left" w:leader="none"/>
        </w:tabs>
        <w:spacing w:line="249" w:lineRule="auto" w:before="10" w:after="0"/>
        <w:ind w:left="1754" w:right="1273" w:firstLine="340"/>
        <w:jc w:val="left"/>
        <w:rPr>
          <w:sz w:val="20"/>
        </w:rPr>
      </w:pPr>
      <w:r>
        <w:rPr>
          <w:sz w:val="20"/>
        </w:rPr>
        <w:t>º Una valoración de la capacidad del fondo de pensiones de evaluar y gestionar esos</w:t>
      </w:r>
      <w:r>
        <w:rPr>
          <w:spacing w:val="-2"/>
          <w:sz w:val="20"/>
        </w:rPr>
        <w:t> </w:t>
      </w:r>
      <w:r>
        <w:rPr>
          <w:sz w:val="20"/>
        </w:rPr>
        <w:t>riesgos.</w:t>
      </w:r>
    </w:p>
    <w:p>
      <w:pPr>
        <w:pStyle w:val="ListParagraph"/>
        <w:numPr>
          <w:ilvl w:val="0"/>
          <w:numId w:val="368"/>
        </w:numPr>
        <w:tabs>
          <w:tab w:pos="2335" w:val="left" w:leader="none"/>
        </w:tabs>
        <w:spacing w:line="249" w:lineRule="auto" w:before="172" w:after="0"/>
        <w:ind w:left="1754" w:right="1270" w:firstLine="340"/>
        <w:jc w:val="both"/>
        <w:rPr>
          <w:sz w:val="20"/>
        </w:rPr>
      </w:pPr>
      <w:r>
        <w:rPr>
          <w:sz w:val="20"/>
        </w:rPr>
        <w:t>Evaluar la adecuación de los métodos y prácticas de los fondos de pensiones, incluidas pruebas de resistencia, que le permita detectar el deterioro de las condiciones financieras de un fondo de pensiones y controlar la forma en que se corrige ese</w:t>
      </w:r>
      <w:r>
        <w:rPr>
          <w:spacing w:val="-2"/>
          <w:sz w:val="20"/>
        </w:rPr>
        <w:t> </w:t>
      </w:r>
      <w:r>
        <w:rPr>
          <w:sz w:val="20"/>
        </w:rPr>
        <w:t>deterioro.</w:t>
      </w:r>
    </w:p>
    <w:p>
      <w:pPr>
        <w:pStyle w:val="ListParagraph"/>
        <w:numPr>
          <w:ilvl w:val="0"/>
          <w:numId w:val="368"/>
        </w:numPr>
        <w:tabs>
          <w:tab w:pos="2343" w:val="left" w:leader="none"/>
        </w:tabs>
        <w:spacing w:line="249" w:lineRule="auto" w:before="3" w:after="0"/>
        <w:ind w:left="1754" w:right="1274" w:firstLine="340"/>
        <w:jc w:val="both"/>
        <w:rPr>
          <w:sz w:val="20"/>
        </w:rPr>
      </w:pPr>
      <w:r>
        <w:rPr>
          <w:sz w:val="20"/>
        </w:rPr>
        <w:t>Requerir toda la información que resulte necesaria a efectos de supervisión, estadísticos y</w:t>
      </w:r>
      <w:r>
        <w:rPr>
          <w:spacing w:val="-2"/>
          <w:sz w:val="20"/>
        </w:rPr>
        <w:t> </w:t>
      </w:r>
      <w:r>
        <w:rPr>
          <w:sz w:val="20"/>
        </w:rPr>
        <w:t>contables.</w:t>
      </w:r>
    </w:p>
    <w:p>
      <w:pPr>
        <w:pStyle w:val="ListParagraph"/>
        <w:numPr>
          <w:ilvl w:val="0"/>
          <w:numId w:val="368"/>
        </w:numPr>
        <w:tabs>
          <w:tab w:pos="2329" w:val="left" w:leader="none"/>
        </w:tabs>
        <w:spacing w:line="240" w:lineRule="auto" w:before="2" w:after="0"/>
        <w:ind w:left="2328" w:right="0" w:hanging="235"/>
        <w:jc w:val="both"/>
        <w:rPr>
          <w:sz w:val="20"/>
        </w:rPr>
      </w:pPr>
      <w:r>
        <w:rPr>
          <w:sz w:val="20"/>
        </w:rPr>
        <w:t>Acceder a cualquier documento y recibir una copia del</w:t>
      </w:r>
      <w:r>
        <w:rPr>
          <w:spacing w:val="-6"/>
          <w:sz w:val="20"/>
        </w:rPr>
        <w:t> </w:t>
      </w:r>
      <w:r>
        <w:rPr>
          <w:sz w:val="20"/>
        </w:rPr>
        <w:t>mismo.</w:t>
      </w:r>
    </w:p>
    <w:p>
      <w:pPr>
        <w:pStyle w:val="ListParagraph"/>
        <w:numPr>
          <w:ilvl w:val="0"/>
          <w:numId w:val="368"/>
        </w:numPr>
        <w:tabs>
          <w:tab w:pos="2382" w:val="left" w:leader="none"/>
        </w:tabs>
        <w:spacing w:line="249" w:lineRule="auto" w:before="10" w:after="0"/>
        <w:ind w:left="1754" w:right="1271" w:firstLine="340"/>
        <w:jc w:val="right"/>
        <w:rPr>
          <w:sz w:val="20"/>
        </w:rPr>
      </w:pPr>
      <w:r>
        <w:rPr>
          <w:sz w:val="20"/>
        </w:rPr>
        <w:t>Requerir toda la información que sea precisa para comprobar</w:t>
      </w:r>
      <w:r>
        <w:rPr>
          <w:spacing w:val="1"/>
          <w:sz w:val="20"/>
        </w:rPr>
        <w:t> </w:t>
      </w:r>
      <w:r>
        <w:rPr>
          <w:sz w:val="20"/>
        </w:rPr>
        <w:t>el</w:t>
      </w:r>
      <w:r>
        <w:rPr>
          <w:spacing w:val="50"/>
          <w:sz w:val="20"/>
        </w:rPr>
        <w:t> </w:t>
      </w:r>
      <w:r>
        <w:rPr>
          <w:sz w:val="20"/>
        </w:rPr>
        <w:t>correcto cumplimiento de las disposiciones legales y reglamentarias de las</w:t>
      </w:r>
      <w:r>
        <w:rPr>
          <w:spacing w:val="-27"/>
          <w:sz w:val="20"/>
        </w:rPr>
        <w:t> </w:t>
      </w:r>
      <w:r>
        <w:rPr>
          <w:sz w:val="20"/>
        </w:rPr>
        <w:t>entidades</w:t>
      </w:r>
      <w:r>
        <w:rPr>
          <w:spacing w:val="-3"/>
          <w:sz w:val="20"/>
        </w:rPr>
        <w:t> </w:t>
      </w:r>
      <w:r>
        <w:rPr>
          <w:sz w:val="20"/>
        </w:rPr>
        <w:t>gestoras</w:t>
      </w:r>
      <w:r>
        <w:rPr>
          <w:spacing w:val="-1"/>
          <w:sz w:val="20"/>
        </w:rPr>
        <w:t> </w:t>
      </w:r>
      <w:r>
        <w:rPr>
          <w:sz w:val="20"/>
        </w:rPr>
        <w:t>y</w:t>
      </w:r>
      <w:r>
        <w:rPr>
          <w:spacing w:val="36"/>
          <w:sz w:val="20"/>
        </w:rPr>
        <w:t> </w:t>
      </w:r>
      <w:r>
        <w:rPr>
          <w:sz w:val="20"/>
        </w:rPr>
        <w:t>depositarias</w:t>
      </w:r>
      <w:r>
        <w:rPr>
          <w:spacing w:val="36"/>
          <w:sz w:val="20"/>
        </w:rPr>
        <w:t> </w:t>
      </w:r>
      <w:r>
        <w:rPr>
          <w:sz w:val="20"/>
        </w:rPr>
        <w:t>de</w:t>
      </w:r>
      <w:r>
        <w:rPr>
          <w:spacing w:val="37"/>
          <w:sz w:val="20"/>
        </w:rPr>
        <w:t> </w:t>
      </w:r>
      <w:r>
        <w:rPr>
          <w:sz w:val="20"/>
        </w:rPr>
        <w:t>fondos</w:t>
      </w:r>
      <w:r>
        <w:rPr>
          <w:spacing w:val="36"/>
          <w:sz w:val="20"/>
        </w:rPr>
        <w:t> </w:t>
      </w:r>
      <w:r>
        <w:rPr>
          <w:sz w:val="20"/>
        </w:rPr>
        <w:t>de</w:t>
      </w:r>
      <w:r>
        <w:rPr>
          <w:spacing w:val="37"/>
          <w:sz w:val="20"/>
        </w:rPr>
        <w:t> </w:t>
      </w:r>
      <w:r>
        <w:rPr>
          <w:sz w:val="20"/>
        </w:rPr>
        <w:t>pensiones,</w:t>
      </w:r>
      <w:r>
        <w:rPr>
          <w:spacing w:val="36"/>
          <w:sz w:val="20"/>
        </w:rPr>
        <w:t> </w:t>
      </w:r>
      <w:r>
        <w:rPr>
          <w:sz w:val="20"/>
        </w:rPr>
        <w:t>de</w:t>
      </w:r>
      <w:r>
        <w:rPr>
          <w:spacing w:val="36"/>
          <w:sz w:val="20"/>
        </w:rPr>
        <w:t> </w:t>
      </w:r>
      <w:r>
        <w:rPr>
          <w:sz w:val="20"/>
        </w:rPr>
        <w:t>las</w:t>
      </w:r>
      <w:r>
        <w:rPr>
          <w:spacing w:val="37"/>
          <w:sz w:val="20"/>
        </w:rPr>
        <w:t> </w:t>
      </w:r>
      <w:r>
        <w:rPr>
          <w:sz w:val="20"/>
        </w:rPr>
        <w:t>personas</w:t>
      </w:r>
      <w:r>
        <w:rPr>
          <w:spacing w:val="36"/>
          <w:sz w:val="20"/>
        </w:rPr>
        <w:t> </w:t>
      </w:r>
      <w:r>
        <w:rPr>
          <w:sz w:val="20"/>
        </w:rPr>
        <w:t>que</w:t>
      </w:r>
      <w:r>
        <w:rPr>
          <w:spacing w:val="37"/>
          <w:sz w:val="20"/>
        </w:rPr>
        <w:t> </w:t>
      </w:r>
      <w:r>
        <w:rPr>
          <w:sz w:val="20"/>
        </w:rPr>
        <w:t>ejerzan</w:t>
      </w:r>
      <w:r>
        <w:rPr>
          <w:spacing w:val="36"/>
          <w:sz w:val="20"/>
        </w:rPr>
        <w:t> </w:t>
      </w:r>
      <w:r>
        <w:rPr>
          <w:sz w:val="20"/>
        </w:rPr>
        <w:t>la</w:t>
      </w:r>
      <w:r>
        <w:rPr>
          <w:spacing w:val="36"/>
          <w:sz w:val="20"/>
        </w:rPr>
        <w:t> </w:t>
      </w:r>
      <w:r>
        <w:rPr>
          <w:sz w:val="20"/>
        </w:rPr>
        <w:t>dirección</w:t>
      </w:r>
      <w:r>
        <w:rPr>
          <w:spacing w:val="-1"/>
          <w:sz w:val="20"/>
        </w:rPr>
        <w:t> </w:t>
      </w:r>
      <w:r>
        <w:rPr>
          <w:sz w:val="20"/>
        </w:rPr>
        <w:t>efectiva</w:t>
      </w:r>
      <w:r>
        <w:rPr>
          <w:spacing w:val="5"/>
          <w:sz w:val="20"/>
        </w:rPr>
        <w:t> </w:t>
      </w:r>
      <w:r>
        <w:rPr>
          <w:sz w:val="20"/>
        </w:rPr>
        <w:t>y</w:t>
      </w:r>
      <w:r>
        <w:rPr>
          <w:spacing w:val="6"/>
          <w:sz w:val="20"/>
        </w:rPr>
        <w:t> </w:t>
      </w:r>
      <w:r>
        <w:rPr>
          <w:sz w:val="20"/>
        </w:rPr>
        <w:t>las</w:t>
      </w:r>
      <w:r>
        <w:rPr>
          <w:spacing w:val="6"/>
          <w:sz w:val="20"/>
        </w:rPr>
        <w:t> </w:t>
      </w:r>
      <w:r>
        <w:rPr>
          <w:sz w:val="20"/>
        </w:rPr>
        <w:t>funciones</w:t>
      </w:r>
      <w:r>
        <w:rPr>
          <w:spacing w:val="6"/>
          <w:sz w:val="20"/>
        </w:rPr>
        <w:t> </w:t>
      </w:r>
      <w:r>
        <w:rPr>
          <w:sz w:val="20"/>
        </w:rPr>
        <w:t>claves</w:t>
      </w:r>
      <w:r>
        <w:rPr>
          <w:spacing w:val="6"/>
          <w:sz w:val="20"/>
        </w:rPr>
        <w:t> </w:t>
      </w:r>
      <w:r>
        <w:rPr>
          <w:sz w:val="20"/>
        </w:rPr>
        <w:t>previstas</w:t>
      </w:r>
      <w:r>
        <w:rPr>
          <w:spacing w:val="6"/>
          <w:sz w:val="20"/>
        </w:rPr>
        <w:t> </w:t>
      </w:r>
      <w:r>
        <w:rPr>
          <w:sz w:val="20"/>
        </w:rPr>
        <w:t>en</w:t>
      </w:r>
      <w:r>
        <w:rPr>
          <w:spacing w:val="6"/>
          <w:sz w:val="20"/>
        </w:rPr>
        <w:t> </w:t>
      </w:r>
      <w:r>
        <w:rPr>
          <w:sz w:val="20"/>
        </w:rPr>
        <w:t>esta</w:t>
      </w:r>
      <w:r>
        <w:rPr>
          <w:spacing w:val="5"/>
          <w:sz w:val="20"/>
        </w:rPr>
        <w:t> </w:t>
      </w:r>
      <w:r>
        <w:rPr>
          <w:sz w:val="20"/>
        </w:rPr>
        <w:t>ley,</w:t>
      </w:r>
      <w:r>
        <w:rPr>
          <w:spacing w:val="6"/>
          <w:sz w:val="20"/>
        </w:rPr>
        <w:t> </w:t>
      </w:r>
      <w:r>
        <w:rPr>
          <w:sz w:val="20"/>
        </w:rPr>
        <w:t>de</w:t>
      </w:r>
      <w:r>
        <w:rPr>
          <w:spacing w:val="6"/>
          <w:sz w:val="20"/>
        </w:rPr>
        <w:t> </w:t>
      </w:r>
      <w:r>
        <w:rPr>
          <w:sz w:val="20"/>
        </w:rPr>
        <w:t>las</w:t>
      </w:r>
      <w:r>
        <w:rPr>
          <w:spacing w:val="6"/>
          <w:sz w:val="20"/>
        </w:rPr>
        <w:t> </w:t>
      </w:r>
      <w:r>
        <w:rPr>
          <w:sz w:val="20"/>
        </w:rPr>
        <w:t>entidades</w:t>
      </w:r>
      <w:r>
        <w:rPr>
          <w:spacing w:val="6"/>
          <w:sz w:val="20"/>
        </w:rPr>
        <w:t> </w:t>
      </w:r>
      <w:r>
        <w:rPr>
          <w:sz w:val="20"/>
        </w:rPr>
        <w:t>o</w:t>
      </w:r>
      <w:r>
        <w:rPr>
          <w:spacing w:val="6"/>
          <w:sz w:val="20"/>
        </w:rPr>
        <w:t> </w:t>
      </w:r>
      <w:r>
        <w:rPr>
          <w:sz w:val="20"/>
        </w:rPr>
        <w:t>personas</w:t>
      </w:r>
      <w:r>
        <w:rPr>
          <w:spacing w:val="6"/>
          <w:sz w:val="20"/>
        </w:rPr>
        <w:t> </w:t>
      </w:r>
      <w:r>
        <w:rPr>
          <w:sz w:val="20"/>
        </w:rPr>
        <w:t>en</w:t>
      </w:r>
      <w:r>
        <w:rPr>
          <w:spacing w:val="-1"/>
          <w:sz w:val="20"/>
        </w:rPr>
        <w:t> </w:t>
      </w:r>
      <w:r>
        <w:rPr>
          <w:sz w:val="20"/>
        </w:rPr>
        <w:t>las que hayan delegado o externalizado funciones, de los</w:t>
      </w:r>
      <w:r>
        <w:rPr>
          <w:spacing w:val="26"/>
          <w:sz w:val="20"/>
        </w:rPr>
        <w:t> </w:t>
      </w:r>
      <w:r>
        <w:rPr>
          <w:sz w:val="20"/>
        </w:rPr>
        <w:t>comercializadores</w:t>
      </w:r>
      <w:r>
        <w:rPr>
          <w:spacing w:val="53"/>
          <w:sz w:val="20"/>
        </w:rPr>
        <w:t> </w:t>
      </w:r>
      <w:r>
        <w:rPr>
          <w:sz w:val="20"/>
        </w:rPr>
        <w:t>de</w:t>
      </w:r>
      <w:r>
        <w:rPr>
          <w:spacing w:val="-1"/>
          <w:sz w:val="20"/>
        </w:rPr>
        <w:t> </w:t>
      </w:r>
      <w:r>
        <w:rPr>
          <w:sz w:val="20"/>
        </w:rPr>
        <w:t>planes de pensiones individuales, de los promotores de los planes de</w:t>
      </w:r>
      <w:r>
        <w:rPr>
          <w:spacing w:val="12"/>
          <w:sz w:val="20"/>
        </w:rPr>
        <w:t> </w:t>
      </w:r>
      <w:r>
        <w:rPr>
          <w:sz w:val="20"/>
        </w:rPr>
        <w:t>pensiones,</w:t>
      </w:r>
      <w:r>
        <w:rPr>
          <w:spacing w:val="6"/>
          <w:sz w:val="20"/>
        </w:rPr>
        <w:t> </w:t>
      </w:r>
      <w:r>
        <w:rPr>
          <w:sz w:val="20"/>
        </w:rPr>
        <w:t>de</w:t>
      </w:r>
      <w:r>
        <w:rPr>
          <w:spacing w:val="-1"/>
          <w:sz w:val="20"/>
        </w:rPr>
        <w:t> </w:t>
      </w:r>
      <w:r>
        <w:rPr>
          <w:sz w:val="20"/>
        </w:rPr>
        <w:t>las</w:t>
      </w:r>
      <w:r>
        <w:rPr>
          <w:spacing w:val="24"/>
          <w:sz w:val="20"/>
        </w:rPr>
        <w:t> </w:t>
      </w:r>
      <w:r>
        <w:rPr>
          <w:sz w:val="20"/>
        </w:rPr>
        <w:t>comisiones</w:t>
      </w:r>
      <w:r>
        <w:rPr>
          <w:spacing w:val="24"/>
          <w:sz w:val="20"/>
        </w:rPr>
        <w:t> </w:t>
      </w:r>
      <w:r>
        <w:rPr>
          <w:sz w:val="20"/>
        </w:rPr>
        <w:t>de</w:t>
      </w:r>
      <w:r>
        <w:rPr>
          <w:spacing w:val="24"/>
          <w:sz w:val="20"/>
        </w:rPr>
        <w:t> </w:t>
      </w:r>
      <w:r>
        <w:rPr>
          <w:sz w:val="20"/>
        </w:rPr>
        <w:t>control,</w:t>
      </w:r>
      <w:r>
        <w:rPr>
          <w:spacing w:val="24"/>
          <w:sz w:val="20"/>
        </w:rPr>
        <w:t> </w:t>
      </w:r>
      <w:r>
        <w:rPr>
          <w:sz w:val="20"/>
        </w:rPr>
        <w:t>de</w:t>
      </w:r>
      <w:r>
        <w:rPr>
          <w:spacing w:val="24"/>
          <w:sz w:val="20"/>
        </w:rPr>
        <w:t> </w:t>
      </w:r>
      <w:r>
        <w:rPr>
          <w:sz w:val="20"/>
        </w:rPr>
        <w:t>los</w:t>
      </w:r>
      <w:r>
        <w:rPr>
          <w:spacing w:val="24"/>
          <w:sz w:val="20"/>
        </w:rPr>
        <w:t> </w:t>
      </w:r>
      <w:r>
        <w:rPr>
          <w:sz w:val="20"/>
        </w:rPr>
        <w:t>actuarios,</w:t>
      </w:r>
      <w:r>
        <w:rPr>
          <w:spacing w:val="25"/>
          <w:sz w:val="20"/>
        </w:rPr>
        <w:t> </w:t>
      </w:r>
      <w:r>
        <w:rPr>
          <w:sz w:val="20"/>
        </w:rPr>
        <w:t>así</w:t>
      </w:r>
      <w:r>
        <w:rPr>
          <w:spacing w:val="24"/>
          <w:sz w:val="20"/>
        </w:rPr>
        <w:t> </w:t>
      </w:r>
      <w:r>
        <w:rPr>
          <w:sz w:val="20"/>
        </w:rPr>
        <w:t>como</w:t>
      </w:r>
      <w:r>
        <w:rPr>
          <w:spacing w:val="24"/>
          <w:sz w:val="20"/>
        </w:rPr>
        <w:t> </w:t>
      </w:r>
      <w:r>
        <w:rPr>
          <w:sz w:val="20"/>
        </w:rPr>
        <w:t>de</w:t>
      </w:r>
      <w:r>
        <w:rPr>
          <w:spacing w:val="24"/>
          <w:sz w:val="20"/>
        </w:rPr>
        <w:t> </w:t>
      </w:r>
      <w:r>
        <w:rPr>
          <w:sz w:val="20"/>
        </w:rPr>
        <w:t>los</w:t>
      </w:r>
      <w:r>
        <w:rPr>
          <w:spacing w:val="24"/>
          <w:sz w:val="20"/>
        </w:rPr>
        <w:t> </w:t>
      </w:r>
      <w:r>
        <w:rPr>
          <w:sz w:val="20"/>
        </w:rPr>
        <w:t>representantes</w:t>
      </w:r>
      <w:r>
        <w:rPr>
          <w:spacing w:val="24"/>
          <w:sz w:val="20"/>
        </w:rPr>
        <w:t> </w:t>
      </w:r>
      <w:r>
        <w:rPr>
          <w:sz w:val="20"/>
        </w:rPr>
        <w:t>de</w:t>
      </w:r>
      <w:r>
        <w:rPr>
          <w:spacing w:val="25"/>
          <w:sz w:val="20"/>
        </w:rPr>
        <w:t> </w:t>
      </w:r>
      <w:r>
        <w:rPr>
          <w:sz w:val="20"/>
        </w:rPr>
        <w:t>los</w:t>
      </w:r>
      <w:r>
        <w:rPr>
          <w:spacing w:val="-1"/>
          <w:sz w:val="20"/>
        </w:rPr>
        <w:t> </w:t>
      </w:r>
      <w:r>
        <w:rPr>
          <w:sz w:val="20"/>
        </w:rPr>
        <w:t>fondos</w:t>
      </w:r>
      <w:r>
        <w:rPr>
          <w:spacing w:val="45"/>
          <w:sz w:val="20"/>
        </w:rPr>
        <w:t> </w:t>
      </w:r>
      <w:r>
        <w:rPr>
          <w:sz w:val="20"/>
        </w:rPr>
        <w:t>de</w:t>
      </w:r>
      <w:r>
        <w:rPr>
          <w:spacing w:val="45"/>
          <w:sz w:val="20"/>
        </w:rPr>
        <w:t> </w:t>
      </w:r>
      <w:r>
        <w:rPr>
          <w:sz w:val="20"/>
        </w:rPr>
        <w:t>pensiones</w:t>
      </w:r>
      <w:r>
        <w:rPr>
          <w:spacing w:val="45"/>
          <w:sz w:val="20"/>
        </w:rPr>
        <w:t> </w:t>
      </w:r>
      <w:r>
        <w:rPr>
          <w:sz w:val="20"/>
        </w:rPr>
        <w:t>autorizados</w:t>
      </w:r>
      <w:r>
        <w:rPr>
          <w:spacing w:val="45"/>
          <w:sz w:val="20"/>
        </w:rPr>
        <w:t> </w:t>
      </w:r>
      <w:r>
        <w:rPr>
          <w:sz w:val="20"/>
        </w:rPr>
        <w:t>o</w:t>
      </w:r>
      <w:r>
        <w:rPr>
          <w:spacing w:val="46"/>
          <w:sz w:val="20"/>
        </w:rPr>
        <w:t> </w:t>
      </w:r>
      <w:r>
        <w:rPr>
          <w:sz w:val="20"/>
        </w:rPr>
        <w:t>registrados</w:t>
      </w:r>
      <w:r>
        <w:rPr>
          <w:spacing w:val="45"/>
          <w:sz w:val="20"/>
        </w:rPr>
        <w:t> </w:t>
      </w:r>
      <w:r>
        <w:rPr>
          <w:sz w:val="20"/>
        </w:rPr>
        <w:t>en</w:t>
      </w:r>
      <w:r>
        <w:rPr>
          <w:spacing w:val="45"/>
          <w:sz w:val="20"/>
        </w:rPr>
        <w:t> </w:t>
      </w:r>
      <w:r>
        <w:rPr>
          <w:sz w:val="20"/>
        </w:rPr>
        <w:t>otros</w:t>
      </w:r>
      <w:r>
        <w:rPr>
          <w:spacing w:val="45"/>
          <w:sz w:val="20"/>
        </w:rPr>
        <w:t> </w:t>
      </w:r>
      <w:r>
        <w:rPr>
          <w:sz w:val="20"/>
        </w:rPr>
        <w:t>Estados</w:t>
      </w:r>
      <w:r>
        <w:rPr>
          <w:spacing w:val="45"/>
          <w:sz w:val="20"/>
        </w:rPr>
        <w:t> </w:t>
      </w:r>
      <w:r>
        <w:rPr>
          <w:sz w:val="20"/>
        </w:rPr>
        <w:t>miembros</w:t>
      </w:r>
      <w:r>
        <w:rPr>
          <w:spacing w:val="46"/>
          <w:sz w:val="20"/>
        </w:rPr>
        <w:t> </w:t>
      </w:r>
      <w:r>
        <w:rPr>
          <w:sz w:val="20"/>
        </w:rPr>
        <w:t>y</w:t>
      </w:r>
      <w:r>
        <w:rPr>
          <w:spacing w:val="45"/>
          <w:sz w:val="20"/>
        </w:rPr>
        <w:t> </w:t>
      </w:r>
      <w:r>
        <w:rPr>
          <w:sz w:val="20"/>
        </w:rPr>
        <w:t>de</w:t>
      </w:r>
      <w:r>
        <w:rPr>
          <w:spacing w:val="-1"/>
          <w:sz w:val="20"/>
        </w:rPr>
        <w:t> </w:t>
      </w:r>
      <w:r>
        <w:rPr>
          <w:sz w:val="20"/>
        </w:rPr>
        <w:t>cualesquiera personas o entidades para las que se establezca</w:t>
      </w:r>
      <w:r>
        <w:rPr>
          <w:spacing w:val="48"/>
          <w:sz w:val="20"/>
        </w:rPr>
        <w:t> </w:t>
      </w:r>
      <w:r>
        <w:rPr>
          <w:sz w:val="20"/>
        </w:rPr>
        <w:t>alguna</w:t>
      </w:r>
      <w:r>
        <w:rPr>
          <w:spacing w:val="6"/>
          <w:sz w:val="20"/>
        </w:rPr>
        <w:t> </w:t>
      </w:r>
      <w:r>
        <w:rPr>
          <w:sz w:val="20"/>
        </w:rPr>
        <w:t>función, prohibición o mandato en esta Ley y en sus normas de desarrollo</w:t>
      </w:r>
      <w:r>
        <w:rPr>
          <w:spacing w:val="-39"/>
          <w:sz w:val="20"/>
        </w:rPr>
        <w:t> </w:t>
      </w:r>
      <w:r>
        <w:rPr>
          <w:sz w:val="20"/>
        </w:rPr>
        <w:t>y</w:t>
      </w:r>
      <w:r>
        <w:rPr>
          <w:spacing w:val="-2"/>
          <w:sz w:val="20"/>
        </w:rPr>
        <w:t> </w:t>
      </w:r>
      <w:r>
        <w:rPr>
          <w:sz w:val="20"/>
        </w:rPr>
        <w:t>complementarias. A</w:t>
      </w:r>
      <w:r>
        <w:rPr>
          <w:spacing w:val="42"/>
          <w:sz w:val="20"/>
        </w:rPr>
        <w:t> </w:t>
      </w:r>
      <w:r>
        <w:rPr>
          <w:sz w:val="20"/>
        </w:rPr>
        <w:t>tal</w:t>
      </w:r>
      <w:r>
        <w:rPr>
          <w:spacing w:val="43"/>
          <w:sz w:val="20"/>
        </w:rPr>
        <w:t> </w:t>
      </w:r>
      <w:r>
        <w:rPr>
          <w:sz w:val="20"/>
        </w:rPr>
        <w:t>efecto,</w:t>
      </w:r>
      <w:r>
        <w:rPr>
          <w:spacing w:val="43"/>
          <w:sz w:val="20"/>
        </w:rPr>
        <w:t> </w:t>
      </w:r>
      <w:r>
        <w:rPr>
          <w:sz w:val="20"/>
        </w:rPr>
        <w:t>la</w:t>
      </w:r>
      <w:r>
        <w:rPr>
          <w:spacing w:val="42"/>
          <w:sz w:val="20"/>
        </w:rPr>
        <w:t> </w:t>
      </w:r>
      <w:r>
        <w:rPr>
          <w:sz w:val="20"/>
        </w:rPr>
        <w:t>Dirección</w:t>
      </w:r>
      <w:r>
        <w:rPr>
          <w:spacing w:val="43"/>
          <w:sz w:val="20"/>
        </w:rPr>
        <w:t> </w:t>
      </w:r>
      <w:r>
        <w:rPr>
          <w:sz w:val="20"/>
        </w:rPr>
        <w:t>General</w:t>
      </w:r>
      <w:r>
        <w:rPr>
          <w:spacing w:val="43"/>
          <w:sz w:val="20"/>
        </w:rPr>
        <w:t> </w:t>
      </w:r>
      <w:r>
        <w:rPr>
          <w:sz w:val="20"/>
        </w:rPr>
        <w:t>de</w:t>
      </w:r>
      <w:r>
        <w:rPr>
          <w:spacing w:val="43"/>
          <w:sz w:val="20"/>
        </w:rPr>
        <w:t> </w:t>
      </w:r>
      <w:r>
        <w:rPr>
          <w:sz w:val="20"/>
        </w:rPr>
        <w:t>Seguros</w:t>
      </w:r>
      <w:r>
        <w:rPr>
          <w:spacing w:val="42"/>
          <w:sz w:val="20"/>
        </w:rPr>
        <w:t> </w:t>
      </w:r>
      <w:r>
        <w:rPr>
          <w:sz w:val="20"/>
        </w:rPr>
        <w:t>y</w:t>
      </w:r>
      <w:r>
        <w:rPr>
          <w:spacing w:val="43"/>
          <w:sz w:val="20"/>
        </w:rPr>
        <w:t> </w:t>
      </w:r>
      <w:r>
        <w:rPr>
          <w:sz w:val="20"/>
        </w:rPr>
        <w:t>Fondos</w:t>
      </w:r>
      <w:r>
        <w:rPr>
          <w:spacing w:val="43"/>
          <w:sz w:val="20"/>
        </w:rPr>
        <w:t> </w:t>
      </w:r>
      <w:r>
        <w:rPr>
          <w:sz w:val="20"/>
        </w:rPr>
        <w:t>de</w:t>
      </w:r>
      <w:r>
        <w:rPr>
          <w:spacing w:val="43"/>
          <w:sz w:val="20"/>
        </w:rPr>
        <w:t> </w:t>
      </w:r>
      <w:r>
        <w:rPr>
          <w:sz w:val="20"/>
        </w:rPr>
        <w:t>Pensiones</w:t>
      </w:r>
      <w:r>
        <w:rPr>
          <w:spacing w:val="42"/>
          <w:sz w:val="20"/>
        </w:rPr>
        <w:t> </w:t>
      </w:r>
      <w:r>
        <w:rPr>
          <w:sz w:val="20"/>
        </w:rPr>
        <w:t>podrá</w:t>
      </w:r>
      <w:r>
        <w:rPr>
          <w:spacing w:val="-1"/>
          <w:sz w:val="20"/>
        </w:rPr>
        <w:t> </w:t>
      </w:r>
      <w:r>
        <w:rPr>
          <w:sz w:val="20"/>
        </w:rPr>
        <w:t>requerir</w:t>
      </w:r>
      <w:r>
        <w:rPr>
          <w:spacing w:val="45"/>
          <w:sz w:val="20"/>
        </w:rPr>
        <w:t> </w:t>
      </w:r>
      <w:r>
        <w:rPr>
          <w:sz w:val="20"/>
        </w:rPr>
        <w:t>la</w:t>
      </w:r>
      <w:r>
        <w:rPr>
          <w:spacing w:val="46"/>
          <w:sz w:val="20"/>
        </w:rPr>
        <w:t> </w:t>
      </w:r>
      <w:r>
        <w:rPr>
          <w:sz w:val="20"/>
        </w:rPr>
        <w:t>remisión</w:t>
      </w:r>
      <w:r>
        <w:rPr>
          <w:spacing w:val="46"/>
          <w:sz w:val="20"/>
        </w:rPr>
        <w:t> </w:t>
      </w:r>
      <w:r>
        <w:rPr>
          <w:sz w:val="20"/>
        </w:rPr>
        <w:t>de</w:t>
      </w:r>
      <w:r>
        <w:rPr>
          <w:spacing w:val="46"/>
          <w:sz w:val="20"/>
        </w:rPr>
        <w:t> </w:t>
      </w:r>
      <w:r>
        <w:rPr>
          <w:sz w:val="20"/>
        </w:rPr>
        <w:t>información</w:t>
      </w:r>
      <w:r>
        <w:rPr>
          <w:spacing w:val="46"/>
          <w:sz w:val="20"/>
        </w:rPr>
        <w:t> </w:t>
      </w:r>
      <w:r>
        <w:rPr>
          <w:sz w:val="20"/>
        </w:rPr>
        <w:t>en</w:t>
      </w:r>
      <w:r>
        <w:rPr>
          <w:spacing w:val="46"/>
          <w:sz w:val="20"/>
        </w:rPr>
        <w:t> </w:t>
      </w:r>
      <w:r>
        <w:rPr>
          <w:sz w:val="20"/>
        </w:rPr>
        <w:t>el</w:t>
      </w:r>
      <w:r>
        <w:rPr>
          <w:spacing w:val="46"/>
          <w:sz w:val="20"/>
        </w:rPr>
        <w:t> </w:t>
      </w:r>
      <w:r>
        <w:rPr>
          <w:sz w:val="20"/>
        </w:rPr>
        <w:t>plazo</w:t>
      </w:r>
      <w:r>
        <w:rPr>
          <w:spacing w:val="46"/>
          <w:sz w:val="20"/>
        </w:rPr>
        <w:t> </w:t>
      </w:r>
      <w:r>
        <w:rPr>
          <w:sz w:val="20"/>
        </w:rPr>
        <w:t>que</w:t>
      </w:r>
      <w:r>
        <w:rPr>
          <w:spacing w:val="45"/>
          <w:sz w:val="20"/>
        </w:rPr>
        <w:t> </w:t>
      </w:r>
      <w:r>
        <w:rPr>
          <w:sz w:val="20"/>
        </w:rPr>
        <w:t>razonablemente</w:t>
      </w:r>
      <w:r>
        <w:rPr>
          <w:spacing w:val="46"/>
          <w:sz w:val="20"/>
        </w:rPr>
        <w:t> </w:t>
      </w:r>
      <w:r>
        <w:rPr>
          <w:sz w:val="20"/>
        </w:rPr>
        <w:t>fije</w:t>
      </w:r>
      <w:r>
        <w:rPr>
          <w:spacing w:val="46"/>
          <w:sz w:val="20"/>
        </w:rPr>
        <w:t> </w:t>
      </w:r>
      <w:r>
        <w:rPr>
          <w:sz w:val="20"/>
        </w:rPr>
        <w:t>y,</w:t>
      </w:r>
      <w:r>
        <w:rPr>
          <w:spacing w:val="46"/>
          <w:sz w:val="20"/>
        </w:rPr>
        <w:t> </w:t>
      </w:r>
      <w:r>
        <w:rPr>
          <w:sz w:val="20"/>
        </w:rPr>
        <w:t>si</w:t>
      </w:r>
      <w:r>
        <w:rPr>
          <w:spacing w:val="46"/>
          <w:sz w:val="20"/>
        </w:rPr>
        <w:t> </w:t>
      </w:r>
      <w:r>
        <w:rPr>
          <w:sz w:val="20"/>
        </w:rPr>
        <w:t>es</w:t>
      </w:r>
    </w:p>
    <w:p>
      <w:pPr>
        <w:pStyle w:val="BodyText"/>
        <w:spacing w:before="9"/>
        <w:ind w:left="1754" w:firstLine="0"/>
      </w:pPr>
      <w:r>
        <w:rPr/>
        <w:t>necesario, citar y tomar declaración a una persona para obtener información.</w:t>
      </w:r>
    </w:p>
    <w:p>
      <w:pPr>
        <w:pStyle w:val="BodyText"/>
        <w:spacing w:line="249" w:lineRule="auto" w:before="10"/>
        <w:ind w:left="1754" w:right="1273"/>
      </w:pPr>
      <w:r>
        <w:rPr/>
        <w:t>Los requerimientos de información y citaciones habrán de estar motivados y ser proporcionados al fin perseguido. En ellos se expondrá de forma detallada y concreta el contenido de la información que se vaya a solicitar, especificando de manera justificada la función para cuyo desarrollo es precisa tal información y el uso que pretende hacerse de la misma.</w:t>
      </w:r>
    </w:p>
    <w:p>
      <w:pPr>
        <w:pStyle w:val="ListParagraph"/>
        <w:numPr>
          <w:ilvl w:val="0"/>
          <w:numId w:val="368"/>
        </w:numPr>
        <w:tabs>
          <w:tab w:pos="2273" w:val="left" w:leader="none"/>
        </w:tabs>
        <w:spacing w:line="240" w:lineRule="auto" w:before="4" w:after="0"/>
        <w:ind w:left="2272" w:right="0" w:hanging="179"/>
        <w:jc w:val="both"/>
        <w:rPr>
          <w:sz w:val="20"/>
        </w:rPr>
      </w:pPr>
      <w:r>
        <w:rPr>
          <w:sz w:val="20"/>
        </w:rPr>
        <w:t>Realizar las inspecciones y comprobaciones</w:t>
      </w:r>
      <w:r>
        <w:rPr>
          <w:spacing w:val="-6"/>
          <w:sz w:val="20"/>
        </w:rPr>
        <w:t> </w:t>
      </w:r>
      <w:r>
        <w:rPr>
          <w:sz w:val="20"/>
        </w:rPr>
        <w:t>necesarias.</w:t>
      </w:r>
    </w:p>
    <w:p>
      <w:pPr>
        <w:pStyle w:val="ListParagraph"/>
        <w:numPr>
          <w:ilvl w:val="0"/>
          <w:numId w:val="368"/>
        </w:numPr>
        <w:tabs>
          <w:tab w:pos="2351" w:val="left" w:leader="none"/>
        </w:tabs>
        <w:spacing w:line="249" w:lineRule="auto" w:before="11" w:after="0"/>
        <w:ind w:left="1754" w:right="1273" w:firstLine="340"/>
        <w:jc w:val="both"/>
        <w:rPr>
          <w:sz w:val="20"/>
        </w:rPr>
      </w:pPr>
      <w:r>
        <w:rPr>
          <w:sz w:val="20"/>
        </w:rPr>
        <w:t>Requerir los registros telefónicos y de tráfico de datos de que dispongan las personas o entidades a que se refiere el párrafo e) anterior. Los requerimientos que se realicen a tal efecto se ajustarán a lo establecido en dicho párrafo</w:t>
      </w:r>
      <w:r>
        <w:rPr>
          <w:spacing w:val="-23"/>
          <w:sz w:val="20"/>
        </w:rPr>
        <w:t> </w:t>
      </w:r>
      <w:r>
        <w:rPr>
          <w:sz w:val="20"/>
        </w:rPr>
        <w:t>e).</w:t>
      </w:r>
    </w:p>
    <w:p>
      <w:pPr>
        <w:pStyle w:val="ListParagraph"/>
        <w:numPr>
          <w:ilvl w:val="0"/>
          <w:numId w:val="368"/>
        </w:numPr>
        <w:tabs>
          <w:tab w:pos="2354" w:val="left" w:leader="none"/>
        </w:tabs>
        <w:spacing w:line="249" w:lineRule="auto" w:before="2" w:after="0"/>
        <w:ind w:left="1754" w:right="1274" w:firstLine="340"/>
        <w:jc w:val="both"/>
        <w:rPr>
          <w:sz w:val="20"/>
        </w:rPr>
      </w:pPr>
      <w:r>
        <w:rPr>
          <w:sz w:val="20"/>
        </w:rPr>
        <w:t>Requerir toda la información que resulte necesaria a efectos de supervisión, estadísticos y</w:t>
      </w:r>
      <w:r>
        <w:rPr>
          <w:spacing w:val="-2"/>
          <w:sz w:val="20"/>
        </w:rPr>
        <w:t> </w:t>
      </w:r>
      <w:r>
        <w:rPr>
          <w:sz w:val="20"/>
        </w:rPr>
        <w:t>contables.</w:t>
      </w:r>
    </w:p>
    <w:p>
      <w:pPr>
        <w:pStyle w:val="ListParagraph"/>
        <w:numPr>
          <w:ilvl w:val="0"/>
          <w:numId w:val="368"/>
        </w:numPr>
        <w:tabs>
          <w:tab w:pos="2349" w:val="left" w:leader="none"/>
        </w:tabs>
        <w:spacing w:line="249" w:lineRule="auto" w:before="2" w:after="0"/>
        <w:ind w:left="1754" w:right="1274" w:firstLine="340"/>
        <w:jc w:val="both"/>
        <w:rPr>
          <w:sz w:val="20"/>
        </w:rPr>
      </w:pPr>
      <w:r>
        <w:rPr>
          <w:sz w:val="20"/>
        </w:rPr>
        <w:t>Exigir a las entidades gestoras la aportación de informes de expertos independientes, del responsable de la función de auditoría interna o de cualquier otro informe</w:t>
      </w:r>
      <w:r>
        <w:rPr>
          <w:spacing w:val="-4"/>
          <w:sz w:val="20"/>
        </w:rPr>
        <w:t> </w:t>
      </w:r>
      <w:r>
        <w:rPr>
          <w:sz w:val="20"/>
        </w:rPr>
        <w:t>que,</w:t>
      </w:r>
      <w:r>
        <w:rPr>
          <w:spacing w:val="-4"/>
          <w:sz w:val="20"/>
        </w:rPr>
        <w:t> </w:t>
      </w:r>
      <w:r>
        <w:rPr>
          <w:sz w:val="20"/>
        </w:rPr>
        <w:t>de</w:t>
      </w:r>
      <w:r>
        <w:rPr>
          <w:spacing w:val="-3"/>
          <w:sz w:val="20"/>
        </w:rPr>
        <w:t> </w:t>
      </w:r>
      <w:r>
        <w:rPr>
          <w:sz w:val="20"/>
        </w:rPr>
        <w:t>acuerdo</w:t>
      </w:r>
      <w:r>
        <w:rPr>
          <w:spacing w:val="-4"/>
          <w:sz w:val="20"/>
        </w:rPr>
        <w:t> </w:t>
      </w:r>
      <w:r>
        <w:rPr>
          <w:sz w:val="20"/>
        </w:rPr>
        <w:t>con</w:t>
      </w:r>
      <w:r>
        <w:rPr>
          <w:spacing w:val="-2"/>
          <w:sz w:val="20"/>
        </w:rPr>
        <w:t> </w:t>
      </w:r>
      <w:r>
        <w:rPr>
          <w:sz w:val="20"/>
        </w:rPr>
        <w:t>esta</w:t>
      </w:r>
      <w:r>
        <w:rPr>
          <w:spacing w:val="-4"/>
          <w:sz w:val="20"/>
        </w:rPr>
        <w:t> </w:t>
      </w:r>
      <w:r>
        <w:rPr>
          <w:sz w:val="20"/>
        </w:rPr>
        <w:t>Ley</w:t>
      </w:r>
      <w:r>
        <w:rPr>
          <w:spacing w:val="-4"/>
          <w:sz w:val="20"/>
        </w:rPr>
        <w:t> </w:t>
      </w:r>
      <w:r>
        <w:rPr>
          <w:sz w:val="20"/>
        </w:rPr>
        <w:t>y</w:t>
      </w:r>
      <w:r>
        <w:rPr>
          <w:spacing w:val="-2"/>
          <w:sz w:val="20"/>
        </w:rPr>
        <w:t> </w:t>
      </w:r>
      <w:r>
        <w:rPr>
          <w:sz w:val="20"/>
        </w:rPr>
        <w:t>su</w:t>
      </w:r>
      <w:r>
        <w:rPr>
          <w:spacing w:val="-3"/>
          <w:sz w:val="20"/>
        </w:rPr>
        <w:t> </w:t>
      </w:r>
      <w:r>
        <w:rPr>
          <w:sz w:val="20"/>
        </w:rPr>
        <w:t>normativa</w:t>
      </w:r>
      <w:r>
        <w:rPr>
          <w:spacing w:val="-3"/>
          <w:sz w:val="20"/>
        </w:rPr>
        <w:t> </w:t>
      </w:r>
      <w:r>
        <w:rPr>
          <w:sz w:val="20"/>
        </w:rPr>
        <w:t>de</w:t>
      </w:r>
      <w:r>
        <w:rPr>
          <w:spacing w:val="-4"/>
          <w:sz w:val="20"/>
        </w:rPr>
        <w:t> </w:t>
      </w:r>
      <w:r>
        <w:rPr>
          <w:sz w:val="20"/>
        </w:rPr>
        <w:t>desarrollo,</w:t>
      </w:r>
      <w:r>
        <w:rPr>
          <w:spacing w:val="-4"/>
          <w:sz w:val="20"/>
        </w:rPr>
        <w:t> </w:t>
      </w:r>
      <w:r>
        <w:rPr>
          <w:sz w:val="20"/>
        </w:rPr>
        <w:t>deba</w:t>
      </w:r>
      <w:r>
        <w:rPr>
          <w:spacing w:val="-3"/>
          <w:sz w:val="20"/>
        </w:rPr>
        <w:t> </w:t>
      </w:r>
      <w:r>
        <w:rPr>
          <w:sz w:val="20"/>
        </w:rPr>
        <w:t>realizarse.</w:t>
      </w:r>
    </w:p>
    <w:p>
      <w:pPr>
        <w:pStyle w:val="ListParagraph"/>
        <w:numPr>
          <w:ilvl w:val="0"/>
          <w:numId w:val="368"/>
        </w:numPr>
        <w:tabs>
          <w:tab w:pos="2292" w:val="left" w:leader="none"/>
        </w:tabs>
        <w:spacing w:line="249" w:lineRule="auto" w:before="2" w:after="0"/>
        <w:ind w:left="1754" w:right="1273" w:firstLine="340"/>
        <w:jc w:val="both"/>
        <w:rPr>
          <w:sz w:val="20"/>
        </w:rPr>
      </w:pPr>
      <w:r>
        <w:rPr>
          <w:sz w:val="20"/>
        </w:rPr>
        <w:t>Adoptar las medidas preventivas y correctoras que sean necesarias a fin de garantizar que las entidades gestoras de fondos de pensiones se atengan a las normas reguladoras de su actividad que deben</w:t>
      </w:r>
      <w:r>
        <w:rPr>
          <w:spacing w:val="-8"/>
          <w:sz w:val="20"/>
        </w:rPr>
        <w:t> </w:t>
      </w:r>
      <w:r>
        <w:rPr>
          <w:sz w:val="20"/>
        </w:rPr>
        <w:t>cumplir.</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368"/>
        </w:numPr>
        <w:tabs>
          <w:tab w:pos="2349" w:val="left" w:leader="none"/>
        </w:tabs>
        <w:spacing w:line="249" w:lineRule="auto" w:before="127" w:after="0"/>
        <w:ind w:left="1754" w:right="1274" w:firstLine="340"/>
        <w:jc w:val="both"/>
        <w:rPr>
          <w:sz w:val="20"/>
        </w:rPr>
      </w:pPr>
      <w:r>
        <w:rPr>
          <w:sz w:val="20"/>
        </w:rPr>
        <w:t>Cuantas otras funciones sean necesarias para el ejercicio de la supervisión prudencial en el ámbito de los planes y fondos de</w:t>
      </w:r>
      <w:r>
        <w:rPr>
          <w:spacing w:val="-15"/>
          <w:sz w:val="20"/>
        </w:rPr>
        <w:t> </w:t>
      </w:r>
      <w:r>
        <w:rPr>
          <w:sz w:val="20"/>
        </w:rPr>
        <w:t>pensiones.</w:t>
      </w:r>
    </w:p>
    <w:p>
      <w:pPr>
        <w:pStyle w:val="ListParagraph"/>
        <w:numPr>
          <w:ilvl w:val="0"/>
          <w:numId w:val="370"/>
        </w:numPr>
        <w:tabs>
          <w:tab w:pos="2369" w:val="left" w:leader="none"/>
        </w:tabs>
        <w:spacing w:line="249" w:lineRule="auto" w:before="171" w:after="0"/>
        <w:ind w:left="1754" w:right="1273" w:firstLine="340"/>
        <w:jc w:val="both"/>
        <w:rPr>
          <w:sz w:val="20"/>
        </w:rPr>
      </w:pPr>
      <w:r>
        <w:rPr>
          <w:sz w:val="20"/>
        </w:rPr>
        <w:t>La Dirección General de Seguros y Fondos de Pensiones podrá exigir la subsanación de las carencias o deficiencias detectadas en el desarrollo de la supervisión.</w:t>
      </w:r>
    </w:p>
    <w:p>
      <w:pPr>
        <w:pStyle w:val="ListParagraph"/>
        <w:numPr>
          <w:ilvl w:val="0"/>
          <w:numId w:val="370"/>
        </w:numPr>
        <w:tabs>
          <w:tab w:pos="2425" w:val="left" w:leader="none"/>
        </w:tabs>
        <w:spacing w:line="249" w:lineRule="auto" w:before="3" w:after="0"/>
        <w:ind w:left="1754" w:right="1272" w:firstLine="340"/>
        <w:jc w:val="both"/>
        <w:rPr>
          <w:sz w:val="20"/>
        </w:rPr>
      </w:pPr>
      <w:r>
        <w:rPr>
          <w:sz w:val="20"/>
        </w:rPr>
        <w:t>Las actuaciones de supervisión se desarrollarán por los funcionarios pertenecientes al Cuerpo Superior de Inspectores de Seguros del Estado con la colaboración de funcionarios pertenecientes a los cuerpos técnicos de la Administración General del Estado, así como de funcionarios expertos</w:t>
      </w:r>
      <w:r>
        <w:rPr>
          <w:spacing w:val="-22"/>
          <w:sz w:val="20"/>
        </w:rPr>
        <w:t> </w:t>
      </w:r>
      <w:r>
        <w:rPr>
          <w:sz w:val="20"/>
        </w:rPr>
        <w:t>informáticos.</w:t>
      </w:r>
    </w:p>
    <w:p>
      <w:pPr>
        <w:pStyle w:val="ListParagraph"/>
        <w:numPr>
          <w:ilvl w:val="0"/>
          <w:numId w:val="370"/>
        </w:numPr>
        <w:tabs>
          <w:tab w:pos="2375" w:val="left" w:leader="none"/>
        </w:tabs>
        <w:spacing w:line="249" w:lineRule="auto" w:before="3" w:after="0"/>
        <w:ind w:left="1754" w:right="1271" w:firstLine="340"/>
        <w:jc w:val="both"/>
        <w:rPr>
          <w:sz w:val="20"/>
        </w:rPr>
      </w:pPr>
      <w:r>
        <w:rPr>
          <w:sz w:val="20"/>
        </w:rPr>
        <w:t>La Dirección General de Seguros y Fondos de Pensiones establecerá la frecuencia y el alcance mínimo de las revisiones previstas en el apartado 1.a) atendiendo al tamaño, la naturaleza, la escala y la complejidad de las actividades de los fondos de pensiones de que se</w:t>
      </w:r>
      <w:r>
        <w:rPr>
          <w:spacing w:val="-7"/>
          <w:sz w:val="20"/>
        </w:rPr>
        <w:t> </w:t>
      </w:r>
      <w:r>
        <w:rPr>
          <w:sz w:val="20"/>
        </w:rPr>
        <w:t>trate.</w:t>
      </w:r>
    </w:p>
    <w:p>
      <w:pPr>
        <w:pStyle w:val="ListParagraph"/>
        <w:numPr>
          <w:ilvl w:val="0"/>
          <w:numId w:val="370"/>
        </w:numPr>
        <w:tabs>
          <w:tab w:pos="2332" w:val="left" w:leader="none"/>
        </w:tabs>
        <w:spacing w:line="249" w:lineRule="auto" w:before="3" w:after="0"/>
        <w:ind w:left="1754" w:right="1273" w:firstLine="340"/>
        <w:jc w:val="both"/>
        <w:rPr>
          <w:sz w:val="20"/>
        </w:rPr>
      </w:pPr>
      <w:r>
        <w:rPr>
          <w:sz w:val="20"/>
        </w:rPr>
        <w:t>En defecto de normas especiales de procedimiento, será de aplicación la Ley 39/2015, de 1 de octubre, del Procedimiento Administrativo Común de las Administraciones Públicas.»</w:t>
      </w:r>
    </w:p>
    <w:p>
      <w:pPr>
        <w:pStyle w:val="BodyText"/>
        <w:spacing w:line="249" w:lineRule="auto" w:before="123"/>
        <w:ind w:right="1278"/>
        <w:jc w:val="left"/>
      </w:pPr>
      <w:r>
        <w:rPr/>
        <w:t>Nueve. Se introduce un nuevo artículo 24 quater en el capítulo VII con la siguiente redacción:</w:t>
      </w:r>
    </w:p>
    <w:p>
      <w:pPr>
        <w:pStyle w:val="BodyText"/>
        <w:spacing w:before="4"/>
        <w:ind w:left="0" w:firstLine="0"/>
        <w:jc w:val="left"/>
      </w:pPr>
    </w:p>
    <w:p>
      <w:pPr>
        <w:spacing w:before="0"/>
        <w:ind w:left="1754" w:right="0" w:firstLine="0"/>
        <w:jc w:val="both"/>
        <w:rPr>
          <w:i/>
          <w:sz w:val="20"/>
        </w:rPr>
      </w:pPr>
      <w:r>
        <w:rPr>
          <w:b/>
          <w:sz w:val="20"/>
        </w:rPr>
        <w:t>«Artículo 24 quater. </w:t>
      </w:r>
      <w:r>
        <w:rPr>
          <w:i/>
          <w:sz w:val="20"/>
        </w:rPr>
        <w:t>Secreto profesional e intercambio de información.</w:t>
      </w:r>
    </w:p>
    <w:p>
      <w:pPr>
        <w:pStyle w:val="ListParagraph"/>
        <w:numPr>
          <w:ilvl w:val="0"/>
          <w:numId w:val="371"/>
        </w:numPr>
        <w:tabs>
          <w:tab w:pos="2350" w:val="left" w:leader="none"/>
        </w:tabs>
        <w:spacing w:line="249" w:lineRule="auto" w:before="118" w:after="0"/>
        <w:ind w:left="1754" w:right="1271" w:firstLine="340"/>
        <w:jc w:val="both"/>
        <w:rPr>
          <w:sz w:val="20"/>
        </w:rPr>
      </w:pPr>
      <w:r>
        <w:rPr>
          <w:sz w:val="20"/>
        </w:rPr>
        <w:t>Los datos, documentos e información que obren en poder del Ministerio de Asuntos Económicos y Transformación Digital en el ejercicio de sus funciones en materia de planes y fondos de pensiones, salvo los contenidos propios de los registros administrativos de carácter público, tendrán carácter</w:t>
      </w:r>
      <w:r>
        <w:rPr>
          <w:spacing w:val="-9"/>
          <w:sz w:val="20"/>
        </w:rPr>
        <w:t> </w:t>
      </w:r>
      <w:r>
        <w:rPr>
          <w:sz w:val="20"/>
        </w:rPr>
        <w:t>reservado.</w:t>
      </w:r>
    </w:p>
    <w:p>
      <w:pPr>
        <w:pStyle w:val="BodyText"/>
        <w:spacing w:line="249" w:lineRule="auto" w:before="3"/>
        <w:ind w:left="1754" w:right="1273"/>
      </w:pPr>
      <w:r>
        <w:rPr/>
        <w:t>La información confidencial recibida a la que se refiere el párrafo anterior, solo podrá ser utilizada en el ejercicio de las funciones de ordenación, supervisión e intervención establecidas en esta ley, así como para publicar indicadores clave de rendimiento y comisiones de gestión y depósito para cada uno de los planes de pensiones que puedan ayudar a los partícipes y beneficiarios a la hora de adoptar decisiones financieras en relación con su pensión.</w:t>
      </w:r>
    </w:p>
    <w:p>
      <w:pPr>
        <w:pStyle w:val="ListParagraph"/>
        <w:numPr>
          <w:ilvl w:val="0"/>
          <w:numId w:val="371"/>
        </w:numPr>
        <w:tabs>
          <w:tab w:pos="2326" w:val="left" w:leader="none"/>
        </w:tabs>
        <w:spacing w:line="249" w:lineRule="auto" w:before="5" w:after="0"/>
        <w:ind w:left="1754" w:right="1272" w:firstLine="340"/>
        <w:jc w:val="both"/>
        <w:rPr>
          <w:sz w:val="20"/>
        </w:rPr>
      </w:pPr>
      <w:r>
        <w:rPr>
          <w:sz w:val="20"/>
        </w:rPr>
        <w:t>Todas las personas que ejerzan o hayan ejercido una actividad de ordenación y supervisión o intervención en materia de planes y fondos de pensiones, así como aquellas a quienes el Ministerio de Asuntos Económicos y Transformación Digital les haya encomendado funciones respecto de planes y fondos de pensiones o entidades y personas a las que se refiere el artículo 24.1, están sometidas al deber de secreto profesional en los mismos términos y con las mismas responsabilidades y excepciones establecidas en el capítulo V del título IV de la Ley 20/2015, de 14 de julio.</w:t>
      </w:r>
    </w:p>
    <w:p>
      <w:pPr>
        <w:pStyle w:val="ListParagraph"/>
        <w:numPr>
          <w:ilvl w:val="0"/>
          <w:numId w:val="371"/>
        </w:numPr>
        <w:tabs>
          <w:tab w:pos="2386" w:val="left" w:leader="none"/>
        </w:tabs>
        <w:spacing w:line="249" w:lineRule="auto" w:before="6" w:after="0"/>
        <w:ind w:left="1754" w:right="1273" w:firstLine="340"/>
        <w:jc w:val="both"/>
        <w:rPr>
          <w:sz w:val="20"/>
        </w:rPr>
      </w:pPr>
      <w:r>
        <w:rPr>
          <w:sz w:val="20"/>
        </w:rPr>
        <w:t>No obstante lo dispuesto en los apartados anteriores, las informaciones confidenciales podrán ser suministradas de conformidad con lo establecido en el artículo 128 de la Ley 20/2015, de 14 de julio, así como a las autoridades e instituciones siguientes, para el desempeño de sus funciones</w:t>
      </w:r>
      <w:r>
        <w:rPr>
          <w:spacing w:val="-13"/>
          <w:sz w:val="20"/>
        </w:rPr>
        <w:t> </w:t>
      </w:r>
      <w:r>
        <w:rPr>
          <w:sz w:val="20"/>
        </w:rPr>
        <w:t>respectivas:</w:t>
      </w:r>
    </w:p>
    <w:p>
      <w:pPr>
        <w:pStyle w:val="ListParagraph"/>
        <w:numPr>
          <w:ilvl w:val="0"/>
          <w:numId w:val="372"/>
        </w:numPr>
        <w:tabs>
          <w:tab w:pos="2363" w:val="left" w:leader="none"/>
        </w:tabs>
        <w:spacing w:line="249" w:lineRule="auto" w:before="174" w:after="0"/>
        <w:ind w:left="1754" w:right="1272" w:firstLine="340"/>
        <w:jc w:val="both"/>
        <w:rPr>
          <w:sz w:val="20"/>
        </w:rPr>
      </w:pPr>
      <w:r>
        <w:rPr>
          <w:sz w:val="20"/>
        </w:rPr>
        <w:t>Bancos centrales y otros organismos con una función similar, en tanto que autoridades</w:t>
      </w:r>
      <w:r>
        <w:rPr>
          <w:spacing w:val="-2"/>
          <w:sz w:val="20"/>
        </w:rPr>
        <w:t> </w:t>
      </w:r>
      <w:r>
        <w:rPr>
          <w:sz w:val="20"/>
        </w:rPr>
        <w:t>monetarias.</w:t>
      </w:r>
    </w:p>
    <w:p>
      <w:pPr>
        <w:pStyle w:val="ListParagraph"/>
        <w:numPr>
          <w:ilvl w:val="0"/>
          <w:numId w:val="372"/>
        </w:numPr>
        <w:tabs>
          <w:tab w:pos="2353" w:val="left" w:leader="none"/>
        </w:tabs>
        <w:spacing w:line="249" w:lineRule="auto" w:before="1" w:after="0"/>
        <w:ind w:left="1754" w:right="1274" w:firstLine="340"/>
        <w:jc w:val="both"/>
        <w:rPr>
          <w:sz w:val="20"/>
        </w:rPr>
      </w:pPr>
      <w:r>
        <w:rPr>
          <w:sz w:val="20"/>
        </w:rPr>
        <w:t>Otras autoridades públicas encargadas de la supervisión de los sistemas de pago, cuando</w:t>
      </w:r>
      <w:r>
        <w:rPr>
          <w:spacing w:val="-2"/>
          <w:sz w:val="20"/>
        </w:rPr>
        <w:t> </w:t>
      </w:r>
      <w:r>
        <w:rPr>
          <w:sz w:val="20"/>
        </w:rPr>
        <w:t>proceda.</w:t>
      </w:r>
    </w:p>
    <w:p>
      <w:pPr>
        <w:pStyle w:val="ListParagraph"/>
        <w:numPr>
          <w:ilvl w:val="0"/>
          <w:numId w:val="372"/>
        </w:numPr>
        <w:tabs>
          <w:tab w:pos="2347" w:val="left" w:leader="none"/>
        </w:tabs>
        <w:spacing w:line="249" w:lineRule="auto" w:before="2" w:after="0"/>
        <w:ind w:left="1754" w:right="1271" w:firstLine="340"/>
        <w:jc w:val="both"/>
        <w:rPr>
          <w:sz w:val="20"/>
        </w:rPr>
      </w:pPr>
      <w:r>
        <w:rPr>
          <w:sz w:val="20"/>
        </w:rPr>
        <w:t>La Junta Europea de Riesgo Sistémico, la Autoridad Europea de Seguros y Pensiones de Jubilación (AESPJ), la Autoridad Bancaria Europea y la Autoridad Europea de Mercados y</w:t>
      </w:r>
      <w:r>
        <w:rPr>
          <w:spacing w:val="-2"/>
          <w:sz w:val="20"/>
        </w:rPr>
        <w:t> </w:t>
      </w:r>
      <w:r>
        <w:rPr>
          <w:sz w:val="20"/>
        </w:rPr>
        <w:t>Valores.</w:t>
      </w:r>
    </w:p>
    <w:p>
      <w:pPr>
        <w:pStyle w:val="BodyText"/>
        <w:spacing w:line="249" w:lineRule="auto" w:before="173"/>
        <w:ind w:left="1754" w:right="1275"/>
      </w:pPr>
      <w:r>
        <w:rPr/>
        <w:t>Esta información estará sujeta al deber de secreto profesional previsto en el apartado 2.</w:t>
      </w:r>
    </w:p>
    <w:p>
      <w:pPr>
        <w:pStyle w:val="ListParagraph"/>
        <w:numPr>
          <w:ilvl w:val="0"/>
          <w:numId w:val="371"/>
        </w:numPr>
        <w:tabs>
          <w:tab w:pos="2345" w:val="left" w:leader="none"/>
        </w:tabs>
        <w:spacing w:line="249" w:lineRule="auto" w:before="1" w:after="0"/>
        <w:ind w:left="1754" w:right="1273" w:firstLine="340"/>
        <w:jc w:val="both"/>
        <w:rPr>
          <w:sz w:val="20"/>
        </w:rPr>
      </w:pPr>
      <w:r>
        <w:rPr>
          <w:sz w:val="20"/>
        </w:rPr>
        <w:t>Las informaciones confidenciales relativas a la supervisión prudencial de los fondos de pensiones podrán suministrarse a comisiones parlamentarias de investigación</w:t>
      </w:r>
      <w:r>
        <w:rPr>
          <w:spacing w:val="-5"/>
          <w:sz w:val="20"/>
        </w:rPr>
        <w:t> </w:t>
      </w:r>
      <w:r>
        <w:rPr>
          <w:sz w:val="20"/>
        </w:rPr>
        <w:t>o</w:t>
      </w:r>
      <w:r>
        <w:rPr>
          <w:spacing w:val="-4"/>
          <w:sz w:val="20"/>
        </w:rPr>
        <w:t> </w:t>
      </w:r>
      <w:r>
        <w:rPr>
          <w:sz w:val="20"/>
        </w:rPr>
        <w:t>a</w:t>
      </w:r>
      <w:r>
        <w:rPr>
          <w:spacing w:val="-4"/>
          <w:sz w:val="20"/>
        </w:rPr>
        <w:t> </w:t>
      </w:r>
      <w:r>
        <w:rPr>
          <w:sz w:val="20"/>
        </w:rPr>
        <w:t>cualquier</w:t>
      </w:r>
      <w:r>
        <w:rPr>
          <w:spacing w:val="-4"/>
          <w:sz w:val="20"/>
        </w:rPr>
        <w:t> </w:t>
      </w:r>
      <w:r>
        <w:rPr>
          <w:sz w:val="20"/>
        </w:rPr>
        <w:t>otro</w:t>
      </w:r>
      <w:r>
        <w:rPr>
          <w:spacing w:val="-4"/>
          <w:sz w:val="20"/>
        </w:rPr>
        <w:t> </w:t>
      </w:r>
      <w:r>
        <w:rPr>
          <w:sz w:val="20"/>
        </w:rPr>
        <w:t>organismo</w:t>
      </w:r>
      <w:r>
        <w:rPr>
          <w:spacing w:val="-4"/>
          <w:sz w:val="20"/>
        </w:rPr>
        <w:t> </w:t>
      </w:r>
      <w:r>
        <w:rPr>
          <w:sz w:val="20"/>
        </w:rPr>
        <w:t>o</w:t>
      </w:r>
      <w:r>
        <w:rPr>
          <w:spacing w:val="-4"/>
          <w:sz w:val="20"/>
        </w:rPr>
        <w:t> </w:t>
      </w:r>
      <w:r>
        <w:rPr>
          <w:sz w:val="20"/>
        </w:rPr>
        <w:t>institución</w:t>
      </w:r>
      <w:r>
        <w:rPr>
          <w:spacing w:val="-5"/>
          <w:sz w:val="20"/>
        </w:rPr>
        <w:t> </w:t>
      </w:r>
      <w:r>
        <w:rPr>
          <w:sz w:val="20"/>
        </w:rPr>
        <w:t>pública</w:t>
      </w:r>
      <w:r>
        <w:rPr>
          <w:spacing w:val="-4"/>
          <w:sz w:val="20"/>
        </w:rPr>
        <w:t> </w:t>
      </w:r>
      <w:r>
        <w:rPr>
          <w:sz w:val="20"/>
        </w:rPr>
        <w:t>que</w:t>
      </w:r>
      <w:r>
        <w:rPr>
          <w:spacing w:val="-4"/>
          <w:sz w:val="20"/>
        </w:rPr>
        <w:t> </w:t>
      </w:r>
      <w:r>
        <w:rPr>
          <w:sz w:val="20"/>
        </w:rPr>
        <w:t>su</w:t>
      </w:r>
      <w:r>
        <w:rPr>
          <w:spacing w:val="-3"/>
          <w:sz w:val="20"/>
        </w:rPr>
        <w:t> </w:t>
      </w:r>
      <w:r>
        <w:rPr>
          <w:sz w:val="20"/>
        </w:rPr>
        <w:t>Ley</w:t>
      </w:r>
      <w:r>
        <w:rPr>
          <w:spacing w:val="-5"/>
          <w:sz w:val="20"/>
        </w:rPr>
        <w:t> </w:t>
      </w:r>
      <w:r>
        <w:rPr>
          <w:sz w:val="20"/>
        </w:rPr>
        <w:t>reguladora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5" w:hanging="1"/>
      </w:pPr>
      <w:r>
        <w:rPr/>
        <w:t>le permita recabar información y otros organismos encargados de realizar investigaciones, siempre que concurran todas las condiciones siguientes:</w:t>
      </w:r>
    </w:p>
    <w:p>
      <w:pPr>
        <w:pStyle w:val="ListParagraph"/>
        <w:numPr>
          <w:ilvl w:val="0"/>
          <w:numId w:val="373"/>
        </w:numPr>
        <w:tabs>
          <w:tab w:pos="2399" w:val="left" w:leader="none"/>
        </w:tabs>
        <w:spacing w:line="249" w:lineRule="auto" w:before="171" w:after="0"/>
        <w:ind w:left="1754" w:right="1273" w:firstLine="340"/>
        <w:jc w:val="both"/>
        <w:rPr>
          <w:sz w:val="20"/>
        </w:rPr>
      </w:pPr>
      <w:r>
        <w:rPr>
          <w:sz w:val="20"/>
        </w:rPr>
        <w:t>Que dichos organismos tengan competencia, en virtud de la legislación nacional, para investigar o analizar las acciones de las autoridades responsables de la supervisión de los fondos de pensiones de empleo o de la legislación en materia de</w:t>
      </w:r>
      <w:r>
        <w:rPr>
          <w:spacing w:val="-1"/>
          <w:sz w:val="20"/>
        </w:rPr>
        <w:t> </w:t>
      </w:r>
      <w:r>
        <w:rPr>
          <w:sz w:val="20"/>
        </w:rPr>
        <w:t>supervisión.</w:t>
      </w:r>
    </w:p>
    <w:p>
      <w:pPr>
        <w:pStyle w:val="ListParagraph"/>
        <w:numPr>
          <w:ilvl w:val="0"/>
          <w:numId w:val="373"/>
        </w:numPr>
        <w:tabs>
          <w:tab w:pos="2405" w:val="left" w:leader="none"/>
        </w:tabs>
        <w:spacing w:line="249" w:lineRule="auto" w:before="4" w:after="0"/>
        <w:ind w:left="1754" w:right="1274" w:firstLine="340"/>
        <w:jc w:val="both"/>
        <w:rPr>
          <w:sz w:val="20"/>
        </w:rPr>
      </w:pPr>
      <w:r>
        <w:rPr>
          <w:sz w:val="20"/>
        </w:rPr>
        <w:t>Que la información sea estrictamente necesaria para el ejercicio de la competencia mencionada en la letra</w:t>
      </w:r>
      <w:r>
        <w:rPr>
          <w:spacing w:val="-4"/>
          <w:sz w:val="20"/>
        </w:rPr>
        <w:t> </w:t>
      </w:r>
      <w:r>
        <w:rPr>
          <w:sz w:val="20"/>
        </w:rPr>
        <w:t>a).</w:t>
      </w:r>
    </w:p>
    <w:p>
      <w:pPr>
        <w:pStyle w:val="ListParagraph"/>
        <w:numPr>
          <w:ilvl w:val="0"/>
          <w:numId w:val="373"/>
        </w:numPr>
        <w:tabs>
          <w:tab w:pos="2388" w:val="left" w:leader="none"/>
        </w:tabs>
        <w:spacing w:line="249" w:lineRule="auto" w:before="1" w:after="0"/>
        <w:ind w:left="1754" w:right="1274" w:firstLine="340"/>
        <w:jc w:val="both"/>
        <w:rPr>
          <w:sz w:val="20"/>
        </w:rPr>
      </w:pPr>
      <w:r>
        <w:rPr>
          <w:sz w:val="20"/>
        </w:rPr>
        <w:t>Que las personas que tengan acceso a la información estén sujetas a requisitos de secreto profesional equivalentes como mínimo a los establecidos en el apartado</w:t>
      </w:r>
      <w:r>
        <w:rPr>
          <w:spacing w:val="-2"/>
          <w:sz w:val="20"/>
        </w:rPr>
        <w:t> </w:t>
      </w:r>
      <w:r>
        <w:rPr>
          <w:sz w:val="20"/>
        </w:rPr>
        <w:t>2.</w:t>
      </w:r>
    </w:p>
    <w:p>
      <w:pPr>
        <w:pStyle w:val="ListParagraph"/>
        <w:numPr>
          <w:ilvl w:val="0"/>
          <w:numId w:val="373"/>
        </w:numPr>
        <w:tabs>
          <w:tab w:pos="2334" w:val="left" w:leader="none"/>
        </w:tabs>
        <w:spacing w:line="249" w:lineRule="auto" w:before="3" w:after="0"/>
        <w:ind w:left="1754" w:right="1273" w:firstLine="340"/>
        <w:jc w:val="both"/>
        <w:rPr>
          <w:sz w:val="20"/>
        </w:rPr>
      </w:pPr>
      <w:r>
        <w:rPr>
          <w:sz w:val="20"/>
        </w:rPr>
        <w:t>Que si la información tiene su origen en otro Estado miembro, esa información no sea revelada sin el consentimiento expreso de las autoridades competentes del país de origen y únicamente con la finalidad que dichas autoridades hayan autorizado.</w:t>
      </w:r>
    </w:p>
    <w:p>
      <w:pPr>
        <w:pStyle w:val="ListParagraph"/>
        <w:numPr>
          <w:ilvl w:val="0"/>
          <w:numId w:val="371"/>
        </w:numPr>
        <w:tabs>
          <w:tab w:pos="2388" w:val="left" w:leader="none"/>
        </w:tabs>
        <w:spacing w:line="249" w:lineRule="auto" w:before="173" w:after="0"/>
        <w:ind w:left="1754" w:right="1273" w:firstLine="340"/>
        <w:jc w:val="both"/>
        <w:rPr>
          <w:sz w:val="20"/>
        </w:rPr>
      </w:pPr>
      <w:r>
        <w:rPr>
          <w:sz w:val="20"/>
        </w:rPr>
        <w:t>Asimismo, con el fin de reforzar la estabilidad e integridad del sistema financiero, podrá intercambiarse información con las autoridades o los órganos encargados de detectar las infracciones del derecho de sociedades aplicable a las empresas promotoras y de investigar dichas infracciones, incluyendo el caso en que se recurra, por su competencia específica, a personas designadas a tal fin y que no pertenezcan a la función</w:t>
      </w:r>
      <w:r>
        <w:rPr>
          <w:spacing w:val="-4"/>
          <w:sz w:val="20"/>
        </w:rPr>
        <w:t> </w:t>
      </w:r>
      <w:r>
        <w:rPr>
          <w:sz w:val="20"/>
        </w:rPr>
        <w:t>pública.</w:t>
      </w:r>
    </w:p>
    <w:p>
      <w:pPr>
        <w:pStyle w:val="BodyText"/>
        <w:spacing w:line="249" w:lineRule="auto" w:before="5"/>
        <w:ind w:left="1754" w:right="1275" w:firstLine="339"/>
      </w:pPr>
      <w:r>
        <w:rPr/>
        <w:t>En los intercambios de información recogidos en el párrafo anterior, deben concurrir las siguientes condiciones:</w:t>
      </w:r>
    </w:p>
    <w:p>
      <w:pPr>
        <w:pStyle w:val="ListParagraph"/>
        <w:numPr>
          <w:ilvl w:val="0"/>
          <w:numId w:val="374"/>
        </w:numPr>
        <w:tabs>
          <w:tab w:pos="2356" w:val="left" w:leader="none"/>
        </w:tabs>
        <w:spacing w:line="249" w:lineRule="auto" w:before="172" w:after="0"/>
        <w:ind w:left="1754" w:right="1274" w:firstLine="340"/>
        <w:jc w:val="both"/>
        <w:rPr>
          <w:sz w:val="20"/>
        </w:rPr>
      </w:pPr>
      <w:r>
        <w:rPr>
          <w:sz w:val="20"/>
        </w:rPr>
        <w:t>Que la información se destine a la detección, investigación y análisis de las acciones de las autoridades responsables de la supervisión de los fondos de pensiones o de la legislación en materia de</w:t>
      </w:r>
      <w:r>
        <w:rPr>
          <w:spacing w:val="-11"/>
          <w:sz w:val="20"/>
        </w:rPr>
        <w:t> </w:t>
      </w:r>
      <w:r>
        <w:rPr>
          <w:sz w:val="20"/>
        </w:rPr>
        <w:t>supervisión.</w:t>
      </w:r>
    </w:p>
    <w:p>
      <w:pPr>
        <w:pStyle w:val="ListParagraph"/>
        <w:numPr>
          <w:ilvl w:val="0"/>
          <w:numId w:val="374"/>
        </w:numPr>
        <w:tabs>
          <w:tab w:pos="2346" w:val="left" w:leader="none"/>
        </w:tabs>
        <w:spacing w:line="249" w:lineRule="auto" w:before="2" w:after="0"/>
        <w:ind w:left="1754" w:right="1273" w:firstLine="340"/>
        <w:jc w:val="both"/>
        <w:rPr>
          <w:sz w:val="20"/>
        </w:rPr>
      </w:pPr>
      <w:r>
        <w:rPr>
          <w:sz w:val="20"/>
        </w:rPr>
        <w:t>Que la información recibida esté sujeta a la obligación de secreto profesional establecida en el apartado</w:t>
      </w:r>
      <w:r>
        <w:rPr>
          <w:spacing w:val="-5"/>
          <w:sz w:val="20"/>
        </w:rPr>
        <w:t> </w:t>
      </w:r>
      <w:r>
        <w:rPr>
          <w:sz w:val="20"/>
        </w:rPr>
        <w:t>1.</w:t>
      </w:r>
    </w:p>
    <w:p>
      <w:pPr>
        <w:pStyle w:val="ListParagraph"/>
        <w:numPr>
          <w:ilvl w:val="0"/>
          <w:numId w:val="374"/>
        </w:numPr>
        <w:tabs>
          <w:tab w:pos="2323" w:val="left" w:leader="none"/>
        </w:tabs>
        <w:spacing w:line="249" w:lineRule="auto" w:before="2" w:after="0"/>
        <w:ind w:left="1754" w:right="1273" w:firstLine="340"/>
        <w:jc w:val="both"/>
        <w:rPr>
          <w:sz w:val="20"/>
        </w:rPr>
      </w:pPr>
      <w:r>
        <w:rPr>
          <w:sz w:val="20"/>
        </w:rPr>
        <w:t>Que si la información tiene su origen en otro Estado miembro, esa información no sea revelada sin el consentimiento expreso de la autoridad competente de la que proceda y, en su caso, exclusivamente con la finalidad que esta autoridad haya autorizado.</w:t>
      </w:r>
    </w:p>
    <w:p>
      <w:pPr>
        <w:pStyle w:val="ListParagraph"/>
        <w:numPr>
          <w:ilvl w:val="0"/>
          <w:numId w:val="371"/>
        </w:numPr>
        <w:tabs>
          <w:tab w:pos="2364" w:val="left" w:leader="none"/>
        </w:tabs>
        <w:spacing w:line="249" w:lineRule="auto" w:before="173" w:after="0"/>
        <w:ind w:left="1754" w:right="1275" w:firstLine="340"/>
        <w:jc w:val="both"/>
        <w:rPr>
          <w:sz w:val="20"/>
        </w:rPr>
      </w:pPr>
      <w:r>
        <w:rPr>
          <w:sz w:val="20"/>
        </w:rPr>
        <w:t>El deber de secreto profesional a que se refieren los apartados 2 y 5 se entiende sin perjuicio del impuesto por la normativa vigente en materia de protección de datos de carácter</w:t>
      </w:r>
      <w:r>
        <w:rPr>
          <w:spacing w:val="-4"/>
          <w:sz w:val="20"/>
        </w:rPr>
        <w:t> </w:t>
      </w:r>
      <w:r>
        <w:rPr>
          <w:sz w:val="20"/>
        </w:rPr>
        <w:t>personal.»</w:t>
      </w:r>
    </w:p>
    <w:p>
      <w:pPr>
        <w:pStyle w:val="BodyText"/>
        <w:spacing w:before="123"/>
        <w:ind w:left="1414" w:firstLine="0"/>
        <w:jc w:val="left"/>
      </w:pPr>
      <w:r>
        <w:rPr/>
        <w:t>Diez. El título del capítulo VIII queda redactado como sigue:</w:t>
      </w:r>
    </w:p>
    <w:p>
      <w:pPr>
        <w:pStyle w:val="BodyText"/>
        <w:spacing w:before="10"/>
        <w:ind w:left="0" w:firstLine="0"/>
        <w:jc w:val="left"/>
        <w:rPr>
          <w:sz w:val="30"/>
        </w:rPr>
      </w:pPr>
    </w:p>
    <w:p>
      <w:pPr>
        <w:pStyle w:val="BodyText"/>
        <w:spacing w:before="1"/>
        <w:ind w:left="2929" w:right="3127" w:firstLine="0"/>
        <w:jc w:val="center"/>
      </w:pPr>
      <w:r>
        <w:rPr/>
        <w:t>«CAPÍTULO VIII</w:t>
      </w:r>
    </w:p>
    <w:p>
      <w:pPr>
        <w:pStyle w:val="Heading1"/>
        <w:ind w:left="2930"/>
      </w:pPr>
      <w:r>
        <w:rPr/>
        <w:t>Sistema de gobierno»</w:t>
      </w:r>
    </w:p>
    <w:p>
      <w:pPr>
        <w:pStyle w:val="BodyText"/>
        <w:spacing w:before="124"/>
        <w:ind w:left="1414" w:firstLine="0"/>
        <w:jc w:val="left"/>
      </w:pPr>
      <w:r>
        <w:rPr/>
        <w:t>Once. El artículo 27 queda redactado como sigue:</w:t>
      </w:r>
    </w:p>
    <w:p>
      <w:pPr>
        <w:pStyle w:val="BodyText"/>
        <w:spacing w:before="1"/>
        <w:ind w:left="0" w:firstLine="0"/>
        <w:jc w:val="left"/>
        <w:rPr>
          <w:sz w:val="21"/>
        </w:rPr>
      </w:pPr>
    </w:p>
    <w:p>
      <w:pPr>
        <w:spacing w:before="0"/>
        <w:ind w:left="1754" w:right="0" w:firstLine="0"/>
        <w:jc w:val="both"/>
        <w:rPr>
          <w:i/>
          <w:sz w:val="20"/>
        </w:rPr>
      </w:pPr>
      <w:r>
        <w:rPr>
          <w:b/>
          <w:sz w:val="20"/>
        </w:rPr>
        <w:t>«Artículo 27. </w:t>
      </w:r>
      <w:r>
        <w:rPr>
          <w:i/>
          <w:sz w:val="20"/>
        </w:rPr>
        <w:t>Requisitos generales.</w:t>
      </w:r>
    </w:p>
    <w:p>
      <w:pPr>
        <w:pStyle w:val="ListParagraph"/>
        <w:numPr>
          <w:ilvl w:val="0"/>
          <w:numId w:val="375"/>
        </w:numPr>
        <w:tabs>
          <w:tab w:pos="2327" w:val="left" w:leader="none"/>
        </w:tabs>
        <w:spacing w:line="249" w:lineRule="auto" w:before="118" w:after="0"/>
        <w:ind w:left="1754" w:right="1273" w:firstLine="340"/>
        <w:jc w:val="both"/>
        <w:rPr>
          <w:sz w:val="20"/>
        </w:rPr>
      </w:pPr>
      <w:r>
        <w:rPr>
          <w:sz w:val="20"/>
        </w:rPr>
        <w:t>Las entidades gestoras de fondos de pensiones y, en su caso, las comisiones de control, deberán disponer de un sistema eficaz de gobierno que garantice una gestión adecuada y prudente de las actividades de la entidad y de los fondos gestionados.</w:t>
      </w:r>
    </w:p>
    <w:p>
      <w:pPr>
        <w:pStyle w:val="BodyText"/>
        <w:spacing w:line="249" w:lineRule="auto" w:before="3"/>
        <w:ind w:left="1754" w:right="1273"/>
      </w:pPr>
      <w:r>
        <w:rPr/>
        <w:t>El citado sistema comprenderá políticas escritas de gobierno corporativo que incluirán, entre otras, una estructura organizativa apropiada y transparente, con una clara distribución y una adecuada separación de funciones, y un sistema eficaz para garantizar la transmisión de la información, así como políticas y prácticas de remuneración adecuadas a las características de las entidades y estará sujeto a una revisión periódica.</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3"/>
      </w:pPr>
      <w:r>
        <w:rPr/>
        <w:t>El sistema de gobierno incluirá la consideración de los factores ambientales, sociales y de gobierno en las decisiones de inversión de los fondos de pensiones, de acuerdo con lo previsto en la declaración de los principios de la política de inversión.</w:t>
      </w:r>
    </w:p>
    <w:p>
      <w:pPr>
        <w:pStyle w:val="ListParagraph"/>
        <w:numPr>
          <w:ilvl w:val="0"/>
          <w:numId w:val="375"/>
        </w:numPr>
        <w:tabs>
          <w:tab w:pos="2343" w:val="left" w:leader="none"/>
        </w:tabs>
        <w:spacing w:line="249" w:lineRule="auto" w:before="2" w:after="0"/>
        <w:ind w:left="1754" w:right="1274" w:firstLine="340"/>
        <w:jc w:val="both"/>
        <w:rPr>
          <w:sz w:val="20"/>
        </w:rPr>
      </w:pPr>
      <w:r>
        <w:rPr>
          <w:sz w:val="20"/>
        </w:rPr>
        <w:t>El sistema de gobierno guardará proporción con el tamaño, la naturaleza, la escala y la complejidad de las actividades de la entidad y de los fondos de pensiones gestionados.</w:t>
      </w:r>
    </w:p>
    <w:p>
      <w:pPr>
        <w:pStyle w:val="ListParagraph"/>
        <w:numPr>
          <w:ilvl w:val="0"/>
          <w:numId w:val="375"/>
        </w:numPr>
        <w:tabs>
          <w:tab w:pos="2325" w:val="left" w:leader="none"/>
        </w:tabs>
        <w:spacing w:line="249" w:lineRule="auto" w:before="3" w:after="0"/>
        <w:ind w:left="1754" w:right="1272" w:firstLine="340"/>
        <w:jc w:val="both"/>
        <w:rPr>
          <w:sz w:val="20"/>
        </w:rPr>
      </w:pPr>
      <w:r>
        <w:rPr>
          <w:sz w:val="20"/>
        </w:rPr>
        <w:t>Con carácter general, las entidades gestoras de fondos de pensiones deberán establecer y aplicar políticas escritas en relación con la gestión de riesgos y la auditoría interna y, en su caso, con las actividades actuariales que realice la entidad y las actividades externalizadas. Dichas políticas escritas estarán sujetas a la aprobación previa del órgano de administración, se revisarán al menos cada tres años y se adaptarán en función de cualquier modificación significativa del sistema o ámbito</w:t>
      </w:r>
      <w:r>
        <w:rPr>
          <w:spacing w:val="-2"/>
          <w:sz w:val="20"/>
        </w:rPr>
        <w:t> </w:t>
      </w:r>
      <w:r>
        <w:rPr>
          <w:sz w:val="20"/>
        </w:rPr>
        <w:t>correspondiente.</w:t>
      </w:r>
    </w:p>
    <w:p>
      <w:pPr>
        <w:pStyle w:val="ListParagraph"/>
        <w:numPr>
          <w:ilvl w:val="0"/>
          <w:numId w:val="375"/>
        </w:numPr>
        <w:tabs>
          <w:tab w:pos="2404" w:val="left" w:leader="none"/>
        </w:tabs>
        <w:spacing w:line="249" w:lineRule="auto" w:before="5" w:after="0"/>
        <w:ind w:left="1754" w:right="1273" w:firstLine="340"/>
        <w:jc w:val="both"/>
        <w:rPr>
          <w:sz w:val="20"/>
        </w:rPr>
      </w:pPr>
      <w:r>
        <w:rPr>
          <w:sz w:val="20"/>
        </w:rPr>
        <w:t>Las entidades gestoras de fondos de pensiones deberán establecer y documentar un sistema eficaz de control interno. Dicho sistema constará de procedimientos administrativos y contables, de un marco de control interno, y de mecanismos adecuados de información a todos los niveles de la entidad y de los fondos de pensiones gestionados, e incluirá una verificación del</w:t>
      </w:r>
      <w:r>
        <w:rPr>
          <w:spacing w:val="-20"/>
          <w:sz w:val="20"/>
        </w:rPr>
        <w:t> </w:t>
      </w:r>
      <w:r>
        <w:rPr>
          <w:sz w:val="20"/>
        </w:rPr>
        <w:t>cumplimiento.</w:t>
      </w:r>
    </w:p>
    <w:p>
      <w:pPr>
        <w:pStyle w:val="BodyText"/>
        <w:spacing w:line="249" w:lineRule="auto" w:before="4"/>
        <w:ind w:left="1754" w:right="1274"/>
      </w:pPr>
      <w:r>
        <w:rPr/>
        <w:t>La verificación del cumplimiento comprenderá el asesoramiento al órgano de administración acerca del cumplimiento de las disposiciones legales, reglamentarias y administrativas que afecten a la entidad y a los fondos de pensiones gestionados, así como acerca del cumplimiento de su normativa interna. Comportará asimismo la evaluación del impacto de cualquier modificación del entorno legal en las operaciones de la entidad y de los fondos de pensiones gestionados y la determinación y evaluación del riesgo de</w:t>
      </w:r>
      <w:r>
        <w:rPr>
          <w:spacing w:val="-7"/>
        </w:rPr>
        <w:t> </w:t>
      </w:r>
      <w:r>
        <w:rPr/>
        <w:t>cumplimiento.</w:t>
      </w:r>
    </w:p>
    <w:p>
      <w:pPr>
        <w:pStyle w:val="ListParagraph"/>
        <w:numPr>
          <w:ilvl w:val="0"/>
          <w:numId w:val="375"/>
        </w:numPr>
        <w:tabs>
          <w:tab w:pos="2363" w:val="left" w:leader="none"/>
        </w:tabs>
        <w:spacing w:line="249" w:lineRule="auto" w:before="6" w:after="0"/>
        <w:ind w:left="1754" w:right="1273" w:firstLine="340"/>
        <w:jc w:val="both"/>
        <w:rPr>
          <w:sz w:val="20"/>
        </w:rPr>
      </w:pPr>
      <w:r>
        <w:rPr>
          <w:sz w:val="20"/>
        </w:rPr>
        <w:t>Las entidades gestoras de fondos de pensiones deberán adoptar medidas razonables para garantizar la continuidad y la regularidad en la ejecución de sus actividades, incluida la elaboración de planes de emergencia. A tal fin, emplearán sistemas, recursos y procedimientos adecuados y</w:t>
      </w:r>
      <w:r>
        <w:rPr>
          <w:spacing w:val="-8"/>
          <w:sz w:val="20"/>
        </w:rPr>
        <w:t> </w:t>
      </w:r>
      <w:r>
        <w:rPr>
          <w:sz w:val="20"/>
        </w:rPr>
        <w:t>proporcionados.</w:t>
      </w:r>
    </w:p>
    <w:p>
      <w:pPr>
        <w:pStyle w:val="ListParagraph"/>
        <w:numPr>
          <w:ilvl w:val="0"/>
          <w:numId w:val="375"/>
        </w:numPr>
        <w:tabs>
          <w:tab w:pos="2327" w:val="left" w:leader="none"/>
        </w:tabs>
        <w:spacing w:line="249" w:lineRule="auto" w:before="3" w:after="0"/>
        <w:ind w:left="1754" w:right="1273" w:firstLine="340"/>
        <w:jc w:val="both"/>
        <w:rPr>
          <w:sz w:val="20"/>
        </w:rPr>
      </w:pPr>
      <w:r>
        <w:rPr>
          <w:sz w:val="20"/>
        </w:rPr>
        <w:t>Las entidades gestoras de fondos de pensiones y, en su caso, las comisiones de control, deberán contar al menos con tres personas que las dirijan de manera efectiva. Las entidades deberán contar con un consejo de administración, formado por no menos de tres miembros, que será responsable último del sistema de gobierno.»</w:t>
      </w:r>
    </w:p>
    <w:p>
      <w:pPr>
        <w:pStyle w:val="BodyText"/>
        <w:spacing w:before="124"/>
        <w:ind w:left="1414" w:firstLine="0"/>
        <w:jc w:val="left"/>
      </w:pPr>
      <w:r>
        <w:rPr/>
        <w:t>Doce. El artículo 28 queda redactado como sigue:</w:t>
      </w:r>
    </w:p>
    <w:p>
      <w:pPr>
        <w:pStyle w:val="BodyText"/>
        <w:spacing w:before="1"/>
        <w:ind w:left="0" w:firstLine="0"/>
        <w:jc w:val="left"/>
        <w:rPr>
          <w:sz w:val="21"/>
        </w:rPr>
      </w:pPr>
    </w:p>
    <w:p>
      <w:pPr>
        <w:spacing w:before="1"/>
        <w:ind w:left="1754" w:right="0" w:firstLine="0"/>
        <w:jc w:val="both"/>
        <w:rPr>
          <w:i/>
          <w:sz w:val="20"/>
        </w:rPr>
      </w:pPr>
      <w:r>
        <w:rPr>
          <w:b/>
          <w:sz w:val="20"/>
        </w:rPr>
        <w:t>«Artículo 28. </w:t>
      </w:r>
      <w:r>
        <w:rPr>
          <w:i/>
          <w:sz w:val="20"/>
        </w:rPr>
        <w:t>Aptitud y honorabilidad.</w:t>
      </w:r>
    </w:p>
    <w:p>
      <w:pPr>
        <w:pStyle w:val="BodyText"/>
        <w:spacing w:line="249" w:lineRule="auto" w:before="117"/>
        <w:ind w:left="1754" w:right="1273"/>
      </w:pPr>
      <w:r>
        <w:rPr/>
        <w:t>1. Las personas que dirijan de manera efectiva las entidades gestoras de los fondos de pensiones, aquellas que desempeñen funciones clave previstas en esta Ley y, en su caso, las personas o entidades a quienes se haya externalizado alguna de las funciones clave, deberán cumplir los siguientes requisitos en el desempeño de su cometido:</w:t>
      </w:r>
    </w:p>
    <w:p>
      <w:pPr>
        <w:pStyle w:val="ListParagraph"/>
        <w:numPr>
          <w:ilvl w:val="0"/>
          <w:numId w:val="376"/>
        </w:numPr>
        <w:tabs>
          <w:tab w:pos="2329" w:val="left" w:leader="none"/>
        </w:tabs>
        <w:spacing w:line="240" w:lineRule="auto" w:before="174" w:after="0"/>
        <w:ind w:left="2328" w:right="0" w:hanging="235"/>
        <w:jc w:val="left"/>
        <w:rPr>
          <w:sz w:val="20"/>
        </w:rPr>
      </w:pPr>
      <w:r>
        <w:rPr>
          <w:sz w:val="20"/>
        </w:rPr>
        <w:t>Requisito de</w:t>
      </w:r>
      <w:r>
        <w:rPr>
          <w:spacing w:val="-3"/>
          <w:sz w:val="20"/>
        </w:rPr>
        <w:t> </w:t>
      </w:r>
      <w:r>
        <w:rPr>
          <w:sz w:val="20"/>
        </w:rPr>
        <w:t>aptitud:</w:t>
      </w:r>
    </w:p>
    <w:p>
      <w:pPr>
        <w:pStyle w:val="ListParagraph"/>
        <w:numPr>
          <w:ilvl w:val="0"/>
          <w:numId w:val="377"/>
        </w:numPr>
        <w:tabs>
          <w:tab w:pos="2263" w:val="left" w:leader="none"/>
        </w:tabs>
        <w:spacing w:line="249" w:lineRule="auto" w:before="180" w:after="0"/>
        <w:ind w:left="1754" w:right="1272" w:firstLine="340"/>
        <w:jc w:val="both"/>
        <w:rPr>
          <w:sz w:val="20"/>
        </w:rPr>
      </w:pPr>
      <w:r>
        <w:rPr>
          <w:sz w:val="20"/>
        </w:rPr>
        <w:t>º En el caso de las personas que dirijan de manera efectiva la entidad, sus cualificaciones, sus competencias y su experiencia serán idóneas colectivamente para</w:t>
      </w:r>
      <w:r>
        <w:rPr>
          <w:spacing w:val="-5"/>
          <w:sz w:val="20"/>
        </w:rPr>
        <w:t> </w:t>
      </w:r>
      <w:r>
        <w:rPr>
          <w:sz w:val="20"/>
        </w:rPr>
        <w:t>poder</w:t>
      </w:r>
      <w:r>
        <w:rPr>
          <w:spacing w:val="-4"/>
          <w:sz w:val="20"/>
        </w:rPr>
        <w:t> </w:t>
      </w:r>
      <w:r>
        <w:rPr>
          <w:sz w:val="20"/>
        </w:rPr>
        <w:t>garantizar</w:t>
      </w:r>
      <w:r>
        <w:rPr>
          <w:spacing w:val="-5"/>
          <w:sz w:val="20"/>
        </w:rPr>
        <w:t> </w:t>
      </w:r>
      <w:r>
        <w:rPr>
          <w:sz w:val="20"/>
        </w:rPr>
        <w:t>una</w:t>
      </w:r>
      <w:r>
        <w:rPr>
          <w:spacing w:val="-4"/>
          <w:sz w:val="20"/>
        </w:rPr>
        <w:t> </w:t>
      </w:r>
      <w:r>
        <w:rPr>
          <w:sz w:val="20"/>
        </w:rPr>
        <w:t>gestión</w:t>
      </w:r>
      <w:r>
        <w:rPr>
          <w:spacing w:val="-4"/>
          <w:sz w:val="20"/>
        </w:rPr>
        <w:t> </w:t>
      </w:r>
      <w:r>
        <w:rPr>
          <w:sz w:val="20"/>
        </w:rPr>
        <w:t>adecuada</w:t>
      </w:r>
      <w:r>
        <w:rPr>
          <w:spacing w:val="-5"/>
          <w:sz w:val="20"/>
        </w:rPr>
        <w:t> </w:t>
      </w:r>
      <w:r>
        <w:rPr>
          <w:sz w:val="20"/>
        </w:rPr>
        <w:t>y</w:t>
      </w:r>
      <w:r>
        <w:rPr>
          <w:spacing w:val="-3"/>
          <w:sz w:val="20"/>
        </w:rPr>
        <w:t> </w:t>
      </w:r>
      <w:r>
        <w:rPr>
          <w:sz w:val="20"/>
        </w:rPr>
        <w:t>prudente</w:t>
      </w:r>
      <w:r>
        <w:rPr>
          <w:spacing w:val="-5"/>
          <w:sz w:val="20"/>
        </w:rPr>
        <w:t> </w:t>
      </w:r>
      <w:r>
        <w:rPr>
          <w:sz w:val="20"/>
        </w:rPr>
        <w:t>de</w:t>
      </w:r>
      <w:r>
        <w:rPr>
          <w:spacing w:val="-4"/>
          <w:sz w:val="20"/>
        </w:rPr>
        <w:t> </w:t>
      </w:r>
      <w:r>
        <w:rPr>
          <w:sz w:val="20"/>
        </w:rPr>
        <w:t>los</w:t>
      </w:r>
      <w:r>
        <w:rPr>
          <w:spacing w:val="-4"/>
          <w:sz w:val="20"/>
        </w:rPr>
        <w:t> </w:t>
      </w:r>
      <w:r>
        <w:rPr>
          <w:sz w:val="20"/>
        </w:rPr>
        <w:t>fondos</w:t>
      </w:r>
      <w:r>
        <w:rPr>
          <w:spacing w:val="-4"/>
          <w:sz w:val="20"/>
        </w:rPr>
        <w:t> </w:t>
      </w:r>
      <w:r>
        <w:rPr>
          <w:sz w:val="20"/>
        </w:rPr>
        <w:t>de</w:t>
      </w:r>
      <w:r>
        <w:rPr>
          <w:spacing w:val="-4"/>
          <w:sz w:val="20"/>
        </w:rPr>
        <w:t> </w:t>
      </w:r>
      <w:r>
        <w:rPr>
          <w:sz w:val="20"/>
        </w:rPr>
        <w:t>pensiones.</w:t>
      </w:r>
    </w:p>
    <w:p>
      <w:pPr>
        <w:pStyle w:val="ListParagraph"/>
        <w:numPr>
          <w:ilvl w:val="0"/>
          <w:numId w:val="377"/>
        </w:numPr>
        <w:tabs>
          <w:tab w:pos="2263" w:val="left" w:leader="none"/>
        </w:tabs>
        <w:spacing w:line="249" w:lineRule="auto" w:before="3" w:after="0"/>
        <w:ind w:left="1754" w:right="1272" w:firstLine="340"/>
        <w:jc w:val="both"/>
        <w:rPr>
          <w:sz w:val="20"/>
        </w:rPr>
      </w:pPr>
      <w:r>
        <w:rPr>
          <w:sz w:val="20"/>
        </w:rPr>
        <w:t>º En el caso de las personas que realicen funciones clave, sus cualificaciones profesionales, sus conocimientos y su experiencia serán idóneas para desempeñar correctamente sus funciones clave.</w:t>
      </w:r>
    </w:p>
    <w:p>
      <w:pPr>
        <w:pStyle w:val="ListParagraph"/>
        <w:numPr>
          <w:ilvl w:val="0"/>
          <w:numId w:val="376"/>
        </w:numPr>
        <w:tabs>
          <w:tab w:pos="2406" w:val="left" w:leader="none"/>
        </w:tabs>
        <w:spacing w:line="249" w:lineRule="auto" w:before="172" w:after="0"/>
        <w:ind w:left="1754" w:right="1274" w:firstLine="340"/>
        <w:jc w:val="both"/>
        <w:rPr>
          <w:sz w:val="20"/>
        </w:rPr>
      </w:pPr>
      <w:r>
        <w:rPr>
          <w:sz w:val="20"/>
        </w:rPr>
        <w:t>Requisito de honorabilidad: deberán ser personas íntegras y de buena reputación.</w:t>
      </w:r>
    </w:p>
    <w:p>
      <w:pPr>
        <w:pStyle w:val="ListParagraph"/>
        <w:numPr>
          <w:ilvl w:val="0"/>
          <w:numId w:val="378"/>
        </w:numPr>
        <w:tabs>
          <w:tab w:pos="2382" w:val="left" w:leader="none"/>
        </w:tabs>
        <w:spacing w:line="249" w:lineRule="auto" w:before="172" w:after="0"/>
        <w:ind w:left="1754" w:right="1276" w:firstLine="340"/>
        <w:jc w:val="both"/>
        <w:rPr>
          <w:sz w:val="20"/>
        </w:rPr>
      </w:pPr>
      <w:r>
        <w:rPr>
          <w:sz w:val="20"/>
        </w:rPr>
        <w:t>A los efectos de lo establecido en esta Ley y en sus disposiciones de desarrollo,</w:t>
      </w:r>
      <w:r>
        <w:rPr>
          <w:spacing w:val="7"/>
          <w:sz w:val="20"/>
        </w:rPr>
        <w:t> </w:t>
      </w:r>
      <w:r>
        <w:rPr>
          <w:sz w:val="20"/>
        </w:rPr>
        <w:t>se</w:t>
      </w:r>
      <w:r>
        <w:rPr>
          <w:spacing w:val="7"/>
          <w:sz w:val="20"/>
        </w:rPr>
        <w:t> </w:t>
      </w:r>
      <w:r>
        <w:rPr>
          <w:sz w:val="20"/>
        </w:rPr>
        <w:t>entenderá</w:t>
      </w:r>
      <w:r>
        <w:rPr>
          <w:spacing w:val="8"/>
          <w:sz w:val="20"/>
        </w:rPr>
        <w:t> </w:t>
      </w:r>
      <w:r>
        <w:rPr>
          <w:sz w:val="20"/>
        </w:rPr>
        <w:t>que</w:t>
      </w:r>
      <w:r>
        <w:rPr>
          <w:spacing w:val="7"/>
          <w:sz w:val="20"/>
        </w:rPr>
        <w:t> </w:t>
      </w:r>
      <w:r>
        <w:rPr>
          <w:sz w:val="20"/>
        </w:rPr>
        <w:t>ejercen</w:t>
      </w:r>
      <w:r>
        <w:rPr>
          <w:spacing w:val="8"/>
          <w:sz w:val="20"/>
        </w:rPr>
        <w:t> </w:t>
      </w:r>
      <w:r>
        <w:rPr>
          <w:sz w:val="20"/>
        </w:rPr>
        <w:t>la</w:t>
      </w:r>
      <w:r>
        <w:rPr>
          <w:spacing w:val="7"/>
          <w:sz w:val="20"/>
        </w:rPr>
        <w:t> </w:t>
      </w:r>
      <w:r>
        <w:rPr>
          <w:sz w:val="20"/>
        </w:rPr>
        <w:t>dirección</w:t>
      </w:r>
      <w:r>
        <w:rPr>
          <w:spacing w:val="8"/>
          <w:sz w:val="20"/>
        </w:rPr>
        <w:t> </w:t>
      </w:r>
      <w:r>
        <w:rPr>
          <w:sz w:val="20"/>
        </w:rPr>
        <w:t>efectiva</w:t>
      </w:r>
      <w:r>
        <w:rPr>
          <w:spacing w:val="7"/>
          <w:sz w:val="20"/>
        </w:rPr>
        <w:t> </w:t>
      </w:r>
      <w:r>
        <w:rPr>
          <w:sz w:val="20"/>
        </w:rPr>
        <w:t>de</w:t>
      </w:r>
      <w:r>
        <w:rPr>
          <w:spacing w:val="8"/>
          <w:sz w:val="20"/>
        </w:rPr>
        <w:t> </w:t>
      </w:r>
      <w:r>
        <w:rPr>
          <w:sz w:val="20"/>
        </w:rPr>
        <w:t>una</w:t>
      </w:r>
      <w:r>
        <w:rPr>
          <w:spacing w:val="7"/>
          <w:sz w:val="20"/>
        </w:rPr>
        <w:t> </w:t>
      </w:r>
      <w:r>
        <w:rPr>
          <w:sz w:val="20"/>
        </w:rPr>
        <w:t>entidad</w:t>
      </w:r>
      <w:r>
        <w:rPr>
          <w:spacing w:val="7"/>
          <w:sz w:val="20"/>
        </w:rPr>
        <w:t> </w:t>
      </w:r>
      <w:r>
        <w:rPr>
          <w:sz w:val="20"/>
        </w:rPr>
        <w:t>gestora</w:t>
      </w:r>
      <w:r>
        <w:rPr>
          <w:spacing w:val="8"/>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3" w:hanging="1"/>
      </w:pPr>
      <w:r>
        <w:rPr/>
        <w:t>fondos de pensiones quienes ostenten cargos de administración o dirección, considerándose como tales:</w:t>
      </w:r>
    </w:p>
    <w:p>
      <w:pPr>
        <w:pStyle w:val="ListParagraph"/>
        <w:numPr>
          <w:ilvl w:val="0"/>
          <w:numId w:val="379"/>
        </w:numPr>
        <w:tabs>
          <w:tab w:pos="2440" w:val="left" w:leader="none"/>
        </w:tabs>
        <w:spacing w:line="249" w:lineRule="auto" w:before="172" w:after="0"/>
        <w:ind w:left="1754" w:right="1272" w:firstLine="340"/>
        <w:jc w:val="both"/>
        <w:rPr>
          <w:sz w:val="20"/>
        </w:rPr>
      </w:pPr>
      <w:r>
        <w:rPr>
          <w:sz w:val="20"/>
        </w:rPr>
        <w:t>Los miembros de los órganos colegiados de administración. Podrán desempeñar cargos de administración las personas jurídicas, si bien, en este caso, deberán designar en su representación a una persona física que reúna igualmente los requisitos anteriormente</w:t>
      </w:r>
      <w:r>
        <w:rPr>
          <w:spacing w:val="-3"/>
          <w:sz w:val="20"/>
        </w:rPr>
        <w:t> </w:t>
      </w:r>
      <w:r>
        <w:rPr>
          <w:sz w:val="20"/>
        </w:rPr>
        <w:t>citados.</w:t>
      </w:r>
    </w:p>
    <w:p>
      <w:pPr>
        <w:pStyle w:val="ListParagraph"/>
        <w:numPr>
          <w:ilvl w:val="0"/>
          <w:numId w:val="379"/>
        </w:numPr>
        <w:tabs>
          <w:tab w:pos="2358" w:val="left" w:leader="none"/>
        </w:tabs>
        <w:spacing w:line="249" w:lineRule="auto" w:before="3" w:after="0"/>
        <w:ind w:left="1754" w:right="1273" w:firstLine="340"/>
        <w:jc w:val="both"/>
        <w:rPr>
          <w:sz w:val="20"/>
        </w:rPr>
      </w:pPr>
      <w:r>
        <w:rPr>
          <w:sz w:val="20"/>
        </w:rPr>
        <w:t>Los directores generales y asimilados, entendiendo por tales todas aquellas personas que ejerzan en la entidad la alta dirección bajo la dependencia directa de su órgano de administración, de comisiones ejecutivas o de consejeros delegados de aquel.</w:t>
      </w:r>
    </w:p>
    <w:p>
      <w:pPr>
        <w:pStyle w:val="ListParagraph"/>
        <w:numPr>
          <w:ilvl w:val="0"/>
          <w:numId w:val="378"/>
        </w:numPr>
        <w:tabs>
          <w:tab w:pos="2346" w:val="left" w:leader="none"/>
        </w:tabs>
        <w:spacing w:line="249" w:lineRule="auto" w:before="174" w:after="0"/>
        <w:ind w:left="1754" w:right="1271" w:firstLine="340"/>
        <w:jc w:val="both"/>
        <w:rPr>
          <w:sz w:val="20"/>
        </w:rPr>
      </w:pPr>
      <w:r>
        <w:rPr>
          <w:sz w:val="20"/>
        </w:rPr>
        <w:t>Las entidades gestoras de fondos de pensiones comunicarán a la Dirección General de Seguros y Fondos de Pensiones el nombramiento, cese y sustitución de las personas que ejerzan la dirección efectiva de la entidad, bajo cualquier título, y quienes dentro de la entidad gestora desempeñen las funciones clave, junto con toda la información necesaria para evaluar si las personas que, en su caso, se hayan nombrado, cumplen las exigencias de aptitud y honorabilidad. No obstante, la comunicación del titular de la función actuarial deberá efectuarla la comisión de control.</w:t>
      </w:r>
    </w:p>
    <w:p>
      <w:pPr>
        <w:pStyle w:val="BodyText"/>
        <w:spacing w:line="249" w:lineRule="auto" w:before="6"/>
        <w:ind w:left="1754" w:right="1273"/>
      </w:pPr>
      <w:r>
        <w:rPr/>
        <w:t>Si durante el ejercicio de su actividad concurriese en alguna de las personas a que se refiere este artículo circunstancias que supongan incumplimiento de los requisitos de aptitud y honorabilidad, deberá procederse a su sustitución y comunicar esta a la Dirección General de Seguros y Fondos de Pensiones indicando el motivo.</w:t>
      </w:r>
    </w:p>
    <w:p>
      <w:pPr>
        <w:pStyle w:val="BodyText"/>
        <w:spacing w:line="249" w:lineRule="auto" w:before="3"/>
        <w:ind w:left="1754" w:right="1273"/>
      </w:pPr>
      <w:r>
        <w:rPr/>
        <w:t>Las comunicaciones previstas en este apartado se realizarán en un plazo máximo de quince días hábiles a contar desde el momento del nombramiento, cese o sustitución.</w:t>
      </w:r>
    </w:p>
    <w:p>
      <w:pPr>
        <w:pStyle w:val="ListParagraph"/>
        <w:numPr>
          <w:ilvl w:val="0"/>
          <w:numId w:val="378"/>
        </w:numPr>
        <w:tabs>
          <w:tab w:pos="2350" w:val="left" w:leader="none"/>
        </w:tabs>
        <w:spacing w:line="249" w:lineRule="auto" w:before="3" w:after="0"/>
        <w:ind w:left="1754" w:right="1271" w:firstLine="340"/>
        <w:jc w:val="both"/>
        <w:rPr>
          <w:sz w:val="20"/>
        </w:rPr>
      </w:pPr>
      <w:r>
        <w:rPr>
          <w:sz w:val="20"/>
        </w:rPr>
        <w:t>Reglamentariamente se determinarán los supuestos en los que se entiende que se cumplen los requisitos de aptitud y honorabilidad de quienes ostentan la dirección efectiva o desempeñan funciones clave, así como los requisitos de</w:t>
      </w:r>
      <w:r>
        <w:rPr>
          <w:spacing w:val="14"/>
          <w:sz w:val="20"/>
        </w:rPr>
        <w:t> </w:t>
      </w:r>
      <w:r>
        <w:rPr>
          <w:sz w:val="20"/>
        </w:rPr>
        <w:t>la información que deberá ser remitida a la Dirección General de Seguros y Fondos de Pensiones a efectos de evaluar su cumplimiento. La persona titular del Ministerio de Asuntos Económicos y Transformación Digital podrá regular el contenido de la información</w:t>
      </w:r>
      <w:r>
        <w:rPr>
          <w:spacing w:val="-6"/>
          <w:sz w:val="20"/>
        </w:rPr>
        <w:t> </w:t>
      </w:r>
      <w:r>
        <w:rPr>
          <w:sz w:val="20"/>
        </w:rPr>
        <w:t>y</w:t>
      </w:r>
      <w:r>
        <w:rPr>
          <w:spacing w:val="-4"/>
          <w:sz w:val="20"/>
        </w:rPr>
        <w:t> </w:t>
      </w:r>
      <w:r>
        <w:rPr>
          <w:sz w:val="20"/>
        </w:rPr>
        <w:t>la</w:t>
      </w:r>
      <w:r>
        <w:rPr>
          <w:spacing w:val="-6"/>
          <w:sz w:val="20"/>
        </w:rPr>
        <w:t> </w:t>
      </w:r>
      <w:r>
        <w:rPr>
          <w:sz w:val="20"/>
        </w:rPr>
        <w:t>documentación</w:t>
      </w:r>
      <w:r>
        <w:rPr>
          <w:spacing w:val="-5"/>
          <w:sz w:val="20"/>
        </w:rPr>
        <w:t> </w:t>
      </w:r>
      <w:r>
        <w:rPr>
          <w:sz w:val="20"/>
        </w:rPr>
        <w:t>acreditativa</w:t>
      </w:r>
      <w:r>
        <w:rPr>
          <w:spacing w:val="-5"/>
          <w:sz w:val="20"/>
        </w:rPr>
        <w:t> </w:t>
      </w:r>
      <w:r>
        <w:rPr>
          <w:sz w:val="20"/>
        </w:rPr>
        <w:t>que</w:t>
      </w:r>
      <w:r>
        <w:rPr>
          <w:spacing w:val="-6"/>
          <w:sz w:val="20"/>
        </w:rPr>
        <w:t> </w:t>
      </w:r>
      <w:r>
        <w:rPr>
          <w:sz w:val="20"/>
        </w:rPr>
        <w:t>deberá</w:t>
      </w:r>
      <w:r>
        <w:rPr>
          <w:spacing w:val="-5"/>
          <w:sz w:val="20"/>
        </w:rPr>
        <w:t> </w:t>
      </w:r>
      <w:r>
        <w:rPr>
          <w:sz w:val="20"/>
        </w:rPr>
        <w:t>remitirse</w:t>
      </w:r>
      <w:r>
        <w:rPr>
          <w:spacing w:val="-5"/>
          <w:sz w:val="20"/>
        </w:rPr>
        <w:t> </w:t>
      </w:r>
      <w:r>
        <w:rPr>
          <w:sz w:val="20"/>
        </w:rPr>
        <w:t>para</w:t>
      </w:r>
      <w:r>
        <w:rPr>
          <w:spacing w:val="-5"/>
          <w:sz w:val="20"/>
        </w:rPr>
        <w:t> </w:t>
      </w:r>
      <w:r>
        <w:rPr>
          <w:sz w:val="20"/>
        </w:rPr>
        <w:t>la</w:t>
      </w:r>
      <w:r>
        <w:rPr>
          <w:spacing w:val="-5"/>
          <w:sz w:val="20"/>
        </w:rPr>
        <w:t> </w:t>
      </w:r>
      <w:r>
        <w:rPr>
          <w:sz w:val="20"/>
        </w:rPr>
        <w:t>evaluación.</w:t>
      </w:r>
    </w:p>
    <w:p>
      <w:pPr>
        <w:pStyle w:val="BodyText"/>
        <w:spacing w:line="249" w:lineRule="auto" w:before="6"/>
        <w:ind w:left="1754" w:right="1272"/>
      </w:pPr>
      <w:r>
        <w:rPr/>
        <w:t>La información a remitir a la Dirección General de Seguros y Fondos de Pensiones incluirá un certificado de antecedentes penales expedido por la autoridad competente con una antelación no superior a tres meses. Si se trata de personas no residentes en España, en caso de que en el país respectivo no exista un documento equivalente, deberá incluir una declaración responsable hecha ante una autoridad judicial o administrativa competente o ante notario público en la que afirmen no haber sido condenados en el extranjero por delitos de falsedad, violación de secretos, por blanqueo de capitales, financiación del terrorismo, contra el orden socioeconómico, contra la Hacienda Púbica, contra la Seguridad Social, por malversación de caudales públicos y cualesquiera delitos contra el patrimonio.</w:t>
      </w:r>
    </w:p>
    <w:p>
      <w:pPr>
        <w:pStyle w:val="ListParagraph"/>
        <w:numPr>
          <w:ilvl w:val="0"/>
          <w:numId w:val="378"/>
        </w:numPr>
        <w:tabs>
          <w:tab w:pos="2340" w:val="left" w:leader="none"/>
        </w:tabs>
        <w:spacing w:line="249" w:lineRule="auto" w:before="8" w:after="0"/>
        <w:ind w:left="1754" w:right="1274" w:firstLine="339"/>
        <w:jc w:val="both"/>
        <w:rPr>
          <w:sz w:val="20"/>
        </w:rPr>
      </w:pPr>
      <w:r>
        <w:rPr>
          <w:sz w:val="20"/>
        </w:rPr>
        <w:t>En el caso de entidades aseguradoras que actúen como gestoras de fondos de pensiones, le será de aplicación lo dispuesto en el artículo 38 de la Ley 20/2015, de 14 de</w:t>
      </w:r>
      <w:r>
        <w:rPr>
          <w:spacing w:val="-4"/>
          <w:sz w:val="20"/>
        </w:rPr>
        <w:t> </w:t>
      </w:r>
      <w:r>
        <w:rPr>
          <w:sz w:val="20"/>
        </w:rPr>
        <w:t>julio.»</w:t>
      </w:r>
    </w:p>
    <w:p>
      <w:pPr>
        <w:pStyle w:val="BodyText"/>
        <w:spacing w:before="122"/>
        <w:ind w:left="1414" w:firstLine="0"/>
        <w:jc w:val="left"/>
      </w:pPr>
      <w:r>
        <w:rPr/>
        <w:t>Trece. El artículo 29 queda redactado como sigue:</w:t>
      </w:r>
    </w:p>
    <w:p>
      <w:pPr>
        <w:pStyle w:val="BodyText"/>
        <w:spacing w:before="1"/>
        <w:ind w:left="0" w:firstLine="0"/>
        <w:jc w:val="left"/>
        <w:rPr>
          <w:sz w:val="21"/>
        </w:rPr>
      </w:pPr>
    </w:p>
    <w:p>
      <w:pPr>
        <w:spacing w:before="0"/>
        <w:ind w:left="1754" w:right="0" w:firstLine="0"/>
        <w:jc w:val="both"/>
        <w:rPr>
          <w:i/>
          <w:sz w:val="20"/>
        </w:rPr>
      </w:pPr>
      <w:r>
        <w:rPr>
          <w:b/>
          <w:sz w:val="20"/>
        </w:rPr>
        <w:t>«Artículo 29. </w:t>
      </w:r>
      <w:r>
        <w:rPr>
          <w:i/>
          <w:sz w:val="20"/>
        </w:rPr>
        <w:t>Política de remuneración.</w:t>
      </w:r>
    </w:p>
    <w:p>
      <w:pPr>
        <w:pStyle w:val="ListParagraph"/>
        <w:numPr>
          <w:ilvl w:val="0"/>
          <w:numId w:val="380"/>
        </w:numPr>
        <w:tabs>
          <w:tab w:pos="2337" w:val="left" w:leader="none"/>
        </w:tabs>
        <w:spacing w:line="249" w:lineRule="auto" w:before="118" w:after="0"/>
        <w:ind w:left="1754" w:right="1273" w:firstLine="340"/>
        <w:jc w:val="both"/>
        <w:rPr>
          <w:sz w:val="20"/>
        </w:rPr>
      </w:pPr>
      <w:r>
        <w:rPr>
          <w:sz w:val="20"/>
        </w:rPr>
        <w:t>Las entidades gestoras de fondos de pensiones deberán establecer y aplicar una política de remuneración adecuada respecto de todas las personas que las dirijan de manera efectiva, de aquellas que desempeñen funciones clave dentro de la entidad gestora y de otras categorías de personal cuyas actividades profesionales incidan de forma significativa en el perfil de riesgo de los planes y fondos de pensiones gestionados. La citada política de remuneración deberá ser acorde con</w:t>
      </w:r>
      <w:r>
        <w:rPr>
          <w:spacing w:val="19"/>
          <w:sz w:val="20"/>
        </w:rPr>
        <w:t> </w:t>
      </w:r>
      <w:r>
        <w:rPr>
          <w:sz w:val="20"/>
        </w:rPr>
        <w:t>su</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3" w:hanging="1"/>
      </w:pPr>
      <w:r>
        <w:rPr/>
        <w:t>organización interna y el tamaño, la naturaleza, la escala y la complejidad de sus actividades.</w:t>
      </w:r>
    </w:p>
    <w:p>
      <w:pPr>
        <w:pStyle w:val="ListParagraph"/>
        <w:numPr>
          <w:ilvl w:val="0"/>
          <w:numId w:val="380"/>
        </w:numPr>
        <w:tabs>
          <w:tab w:pos="2356" w:val="left" w:leader="none"/>
        </w:tabs>
        <w:spacing w:line="249" w:lineRule="auto" w:before="1" w:after="0"/>
        <w:ind w:left="1754" w:right="1273" w:firstLine="340"/>
        <w:jc w:val="both"/>
        <w:rPr>
          <w:sz w:val="20"/>
        </w:rPr>
      </w:pPr>
      <w:r>
        <w:rPr>
          <w:sz w:val="20"/>
        </w:rPr>
        <w:t>Salvo que las disposiciones previstas en el Reglamento (UE) 2016/679 del Parlamento Europeo y del Consejo de 27 de abril de 2016 relativo a la protección de las personas físicas en lo que respecta al tratamiento de datos personales y a la libre circulación de estos datos y por el que se deroga la Directiva 95/46/CE, dispongan otra cosa, las entidades gestoras de fondos de pensiones harán pública regularmente información pertinente relativa a la política de</w:t>
      </w:r>
      <w:r>
        <w:rPr>
          <w:spacing w:val="-15"/>
          <w:sz w:val="20"/>
        </w:rPr>
        <w:t> </w:t>
      </w:r>
      <w:r>
        <w:rPr>
          <w:sz w:val="20"/>
        </w:rPr>
        <w:t>remuneración.</w:t>
      </w:r>
    </w:p>
    <w:p>
      <w:pPr>
        <w:pStyle w:val="ListParagraph"/>
        <w:numPr>
          <w:ilvl w:val="0"/>
          <w:numId w:val="380"/>
        </w:numPr>
        <w:tabs>
          <w:tab w:pos="2376" w:val="left" w:leader="none"/>
        </w:tabs>
        <w:spacing w:line="249" w:lineRule="auto" w:before="5" w:after="0"/>
        <w:ind w:left="1754" w:right="1274" w:firstLine="340"/>
        <w:jc w:val="both"/>
        <w:rPr>
          <w:sz w:val="20"/>
        </w:rPr>
      </w:pPr>
      <w:r>
        <w:rPr>
          <w:sz w:val="20"/>
        </w:rPr>
        <w:t>Al establecer y aplicar las políticas de remuneración a que se refiere el apartado 1, se respetarán los principios</w:t>
      </w:r>
      <w:r>
        <w:rPr>
          <w:spacing w:val="-6"/>
          <w:sz w:val="20"/>
        </w:rPr>
        <w:t> </w:t>
      </w:r>
      <w:r>
        <w:rPr>
          <w:sz w:val="20"/>
        </w:rPr>
        <w:t>siguientes:</w:t>
      </w:r>
    </w:p>
    <w:p>
      <w:pPr>
        <w:pStyle w:val="ListParagraph"/>
        <w:numPr>
          <w:ilvl w:val="0"/>
          <w:numId w:val="381"/>
        </w:numPr>
        <w:tabs>
          <w:tab w:pos="2423" w:val="left" w:leader="none"/>
        </w:tabs>
        <w:spacing w:line="249" w:lineRule="auto" w:before="172" w:after="0"/>
        <w:ind w:left="1754" w:right="1273" w:firstLine="340"/>
        <w:jc w:val="both"/>
        <w:rPr>
          <w:sz w:val="20"/>
        </w:rPr>
      </w:pPr>
      <w:r>
        <w:rPr>
          <w:sz w:val="20"/>
        </w:rPr>
        <w:t>La política de remuneración se establecerá, aplicará y mantendrá en consonancia con las actividades, el perfil de riesgo, los objetivos y los intereses, la estabilidad financiera y el rendimiento a largo plazo de los planes y fondos de pensiones gestionados en su conjunto, y apoyará una gestión sólida, prudente y efectiva de los</w:t>
      </w:r>
      <w:r>
        <w:rPr>
          <w:spacing w:val="-4"/>
          <w:sz w:val="20"/>
        </w:rPr>
        <w:t> </w:t>
      </w:r>
      <w:r>
        <w:rPr>
          <w:sz w:val="20"/>
        </w:rPr>
        <w:t>mismos.</w:t>
      </w:r>
    </w:p>
    <w:p>
      <w:pPr>
        <w:pStyle w:val="ListParagraph"/>
        <w:numPr>
          <w:ilvl w:val="0"/>
          <w:numId w:val="381"/>
        </w:numPr>
        <w:tabs>
          <w:tab w:pos="2350" w:val="left" w:leader="none"/>
        </w:tabs>
        <w:spacing w:line="249" w:lineRule="auto" w:before="4" w:after="0"/>
        <w:ind w:left="1754" w:right="1274" w:firstLine="340"/>
        <w:jc w:val="both"/>
        <w:rPr>
          <w:sz w:val="20"/>
        </w:rPr>
      </w:pPr>
      <w:r>
        <w:rPr>
          <w:sz w:val="20"/>
        </w:rPr>
        <w:t>La política de remuneración estará en consonancia con los intereses a largo plazo de los partícipes y beneficiarios de los planes de pensiones</w:t>
      </w:r>
      <w:r>
        <w:rPr>
          <w:spacing w:val="-37"/>
          <w:sz w:val="20"/>
        </w:rPr>
        <w:t> </w:t>
      </w:r>
      <w:r>
        <w:rPr>
          <w:sz w:val="20"/>
        </w:rPr>
        <w:t>gestionados.</w:t>
      </w:r>
    </w:p>
    <w:p>
      <w:pPr>
        <w:pStyle w:val="ListParagraph"/>
        <w:numPr>
          <w:ilvl w:val="0"/>
          <w:numId w:val="381"/>
        </w:numPr>
        <w:tabs>
          <w:tab w:pos="2332" w:val="left" w:leader="none"/>
        </w:tabs>
        <w:spacing w:line="249" w:lineRule="auto" w:before="2" w:after="0"/>
        <w:ind w:left="1754" w:right="1273" w:firstLine="340"/>
        <w:jc w:val="both"/>
        <w:rPr>
          <w:sz w:val="20"/>
        </w:rPr>
      </w:pPr>
      <w:r>
        <w:rPr>
          <w:sz w:val="20"/>
        </w:rPr>
        <w:t>La política de remuneración incluirá medidas destinadas a evitar conflictos de interés.</w:t>
      </w:r>
    </w:p>
    <w:p>
      <w:pPr>
        <w:pStyle w:val="ListParagraph"/>
        <w:numPr>
          <w:ilvl w:val="0"/>
          <w:numId w:val="381"/>
        </w:numPr>
        <w:tabs>
          <w:tab w:pos="2331" w:val="left" w:leader="none"/>
        </w:tabs>
        <w:spacing w:line="249" w:lineRule="auto" w:before="1" w:after="0"/>
        <w:ind w:left="1754" w:right="1275" w:firstLine="340"/>
        <w:jc w:val="both"/>
        <w:rPr>
          <w:sz w:val="20"/>
        </w:rPr>
      </w:pPr>
      <w:r>
        <w:rPr>
          <w:sz w:val="20"/>
        </w:rPr>
        <w:t>La política de remuneración será acorde con una gestión adecuada y eficaz de los riesgos y no alentará una asunción de riesgos que no esté en consonancia con los perfiles de riesgo y la normativa de los planes y fondos de</w:t>
      </w:r>
      <w:r>
        <w:rPr>
          <w:spacing w:val="-24"/>
          <w:sz w:val="20"/>
        </w:rPr>
        <w:t> </w:t>
      </w:r>
      <w:r>
        <w:rPr>
          <w:sz w:val="20"/>
        </w:rPr>
        <w:t>pensiones.</w:t>
      </w:r>
    </w:p>
    <w:p>
      <w:pPr>
        <w:pStyle w:val="ListParagraph"/>
        <w:numPr>
          <w:ilvl w:val="0"/>
          <w:numId w:val="381"/>
        </w:numPr>
        <w:tabs>
          <w:tab w:pos="2412" w:val="left" w:leader="none"/>
        </w:tabs>
        <w:spacing w:line="249" w:lineRule="auto" w:before="3" w:after="0"/>
        <w:ind w:left="1754" w:right="1274" w:firstLine="340"/>
        <w:jc w:val="both"/>
        <w:rPr>
          <w:sz w:val="20"/>
        </w:rPr>
      </w:pPr>
      <w:r>
        <w:rPr>
          <w:sz w:val="20"/>
        </w:rPr>
        <w:t>La política de remuneración se aplicará a la entidad gestora y a los prestadores de servicios externalizados, salvo que estos últimos estén cubiertos por las Directivas 2009/65/CE, 2009/138/CE, 2011/61/UE, 2013/36/UE y</w:t>
      </w:r>
      <w:r>
        <w:rPr>
          <w:spacing w:val="-36"/>
          <w:sz w:val="20"/>
        </w:rPr>
        <w:t> </w:t>
      </w:r>
      <w:r>
        <w:rPr>
          <w:sz w:val="20"/>
        </w:rPr>
        <w:t>2014/65/UE.</w:t>
      </w:r>
    </w:p>
    <w:p>
      <w:pPr>
        <w:pStyle w:val="ListParagraph"/>
        <w:numPr>
          <w:ilvl w:val="0"/>
          <w:numId w:val="381"/>
        </w:numPr>
        <w:tabs>
          <w:tab w:pos="2336" w:val="left" w:leader="none"/>
        </w:tabs>
        <w:spacing w:line="249" w:lineRule="auto" w:before="2" w:after="0"/>
        <w:ind w:left="1754" w:right="1273" w:firstLine="340"/>
        <w:jc w:val="both"/>
        <w:rPr>
          <w:sz w:val="20"/>
        </w:rPr>
      </w:pPr>
      <w:r>
        <w:rPr>
          <w:sz w:val="20"/>
        </w:rPr>
        <w:t>La entidad gestora determinará los principios generales de la política de remuneración, que se revisará y actualizará, como mínimo, cada tres años, y será responsable de su</w:t>
      </w:r>
      <w:r>
        <w:rPr>
          <w:spacing w:val="-2"/>
          <w:sz w:val="20"/>
        </w:rPr>
        <w:t> </w:t>
      </w:r>
      <w:r>
        <w:rPr>
          <w:sz w:val="20"/>
        </w:rPr>
        <w:t>aplicación.</w:t>
      </w:r>
    </w:p>
    <w:p>
      <w:pPr>
        <w:pStyle w:val="ListParagraph"/>
        <w:numPr>
          <w:ilvl w:val="0"/>
          <w:numId w:val="381"/>
        </w:numPr>
        <w:tabs>
          <w:tab w:pos="2336" w:val="left" w:leader="none"/>
        </w:tabs>
        <w:spacing w:line="249" w:lineRule="auto" w:before="3" w:after="0"/>
        <w:ind w:left="1754" w:right="1272" w:firstLine="340"/>
        <w:jc w:val="both"/>
        <w:rPr>
          <w:sz w:val="20"/>
        </w:rPr>
      </w:pPr>
      <w:r>
        <w:rPr>
          <w:sz w:val="20"/>
        </w:rPr>
        <w:t>El gobierno en materia de remuneración y su supervisión deberá realizarse de manera clara, transparente y</w:t>
      </w:r>
      <w:r>
        <w:rPr>
          <w:spacing w:val="-1"/>
          <w:sz w:val="20"/>
        </w:rPr>
        <w:t> </w:t>
      </w:r>
      <w:r>
        <w:rPr>
          <w:sz w:val="20"/>
        </w:rPr>
        <w:t>eficaz.</w:t>
      </w:r>
    </w:p>
    <w:p>
      <w:pPr>
        <w:pStyle w:val="ListParagraph"/>
        <w:numPr>
          <w:ilvl w:val="0"/>
          <w:numId w:val="380"/>
        </w:numPr>
        <w:tabs>
          <w:tab w:pos="2388" w:val="left" w:leader="none"/>
        </w:tabs>
        <w:spacing w:line="249" w:lineRule="auto" w:before="171" w:after="0"/>
        <w:ind w:left="1754" w:right="1273" w:firstLine="340"/>
        <w:jc w:val="both"/>
        <w:rPr>
          <w:sz w:val="20"/>
        </w:rPr>
      </w:pPr>
      <w:r>
        <w:rPr>
          <w:sz w:val="20"/>
        </w:rPr>
        <w:t>Las comisiones de control de planes de pensiones de empleo deberán establecer y aplicar una política de remuneración adecuada respecto de quienes presten los servicios actuariales y, en su caso, la función clave actuarial, y de otros proveedores de servicios externos cuyas actividades puedan incidir de forma significativa en el perfil de riesgo de los planes y fondos de</w:t>
      </w:r>
      <w:r>
        <w:rPr>
          <w:spacing w:val="-18"/>
          <w:sz w:val="20"/>
        </w:rPr>
        <w:t> </w:t>
      </w:r>
      <w:r>
        <w:rPr>
          <w:sz w:val="20"/>
        </w:rPr>
        <w:t>pensiones.»</w:t>
      </w:r>
    </w:p>
    <w:p>
      <w:pPr>
        <w:pStyle w:val="BodyText"/>
        <w:spacing w:before="124"/>
        <w:ind w:left="1414" w:firstLine="0"/>
        <w:jc w:val="left"/>
      </w:pPr>
      <w:r>
        <w:rPr/>
        <w:t>Catorce. El artículo 30 queda redactado como sigue:</w:t>
      </w:r>
    </w:p>
    <w:p>
      <w:pPr>
        <w:pStyle w:val="BodyText"/>
        <w:spacing w:before="1"/>
        <w:ind w:left="0" w:firstLine="0"/>
        <w:jc w:val="left"/>
        <w:rPr>
          <w:sz w:val="21"/>
        </w:rPr>
      </w:pPr>
    </w:p>
    <w:p>
      <w:pPr>
        <w:spacing w:before="1"/>
        <w:ind w:left="1754" w:right="0" w:firstLine="0"/>
        <w:jc w:val="both"/>
        <w:rPr>
          <w:i/>
          <w:sz w:val="20"/>
        </w:rPr>
      </w:pPr>
      <w:r>
        <w:rPr>
          <w:b/>
          <w:sz w:val="20"/>
        </w:rPr>
        <w:t>«Artículo 30. </w:t>
      </w:r>
      <w:r>
        <w:rPr>
          <w:i/>
          <w:sz w:val="20"/>
        </w:rPr>
        <w:t>Funciones clave.</w:t>
      </w:r>
    </w:p>
    <w:p>
      <w:pPr>
        <w:pStyle w:val="ListParagraph"/>
        <w:numPr>
          <w:ilvl w:val="0"/>
          <w:numId w:val="382"/>
        </w:numPr>
        <w:tabs>
          <w:tab w:pos="2327" w:val="left" w:leader="none"/>
        </w:tabs>
        <w:spacing w:line="249" w:lineRule="auto" w:before="117" w:after="0"/>
        <w:ind w:left="1754" w:right="1271" w:firstLine="340"/>
        <w:jc w:val="both"/>
        <w:rPr>
          <w:sz w:val="20"/>
        </w:rPr>
      </w:pPr>
      <w:r>
        <w:rPr>
          <w:sz w:val="20"/>
        </w:rPr>
        <w:t>Las entidades gestoras de fondos de pensiones y, en su caso, las comisiones de control, deberán disponer de las siguientes funciones clave: una función de gestión de riesgos y una función de auditoría interna y, en su caso, una función actuarial, en este último caso cuando la entidad gestora preste servicios actuariales respecto de los planes de pensiones. Dichas entidades deberán permitir que los titulares de funciones clave desempeñen eficazmente su cometido de manera objetiva, justa e independiente. Las comisiones de control podrán delegar expresamente en las entidades gestoras las funciones que</w:t>
      </w:r>
      <w:r>
        <w:rPr>
          <w:spacing w:val="-16"/>
          <w:sz w:val="20"/>
        </w:rPr>
        <w:t> </w:t>
      </w:r>
      <w:r>
        <w:rPr>
          <w:sz w:val="20"/>
        </w:rPr>
        <w:t>decidan.</w:t>
      </w:r>
    </w:p>
    <w:p>
      <w:pPr>
        <w:pStyle w:val="ListParagraph"/>
        <w:numPr>
          <w:ilvl w:val="0"/>
          <w:numId w:val="382"/>
        </w:numPr>
        <w:tabs>
          <w:tab w:pos="2345" w:val="left" w:leader="none"/>
        </w:tabs>
        <w:spacing w:line="249" w:lineRule="auto" w:before="7" w:after="0"/>
        <w:ind w:left="1754" w:right="1273" w:firstLine="340"/>
        <w:jc w:val="both"/>
        <w:rPr>
          <w:sz w:val="20"/>
        </w:rPr>
      </w:pPr>
      <w:r>
        <w:rPr>
          <w:sz w:val="20"/>
        </w:rPr>
        <w:t>Una sola persona o unidad organizativa podrá desempeñar varias funciones clave en la entidad gestora, a excepción de la función de auditoría interna, que será independiente de otras funciones</w:t>
      </w:r>
      <w:r>
        <w:rPr>
          <w:spacing w:val="-4"/>
          <w:sz w:val="20"/>
        </w:rPr>
        <w:t> </w:t>
      </w:r>
      <w:r>
        <w:rPr>
          <w:sz w:val="20"/>
        </w:rPr>
        <w:t>clave.</w:t>
      </w:r>
    </w:p>
    <w:p>
      <w:pPr>
        <w:pStyle w:val="ListParagraph"/>
        <w:numPr>
          <w:ilvl w:val="0"/>
          <w:numId w:val="382"/>
        </w:numPr>
        <w:tabs>
          <w:tab w:pos="2322" w:val="left" w:leader="none"/>
        </w:tabs>
        <w:spacing w:line="249" w:lineRule="auto" w:before="2" w:after="0"/>
        <w:ind w:left="1754" w:right="1274" w:firstLine="340"/>
        <w:jc w:val="both"/>
        <w:rPr>
          <w:sz w:val="20"/>
        </w:rPr>
      </w:pPr>
      <w:r>
        <w:rPr>
          <w:sz w:val="20"/>
        </w:rPr>
        <w:t>La persona o unidad organizativa única que desempeñe una función clave que afecte a un plan de pensiones del sistema de empleo podrá ser la misma que desempeñe una función clave similar en la empresa o empresas promotoras. En tal caso, la comisión de control del plan deberá adoptar las medidas oportunas para evitar o gestionar posibles conflictos de interés entre el promotor y los partícipes y beneficiarios que pudieran derivarse del ejercicio de dicha</w:t>
      </w:r>
      <w:r>
        <w:rPr>
          <w:spacing w:val="-17"/>
          <w:sz w:val="20"/>
        </w:rPr>
        <w:t> </w:t>
      </w:r>
      <w:r>
        <w:rPr>
          <w:sz w:val="20"/>
        </w:rPr>
        <w:t>función.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382"/>
        </w:numPr>
        <w:tabs>
          <w:tab w:pos="2385" w:val="left" w:leader="none"/>
        </w:tabs>
        <w:spacing w:line="249" w:lineRule="auto" w:before="127" w:after="0"/>
        <w:ind w:left="1754" w:right="1272" w:firstLine="340"/>
        <w:jc w:val="both"/>
        <w:rPr>
          <w:sz w:val="20"/>
        </w:rPr>
      </w:pPr>
      <w:r>
        <w:rPr>
          <w:sz w:val="20"/>
        </w:rPr>
        <w:t>Los titulares de una función clave informarán de cualquier conclusión o recomendación importante en el ámbito de su responsabilidad al órgano de administración o de dirección de la entidad gestora y, en su caso, a las comisiones de control de los planes y fondos de pensiones, que determinarán las medidas que deberán</w:t>
      </w:r>
      <w:r>
        <w:rPr>
          <w:spacing w:val="-2"/>
          <w:sz w:val="20"/>
        </w:rPr>
        <w:t> </w:t>
      </w:r>
      <w:r>
        <w:rPr>
          <w:sz w:val="20"/>
        </w:rPr>
        <w:t>tomarse.</w:t>
      </w:r>
    </w:p>
    <w:p>
      <w:pPr>
        <w:pStyle w:val="ListParagraph"/>
        <w:numPr>
          <w:ilvl w:val="0"/>
          <w:numId w:val="382"/>
        </w:numPr>
        <w:tabs>
          <w:tab w:pos="2379" w:val="left" w:leader="none"/>
        </w:tabs>
        <w:spacing w:line="249" w:lineRule="auto" w:before="4" w:after="0"/>
        <w:ind w:left="1754" w:right="1272" w:firstLine="340"/>
        <w:jc w:val="both"/>
        <w:rPr>
          <w:sz w:val="20"/>
        </w:rPr>
      </w:pPr>
      <w:r>
        <w:rPr>
          <w:sz w:val="20"/>
        </w:rPr>
        <w:t>Los titulares de una función clave informarán a la Dirección General de Seguros y Fondos de Pensiones si la dirección efectiva o las comisiones de control de los planes y fondos de pensiones no toman medidas correctoras adecuadas y oportunas en los siguientes</w:t>
      </w:r>
      <w:r>
        <w:rPr>
          <w:spacing w:val="-4"/>
          <w:sz w:val="20"/>
        </w:rPr>
        <w:t> </w:t>
      </w:r>
      <w:r>
        <w:rPr>
          <w:sz w:val="20"/>
        </w:rPr>
        <w:t>casos:</w:t>
      </w:r>
    </w:p>
    <w:p>
      <w:pPr>
        <w:pStyle w:val="ListParagraph"/>
        <w:numPr>
          <w:ilvl w:val="0"/>
          <w:numId w:val="383"/>
        </w:numPr>
        <w:tabs>
          <w:tab w:pos="2369" w:val="left" w:leader="none"/>
        </w:tabs>
        <w:spacing w:line="249" w:lineRule="auto" w:before="173" w:after="0"/>
        <w:ind w:left="1754" w:right="1272" w:firstLine="340"/>
        <w:jc w:val="both"/>
        <w:rPr>
          <w:sz w:val="20"/>
        </w:rPr>
      </w:pPr>
      <w:r>
        <w:rPr>
          <w:sz w:val="20"/>
        </w:rPr>
        <w:t>Cuando la persona o unidad organizativa que desempeñe la función clave haya detectado un riesgo sustancial de que la entidad gestora o los planes o los fondos de pensiones no cumplan un requisito legal que pueda tener importantes repercusiones en los intereses de los partícipes y beneficiarios, y haya informado de ello a la dirección efectiva o a las comisiones de control,</w:t>
      </w:r>
      <w:r>
        <w:rPr>
          <w:spacing w:val="-14"/>
          <w:sz w:val="20"/>
        </w:rPr>
        <w:t> </w:t>
      </w:r>
      <w:r>
        <w:rPr>
          <w:sz w:val="20"/>
        </w:rPr>
        <w:t>o</w:t>
      </w:r>
    </w:p>
    <w:p>
      <w:pPr>
        <w:pStyle w:val="ListParagraph"/>
        <w:numPr>
          <w:ilvl w:val="0"/>
          <w:numId w:val="383"/>
        </w:numPr>
        <w:tabs>
          <w:tab w:pos="2329" w:val="left" w:leader="none"/>
        </w:tabs>
        <w:spacing w:line="249" w:lineRule="auto" w:before="4" w:after="0"/>
        <w:ind w:left="1754" w:right="1272" w:firstLine="340"/>
        <w:jc w:val="both"/>
        <w:rPr>
          <w:sz w:val="20"/>
        </w:rPr>
      </w:pPr>
      <w:r>
        <w:rPr>
          <w:sz w:val="20"/>
        </w:rPr>
        <w:t>cuando la persona o unidad organizativa que desempeñe la función clave haya observado un incumplimiento grave de las disposiciones legales, reglamentarias o administrativas aplicables a la entidad gestora o a los planes y fondos de pensiones y sus actividades en el contexto de su función clave y haya informado de ello a la dirección efectiva o a la comisión de control</w:t>
      </w:r>
      <w:r>
        <w:rPr>
          <w:spacing w:val="-9"/>
          <w:sz w:val="20"/>
        </w:rPr>
        <w:t> </w:t>
      </w:r>
      <w:r>
        <w:rPr>
          <w:sz w:val="20"/>
        </w:rPr>
        <w:t>correspondiente.»</w:t>
      </w:r>
    </w:p>
    <w:p>
      <w:pPr>
        <w:pStyle w:val="BodyText"/>
        <w:spacing w:line="249" w:lineRule="auto" w:before="124"/>
        <w:ind w:right="1278"/>
        <w:jc w:val="left"/>
      </w:pPr>
      <w:r>
        <w:rPr/>
        <w:t>Quince. Se introduce un nuevo artículo 30 bis en el capítulo VIII con la siguiente redacción:</w:t>
      </w:r>
    </w:p>
    <w:p>
      <w:pPr>
        <w:pStyle w:val="BodyText"/>
        <w:spacing w:before="4"/>
        <w:ind w:left="0" w:firstLine="0"/>
        <w:jc w:val="left"/>
      </w:pPr>
    </w:p>
    <w:p>
      <w:pPr>
        <w:spacing w:before="1"/>
        <w:ind w:left="1754" w:right="0" w:firstLine="0"/>
        <w:jc w:val="both"/>
        <w:rPr>
          <w:i/>
          <w:sz w:val="20"/>
        </w:rPr>
      </w:pPr>
      <w:r>
        <w:rPr>
          <w:b/>
          <w:sz w:val="20"/>
        </w:rPr>
        <w:t>«Artículo 30 bis. </w:t>
      </w:r>
      <w:r>
        <w:rPr>
          <w:i/>
          <w:sz w:val="20"/>
        </w:rPr>
        <w:t>Función de gestión de riesgos.</w:t>
      </w:r>
    </w:p>
    <w:p>
      <w:pPr>
        <w:pStyle w:val="ListParagraph"/>
        <w:numPr>
          <w:ilvl w:val="0"/>
          <w:numId w:val="384"/>
        </w:numPr>
        <w:tabs>
          <w:tab w:pos="2332" w:val="left" w:leader="none"/>
        </w:tabs>
        <w:spacing w:line="249" w:lineRule="auto" w:before="117" w:after="0"/>
        <w:ind w:left="1754" w:right="1270" w:firstLine="340"/>
        <w:jc w:val="both"/>
        <w:rPr>
          <w:sz w:val="20"/>
        </w:rPr>
      </w:pPr>
      <w:r>
        <w:rPr>
          <w:sz w:val="20"/>
        </w:rPr>
        <w:t>Las entidades gestoras de fondos de pensiones, de una forma proporcionada con su tamaño y su organización interna y con el tamaño, la naturaleza, la escala y la complejidad de sus actividades y de los fondos de pensiones gestionados, deberán disponer de una función eficaz de gestión de riesgos. Dicha función se estructurará de tal manera que facilite el funcionamiento de un sistema de gestión de riesgos, para lo que la entidad adoptará las estrategias, los procesos y los procedimientos de información necesarios para detectar, medir, vigilar, gestionar y notificar regularmente al órgano de administración y a las comisiones de control los riesgos a los que, a nivel individual y agregado, estén o puedan estar expuestos los planes y fondos de pensiones gestionados, así como sus</w:t>
      </w:r>
      <w:r>
        <w:rPr>
          <w:spacing w:val="-12"/>
          <w:sz w:val="20"/>
        </w:rPr>
        <w:t> </w:t>
      </w:r>
      <w:r>
        <w:rPr>
          <w:sz w:val="20"/>
        </w:rPr>
        <w:t>interdependencias.</w:t>
      </w:r>
    </w:p>
    <w:p>
      <w:pPr>
        <w:pStyle w:val="BodyText"/>
        <w:spacing w:line="249" w:lineRule="auto" w:before="8"/>
        <w:ind w:left="1754" w:right="1275"/>
      </w:pPr>
      <w:r>
        <w:rPr/>
        <w:t>Ese sistema de gestión de riesgos será eficaz y estará debidamente integrado en la estructura organizativa y en el proceso de toma de decisiones.</w:t>
      </w:r>
    </w:p>
    <w:p>
      <w:pPr>
        <w:pStyle w:val="ListParagraph"/>
        <w:numPr>
          <w:ilvl w:val="0"/>
          <w:numId w:val="384"/>
        </w:numPr>
        <w:tabs>
          <w:tab w:pos="2373" w:val="left" w:leader="none"/>
        </w:tabs>
        <w:spacing w:line="249" w:lineRule="auto" w:before="2" w:after="0"/>
        <w:ind w:left="1754" w:right="1272" w:firstLine="340"/>
        <w:jc w:val="both"/>
        <w:rPr>
          <w:sz w:val="20"/>
        </w:rPr>
      </w:pPr>
      <w:r>
        <w:rPr>
          <w:sz w:val="20"/>
        </w:rPr>
        <w:t>El sistema de gestión de riesgos cubrirá, de forma proporcionada con el tamaño y organización interna de la entidad y con el tamaño, la naturaleza, escala y complejidad de sus actividades, los riesgos que puedan surgir en los planes y fondos de pensiones o en las empresas a las que se hayan externalizado las tareas o actividades de la entidad al menos en los ámbitos siguientes, cuando</w:t>
      </w:r>
      <w:r>
        <w:rPr>
          <w:spacing w:val="-25"/>
          <w:sz w:val="20"/>
        </w:rPr>
        <w:t> </w:t>
      </w:r>
      <w:r>
        <w:rPr>
          <w:sz w:val="20"/>
        </w:rPr>
        <w:t>proceda:</w:t>
      </w:r>
    </w:p>
    <w:p>
      <w:pPr>
        <w:pStyle w:val="ListParagraph"/>
        <w:numPr>
          <w:ilvl w:val="0"/>
          <w:numId w:val="385"/>
        </w:numPr>
        <w:tabs>
          <w:tab w:pos="2328" w:val="left" w:leader="none"/>
        </w:tabs>
        <w:spacing w:line="240" w:lineRule="auto" w:before="174" w:after="0"/>
        <w:ind w:left="2327" w:right="0" w:hanging="234"/>
        <w:jc w:val="left"/>
        <w:rPr>
          <w:sz w:val="20"/>
        </w:rPr>
      </w:pPr>
      <w:r>
        <w:rPr>
          <w:sz w:val="20"/>
        </w:rPr>
        <w:t>La suscripción y la constitución de</w:t>
      </w:r>
      <w:r>
        <w:rPr>
          <w:spacing w:val="-4"/>
          <w:sz w:val="20"/>
        </w:rPr>
        <w:t> </w:t>
      </w:r>
      <w:r>
        <w:rPr>
          <w:sz w:val="20"/>
        </w:rPr>
        <w:t>reservas.</w:t>
      </w:r>
    </w:p>
    <w:p>
      <w:pPr>
        <w:pStyle w:val="ListParagraph"/>
        <w:numPr>
          <w:ilvl w:val="0"/>
          <w:numId w:val="385"/>
        </w:numPr>
        <w:tabs>
          <w:tab w:pos="2328" w:val="left" w:leader="none"/>
        </w:tabs>
        <w:spacing w:line="240" w:lineRule="auto" w:before="10" w:after="0"/>
        <w:ind w:left="2327" w:right="0" w:hanging="234"/>
        <w:jc w:val="left"/>
        <w:rPr>
          <w:sz w:val="20"/>
        </w:rPr>
      </w:pPr>
      <w:r>
        <w:rPr>
          <w:sz w:val="20"/>
        </w:rPr>
        <w:t>La gestión de activos y</w:t>
      </w:r>
      <w:r>
        <w:rPr>
          <w:spacing w:val="-6"/>
          <w:sz w:val="20"/>
        </w:rPr>
        <w:t> </w:t>
      </w:r>
      <w:r>
        <w:rPr>
          <w:sz w:val="20"/>
        </w:rPr>
        <w:t>pasivos.</w:t>
      </w:r>
    </w:p>
    <w:p>
      <w:pPr>
        <w:pStyle w:val="ListParagraph"/>
        <w:numPr>
          <w:ilvl w:val="0"/>
          <w:numId w:val="385"/>
        </w:numPr>
        <w:tabs>
          <w:tab w:pos="2415" w:val="left" w:leader="none"/>
        </w:tabs>
        <w:spacing w:line="249" w:lineRule="auto" w:before="10" w:after="0"/>
        <w:ind w:left="1754" w:right="1273" w:firstLine="340"/>
        <w:jc w:val="left"/>
        <w:rPr>
          <w:sz w:val="20"/>
        </w:rPr>
      </w:pPr>
      <w:r>
        <w:rPr>
          <w:sz w:val="20"/>
        </w:rPr>
        <w:t>La inversión, en particular, en instrumentos derivados, titulizaciones y compromisos similares.</w:t>
      </w:r>
    </w:p>
    <w:p>
      <w:pPr>
        <w:pStyle w:val="ListParagraph"/>
        <w:numPr>
          <w:ilvl w:val="0"/>
          <w:numId w:val="385"/>
        </w:numPr>
        <w:tabs>
          <w:tab w:pos="2329" w:val="left" w:leader="none"/>
        </w:tabs>
        <w:spacing w:line="240" w:lineRule="auto" w:before="2" w:after="0"/>
        <w:ind w:left="2328" w:right="0" w:hanging="235"/>
        <w:jc w:val="left"/>
        <w:rPr>
          <w:sz w:val="20"/>
        </w:rPr>
      </w:pPr>
      <w:r>
        <w:rPr>
          <w:sz w:val="20"/>
        </w:rPr>
        <w:t>La gestión del riesgo de liquidez y de</w:t>
      </w:r>
      <w:r>
        <w:rPr>
          <w:spacing w:val="-8"/>
          <w:sz w:val="20"/>
        </w:rPr>
        <w:t> </w:t>
      </w:r>
      <w:r>
        <w:rPr>
          <w:sz w:val="20"/>
        </w:rPr>
        <w:t>concentración.</w:t>
      </w:r>
    </w:p>
    <w:p>
      <w:pPr>
        <w:pStyle w:val="ListParagraph"/>
        <w:numPr>
          <w:ilvl w:val="0"/>
          <w:numId w:val="385"/>
        </w:numPr>
        <w:tabs>
          <w:tab w:pos="2329" w:val="left" w:leader="none"/>
        </w:tabs>
        <w:spacing w:line="240" w:lineRule="auto" w:before="10" w:after="0"/>
        <w:ind w:left="2328" w:right="0" w:hanging="235"/>
        <w:jc w:val="left"/>
        <w:rPr>
          <w:sz w:val="20"/>
        </w:rPr>
      </w:pPr>
      <w:r>
        <w:rPr>
          <w:sz w:val="20"/>
        </w:rPr>
        <w:t>La gestión del riesgo</w:t>
      </w:r>
      <w:r>
        <w:rPr>
          <w:spacing w:val="-4"/>
          <w:sz w:val="20"/>
        </w:rPr>
        <w:t> </w:t>
      </w:r>
      <w:r>
        <w:rPr>
          <w:sz w:val="20"/>
        </w:rPr>
        <w:t>operacional.</w:t>
      </w:r>
    </w:p>
    <w:p>
      <w:pPr>
        <w:pStyle w:val="ListParagraph"/>
        <w:numPr>
          <w:ilvl w:val="0"/>
          <w:numId w:val="385"/>
        </w:numPr>
        <w:tabs>
          <w:tab w:pos="2273" w:val="left" w:leader="none"/>
        </w:tabs>
        <w:spacing w:line="240" w:lineRule="auto" w:before="10" w:after="0"/>
        <w:ind w:left="2272" w:right="0" w:hanging="179"/>
        <w:jc w:val="left"/>
        <w:rPr>
          <w:sz w:val="20"/>
        </w:rPr>
      </w:pPr>
      <w:r>
        <w:rPr>
          <w:sz w:val="20"/>
        </w:rPr>
        <w:t>El seguro y otras técnicas de reducción del</w:t>
      </w:r>
      <w:r>
        <w:rPr>
          <w:spacing w:val="-4"/>
          <w:sz w:val="20"/>
        </w:rPr>
        <w:t> </w:t>
      </w:r>
      <w:r>
        <w:rPr>
          <w:sz w:val="20"/>
        </w:rPr>
        <w:t>riesgo.</w:t>
      </w:r>
    </w:p>
    <w:p>
      <w:pPr>
        <w:pStyle w:val="ListParagraph"/>
        <w:numPr>
          <w:ilvl w:val="0"/>
          <w:numId w:val="385"/>
        </w:numPr>
        <w:tabs>
          <w:tab w:pos="2331" w:val="left" w:leader="none"/>
        </w:tabs>
        <w:spacing w:line="249" w:lineRule="auto" w:before="10" w:after="0"/>
        <w:ind w:left="1754" w:right="1272" w:firstLine="340"/>
        <w:jc w:val="both"/>
        <w:rPr>
          <w:sz w:val="20"/>
        </w:rPr>
      </w:pPr>
      <w:r>
        <w:rPr>
          <w:sz w:val="20"/>
        </w:rPr>
        <w:t>Los riesgos ambientales, sociales y de gobierno relacionados con la cartera de inversiones y su gestión, en los términos establecidos en su declaración de los principios de la política de</w:t>
      </w:r>
      <w:r>
        <w:rPr>
          <w:spacing w:val="-7"/>
          <w:sz w:val="20"/>
        </w:rPr>
        <w:t> </w:t>
      </w:r>
      <w:r>
        <w:rPr>
          <w:sz w:val="20"/>
        </w:rPr>
        <w:t>inversión.</w:t>
      </w:r>
    </w:p>
    <w:p>
      <w:pPr>
        <w:pStyle w:val="ListParagraph"/>
        <w:numPr>
          <w:ilvl w:val="0"/>
          <w:numId w:val="384"/>
        </w:numPr>
        <w:tabs>
          <w:tab w:pos="2379" w:val="left" w:leader="none"/>
        </w:tabs>
        <w:spacing w:line="249" w:lineRule="auto" w:before="172" w:after="0"/>
        <w:ind w:left="1754" w:right="1273" w:firstLine="340"/>
        <w:jc w:val="both"/>
        <w:rPr>
          <w:sz w:val="20"/>
        </w:rPr>
      </w:pPr>
      <w:r>
        <w:rPr>
          <w:sz w:val="20"/>
        </w:rPr>
        <w:t>Cuando, de conformidad con las condiciones del plan de pensiones, los partícipes y beneficiarios asuman riesgos, el sistema de gestión de riesgos también tendrá</w:t>
      </w:r>
      <w:r>
        <w:rPr>
          <w:spacing w:val="-3"/>
          <w:sz w:val="20"/>
        </w:rPr>
        <w:t> </w:t>
      </w:r>
      <w:r>
        <w:rPr>
          <w:sz w:val="20"/>
        </w:rPr>
        <w:t>en</w:t>
      </w:r>
      <w:r>
        <w:rPr>
          <w:spacing w:val="-4"/>
          <w:sz w:val="20"/>
        </w:rPr>
        <w:t> </w:t>
      </w:r>
      <w:r>
        <w:rPr>
          <w:sz w:val="20"/>
        </w:rPr>
        <w:t>cuenta</w:t>
      </w:r>
      <w:r>
        <w:rPr>
          <w:spacing w:val="-3"/>
          <w:sz w:val="20"/>
        </w:rPr>
        <w:t> </w:t>
      </w:r>
      <w:r>
        <w:rPr>
          <w:sz w:val="20"/>
        </w:rPr>
        <w:t>esos</w:t>
      </w:r>
      <w:r>
        <w:rPr>
          <w:spacing w:val="-4"/>
          <w:sz w:val="20"/>
        </w:rPr>
        <w:t> </w:t>
      </w:r>
      <w:r>
        <w:rPr>
          <w:sz w:val="20"/>
        </w:rPr>
        <w:t>riesgos</w:t>
      </w:r>
      <w:r>
        <w:rPr>
          <w:spacing w:val="-3"/>
          <w:sz w:val="20"/>
        </w:rPr>
        <w:t> </w:t>
      </w:r>
      <w:r>
        <w:rPr>
          <w:sz w:val="20"/>
        </w:rPr>
        <w:t>desde</w:t>
      </w:r>
      <w:r>
        <w:rPr>
          <w:spacing w:val="-4"/>
          <w:sz w:val="20"/>
        </w:rPr>
        <w:t> </w:t>
      </w:r>
      <w:r>
        <w:rPr>
          <w:sz w:val="20"/>
        </w:rPr>
        <w:t>la</w:t>
      </w:r>
      <w:r>
        <w:rPr>
          <w:spacing w:val="-4"/>
          <w:sz w:val="20"/>
        </w:rPr>
        <w:t> </w:t>
      </w:r>
      <w:r>
        <w:rPr>
          <w:sz w:val="20"/>
        </w:rPr>
        <w:t>perspectiva</w:t>
      </w:r>
      <w:r>
        <w:rPr>
          <w:spacing w:val="-4"/>
          <w:sz w:val="20"/>
        </w:rPr>
        <w:t> </w:t>
      </w:r>
      <w:r>
        <w:rPr>
          <w:sz w:val="20"/>
        </w:rPr>
        <w:t>de</w:t>
      </w:r>
      <w:r>
        <w:rPr>
          <w:spacing w:val="-4"/>
          <w:sz w:val="20"/>
        </w:rPr>
        <w:t> </w:t>
      </w:r>
      <w:r>
        <w:rPr>
          <w:sz w:val="20"/>
        </w:rPr>
        <w:t>los</w:t>
      </w:r>
      <w:r>
        <w:rPr>
          <w:spacing w:val="-4"/>
          <w:sz w:val="20"/>
        </w:rPr>
        <w:t> </w:t>
      </w:r>
      <w:r>
        <w:rPr>
          <w:sz w:val="20"/>
        </w:rPr>
        <w:t>partícipes</w:t>
      </w:r>
      <w:r>
        <w:rPr>
          <w:spacing w:val="-4"/>
          <w:sz w:val="20"/>
        </w:rPr>
        <w:t> </w:t>
      </w:r>
      <w:r>
        <w:rPr>
          <w:sz w:val="20"/>
        </w:rPr>
        <w:t>y</w:t>
      </w:r>
      <w:r>
        <w:rPr>
          <w:spacing w:val="-3"/>
          <w:sz w:val="20"/>
        </w:rPr>
        <w:t> </w:t>
      </w:r>
      <w:r>
        <w:rPr>
          <w:sz w:val="20"/>
        </w:rPr>
        <w:t>beneficiarios.</w:t>
      </w:r>
    </w:p>
    <w:p>
      <w:pPr>
        <w:pStyle w:val="ListParagraph"/>
        <w:numPr>
          <w:ilvl w:val="0"/>
          <w:numId w:val="384"/>
        </w:numPr>
        <w:tabs>
          <w:tab w:pos="2325" w:val="left" w:leader="none"/>
        </w:tabs>
        <w:spacing w:line="249" w:lineRule="auto" w:before="3" w:after="0"/>
        <w:ind w:left="1754" w:right="1273" w:firstLine="340"/>
        <w:jc w:val="both"/>
        <w:rPr>
          <w:sz w:val="20"/>
        </w:rPr>
      </w:pPr>
      <w:r>
        <w:rPr>
          <w:sz w:val="20"/>
        </w:rPr>
        <w:t>En el caso de que la función actuarial no haya sido encomendada a la entidad gestora, el responsable de dicha función deberá proporcionar a la citada entidad</w:t>
      </w:r>
      <w:r>
        <w:rPr>
          <w:spacing w:val="-19"/>
          <w:sz w:val="20"/>
        </w:rPr>
        <w:t> </w:t>
      </w:r>
      <w:r>
        <w:rPr>
          <w:sz w:val="20"/>
        </w:rPr>
        <w:t>toda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6" w:hanging="1"/>
      </w:pPr>
      <w:r>
        <w:rPr/>
        <w:t>aquella información actuarial necesaria para la eficaz aplicación del sistema de gestión de riesgo de los fondos de pensiones de empleo gestionados.»</w:t>
      </w:r>
    </w:p>
    <w:p>
      <w:pPr>
        <w:pStyle w:val="BodyText"/>
        <w:spacing w:line="249" w:lineRule="auto" w:before="121"/>
        <w:ind w:right="1278"/>
        <w:jc w:val="left"/>
      </w:pPr>
      <w:r>
        <w:rPr/>
        <w:t>Dieciséis. Se introduce un nuevo artículo 30 ter en el capítulo VIII con la siguiente redacción:</w:t>
      </w:r>
    </w:p>
    <w:p>
      <w:pPr>
        <w:pStyle w:val="BodyText"/>
        <w:spacing w:before="4"/>
        <w:ind w:left="0" w:firstLine="0"/>
        <w:jc w:val="left"/>
      </w:pPr>
    </w:p>
    <w:p>
      <w:pPr>
        <w:spacing w:before="0"/>
        <w:ind w:left="1754" w:right="0" w:firstLine="0"/>
        <w:jc w:val="both"/>
        <w:rPr>
          <w:i/>
          <w:sz w:val="20"/>
        </w:rPr>
      </w:pPr>
      <w:r>
        <w:rPr>
          <w:b/>
          <w:sz w:val="20"/>
        </w:rPr>
        <w:t>«Artículo 30 ter. </w:t>
      </w:r>
      <w:r>
        <w:rPr>
          <w:i/>
          <w:sz w:val="20"/>
        </w:rPr>
        <w:t>Función de auditoría interna.</w:t>
      </w:r>
    </w:p>
    <w:p>
      <w:pPr>
        <w:pStyle w:val="ListParagraph"/>
        <w:numPr>
          <w:ilvl w:val="0"/>
          <w:numId w:val="386"/>
        </w:numPr>
        <w:tabs>
          <w:tab w:pos="2323" w:val="left" w:leader="none"/>
        </w:tabs>
        <w:spacing w:line="249" w:lineRule="auto" w:before="118" w:after="0"/>
        <w:ind w:left="1754" w:right="1272" w:firstLine="340"/>
        <w:jc w:val="both"/>
        <w:rPr>
          <w:sz w:val="20"/>
        </w:rPr>
      </w:pPr>
      <w:r>
        <w:rPr>
          <w:sz w:val="20"/>
        </w:rPr>
        <w:t>Las entidades gestoras de fondos de pensiones, y, en su caso, las comisiones de control, de una forma proporcionada con su tamaño y su organización interna y con el tamaño, la naturaleza, la escala y la complejidad de sus actividades, deberán disponer de una función eficaz de auditoría interna. La función de auditoría interna deberá disponer de una evaluación de la adecuación y eficacia del sistema de control interno y de otros elementos del sistema de gobierno, incluidas, cuando proceda, las actividades</w:t>
      </w:r>
      <w:r>
        <w:rPr>
          <w:spacing w:val="-2"/>
          <w:sz w:val="20"/>
        </w:rPr>
        <w:t> </w:t>
      </w:r>
      <w:r>
        <w:rPr>
          <w:sz w:val="20"/>
        </w:rPr>
        <w:t>externalizadas.</w:t>
      </w:r>
    </w:p>
    <w:p>
      <w:pPr>
        <w:pStyle w:val="ListParagraph"/>
        <w:numPr>
          <w:ilvl w:val="0"/>
          <w:numId w:val="386"/>
        </w:numPr>
        <w:tabs>
          <w:tab w:pos="2360" w:val="left" w:leader="none"/>
        </w:tabs>
        <w:spacing w:line="249" w:lineRule="auto" w:before="6" w:after="0"/>
        <w:ind w:left="1754" w:right="1272" w:firstLine="340"/>
        <w:jc w:val="both"/>
        <w:rPr>
          <w:sz w:val="20"/>
        </w:rPr>
      </w:pPr>
      <w:r>
        <w:rPr>
          <w:sz w:val="20"/>
        </w:rPr>
        <w:t>La función de auditoría interna deberá ser objetiva e independiente de las funciones operativas y de otras funciones clave y se desarrollará de acuerdo con lo establecido en la normativa de planes y fondos de</w:t>
      </w:r>
      <w:r>
        <w:rPr>
          <w:spacing w:val="-14"/>
          <w:sz w:val="20"/>
        </w:rPr>
        <w:t> </w:t>
      </w:r>
      <w:r>
        <w:rPr>
          <w:sz w:val="20"/>
        </w:rPr>
        <w:t>pensiones.</w:t>
      </w:r>
    </w:p>
    <w:p>
      <w:pPr>
        <w:pStyle w:val="ListParagraph"/>
        <w:numPr>
          <w:ilvl w:val="0"/>
          <w:numId w:val="386"/>
        </w:numPr>
        <w:tabs>
          <w:tab w:pos="2370" w:val="left" w:leader="none"/>
        </w:tabs>
        <w:spacing w:line="249" w:lineRule="auto" w:before="2" w:after="0"/>
        <w:ind w:left="1754" w:right="1273" w:firstLine="340"/>
        <w:jc w:val="both"/>
        <w:rPr>
          <w:sz w:val="20"/>
        </w:rPr>
      </w:pPr>
      <w:r>
        <w:rPr>
          <w:sz w:val="20"/>
        </w:rPr>
        <w:t>Las conclusiones y recomendaciones derivadas de la auditoría interna se notificarán al órgano de administración, el cual determinará qué acciones habrán de adoptarse con respecto de cada una de ellas y garantizará que dichas acciones se lleven a</w:t>
      </w:r>
      <w:r>
        <w:rPr>
          <w:spacing w:val="-3"/>
          <w:sz w:val="20"/>
        </w:rPr>
        <w:t> </w:t>
      </w:r>
      <w:r>
        <w:rPr>
          <w:sz w:val="20"/>
        </w:rPr>
        <w:t>cabo.</w:t>
      </w:r>
    </w:p>
    <w:p>
      <w:pPr>
        <w:pStyle w:val="ListParagraph"/>
        <w:numPr>
          <w:ilvl w:val="0"/>
          <w:numId w:val="386"/>
        </w:numPr>
        <w:tabs>
          <w:tab w:pos="2350" w:val="left" w:leader="none"/>
        </w:tabs>
        <w:spacing w:line="249" w:lineRule="auto" w:before="4" w:after="0"/>
        <w:ind w:left="1754" w:right="1271" w:firstLine="340"/>
        <w:jc w:val="both"/>
        <w:rPr>
          <w:sz w:val="20"/>
        </w:rPr>
      </w:pPr>
      <w:r>
        <w:rPr>
          <w:sz w:val="20"/>
        </w:rPr>
        <w:t>Anualmente la entidad gestora elaborará un informe sobre la efectividad de sus procedimientos de control interno, incidiendo en las deficiencias significativas detectadas, sus implicaciones y proponiendo, en su caso, las medidas que se consideren adecuadas para su subsanación. El referido informe será aprobado por el consejo de administración de la entidad gestora y remitido a la Dirección General de Seguros y Fondos de Pensiones junto con las cuentas anuales en el plazo establecido en el artículo</w:t>
      </w:r>
      <w:r>
        <w:rPr>
          <w:spacing w:val="-6"/>
          <w:sz w:val="20"/>
        </w:rPr>
        <w:t> </w:t>
      </w:r>
      <w:r>
        <w:rPr>
          <w:sz w:val="20"/>
        </w:rPr>
        <w:t>19.1.</w:t>
      </w:r>
    </w:p>
    <w:p>
      <w:pPr>
        <w:pStyle w:val="BodyText"/>
        <w:spacing w:line="249" w:lineRule="auto" w:before="5"/>
        <w:ind w:left="1754" w:right="1272"/>
      </w:pPr>
      <w:r>
        <w:rPr/>
        <w:t>Tanto las conclusiones y recomendaciones de la auditoría interna como el informe sobre la efectividad de los procedimientos de control interno deberán remitirse también a las comisiones de control de los fondos de pensiones gestionados.»</w:t>
      </w:r>
    </w:p>
    <w:p>
      <w:pPr>
        <w:pStyle w:val="BodyText"/>
        <w:spacing w:line="249" w:lineRule="auto" w:before="124"/>
        <w:ind w:right="1278"/>
        <w:jc w:val="left"/>
      </w:pPr>
      <w:r>
        <w:rPr/>
        <w:t>Diecisiete. Se introduce un nuevo artículo 30 quater en el capítulo VIII con la siguiente redacción:</w:t>
      </w:r>
    </w:p>
    <w:p>
      <w:pPr>
        <w:pStyle w:val="BodyText"/>
        <w:spacing w:before="4"/>
        <w:ind w:left="0" w:firstLine="0"/>
        <w:jc w:val="left"/>
      </w:pPr>
    </w:p>
    <w:p>
      <w:pPr>
        <w:spacing w:line="249" w:lineRule="auto" w:before="0"/>
        <w:ind w:left="1754" w:right="1273" w:hanging="1"/>
        <w:jc w:val="both"/>
        <w:rPr>
          <w:i/>
          <w:sz w:val="20"/>
        </w:rPr>
      </w:pPr>
      <w:r>
        <w:rPr>
          <w:b/>
          <w:sz w:val="20"/>
        </w:rPr>
        <w:t>«Artículo 30 quater. </w:t>
      </w:r>
      <w:r>
        <w:rPr>
          <w:i/>
          <w:sz w:val="20"/>
        </w:rPr>
        <w:t>Función actuarial relativa a los planes de pensiones de empleo </w:t>
      </w:r>
      <w:r>
        <w:rPr>
          <w:i/>
          <w:sz w:val="20"/>
        </w:rPr>
        <w:t>y servicios actuariales.</w:t>
      </w:r>
    </w:p>
    <w:p>
      <w:pPr>
        <w:pStyle w:val="ListParagraph"/>
        <w:numPr>
          <w:ilvl w:val="0"/>
          <w:numId w:val="387"/>
        </w:numPr>
        <w:tabs>
          <w:tab w:pos="2327" w:val="left" w:leader="none"/>
        </w:tabs>
        <w:spacing w:line="249" w:lineRule="auto" w:before="109" w:after="0"/>
        <w:ind w:left="1754" w:right="1273" w:firstLine="340"/>
        <w:jc w:val="both"/>
        <w:rPr>
          <w:sz w:val="20"/>
        </w:rPr>
      </w:pPr>
      <w:r>
        <w:rPr>
          <w:sz w:val="20"/>
        </w:rPr>
        <w:t>Cuando un plan de pensiones de empleo de prestación definida o mixto cubra los riesgos biométricos o garantice, ya sea el resultado de la inversión ya sea un nivel determinado de las prestaciones, y no esté totalmente asegurado por terceros, deberá establecerse una función actuarial eficaz, a fin</w:t>
      </w:r>
      <w:r>
        <w:rPr>
          <w:spacing w:val="-12"/>
          <w:sz w:val="20"/>
        </w:rPr>
        <w:t> </w:t>
      </w:r>
      <w:r>
        <w:rPr>
          <w:sz w:val="20"/>
        </w:rPr>
        <w:t>de:</w:t>
      </w:r>
    </w:p>
    <w:p>
      <w:pPr>
        <w:pStyle w:val="ListParagraph"/>
        <w:numPr>
          <w:ilvl w:val="0"/>
          <w:numId w:val="388"/>
        </w:numPr>
        <w:tabs>
          <w:tab w:pos="2328" w:val="left" w:leader="none"/>
        </w:tabs>
        <w:spacing w:line="240" w:lineRule="auto" w:before="173" w:after="0"/>
        <w:ind w:left="2327" w:right="0" w:hanging="234"/>
        <w:jc w:val="both"/>
        <w:rPr>
          <w:sz w:val="20"/>
        </w:rPr>
      </w:pPr>
      <w:r>
        <w:rPr>
          <w:sz w:val="20"/>
        </w:rPr>
        <w:t>En su caso, coordinar y supervisar el cálculo de las provisiones</w:t>
      </w:r>
      <w:r>
        <w:rPr>
          <w:spacing w:val="-8"/>
          <w:sz w:val="20"/>
        </w:rPr>
        <w:t> </w:t>
      </w:r>
      <w:r>
        <w:rPr>
          <w:sz w:val="20"/>
        </w:rPr>
        <w:t>técnicas.</w:t>
      </w:r>
    </w:p>
    <w:p>
      <w:pPr>
        <w:pStyle w:val="ListParagraph"/>
        <w:numPr>
          <w:ilvl w:val="0"/>
          <w:numId w:val="388"/>
        </w:numPr>
        <w:tabs>
          <w:tab w:pos="2356" w:val="left" w:leader="none"/>
        </w:tabs>
        <w:spacing w:line="249" w:lineRule="auto" w:before="10" w:after="0"/>
        <w:ind w:left="1754" w:right="1274" w:firstLine="340"/>
        <w:jc w:val="both"/>
        <w:rPr>
          <w:sz w:val="20"/>
        </w:rPr>
      </w:pPr>
      <w:r>
        <w:rPr>
          <w:sz w:val="20"/>
        </w:rPr>
        <w:t>Evaluar la idoneidad de los métodos y modelos subyacentes utilizados para calcular las provisiones técnicas y las hipótesis empleadas al</w:t>
      </w:r>
      <w:r>
        <w:rPr>
          <w:spacing w:val="-16"/>
          <w:sz w:val="20"/>
        </w:rPr>
        <w:t> </w:t>
      </w:r>
      <w:r>
        <w:rPr>
          <w:sz w:val="20"/>
        </w:rPr>
        <w:t>efecto.</w:t>
      </w:r>
    </w:p>
    <w:p>
      <w:pPr>
        <w:pStyle w:val="ListParagraph"/>
        <w:numPr>
          <w:ilvl w:val="0"/>
          <w:numId w:val="388"/>
        </w:numPr>
        <w:tabs>
          <w:tab w:pos="2339" w:val="left" w:leader="none"/>
        </w:tabs>
        <w:spacing w:line="249" w:lineRule="auto" w:before="2" w:after="0"/>
        <w:ind w:left="1754" w:right="1272" w:firstLine="340"/>
        <w:jc w:val="both"/>
        <w:rPr>
          <w:sz w:val="20"/>
        </w:rPr>
      </w:pPr>
      <w:r>
        <w:rPr>
          <w:sz w:val="20"/>
        </w:rPr>
        <w:t>Evaluar la suficiencia y la calidad de los datos utilizados en el cálculo de las provisiones</w:t>
      </w:r>
      <w:r>
        <w:rPr>
          <w:spacing w:val="-2"/>
          <w:sz w:val="20"/>
        </w:rPr>
        <w:t> </w:t>
      </w:r>
      <w:r>
        <w:rPr>
          <w:sz w:val="20"/>
        </w:rPr>
        <w:t>técnicas.</w:t>
      </w:r>
    </w:p>
    <w:p>
      <w:pPr>
        <w:pStyle w:val="ListParagraph"/>
        <w:numPr>
          <w:ilvl w:val="0"/>
          <w:numId w:val="388"/>
        </w:numPr>
        <w:tabs>
          <w:tab w:pos="2335" w:val="left" w:leader="none"/>
        </w:tabs>
        <w:spacing w:line="249" w:lineRule="auto" w:before="2" w:after="0"/>
        <w:ind w:left="1754" w:right="1273" w:firstLine="340"/>
        <w:jc w:val="both"/>
        <w:rPr>
          <w:sz w:val="20"/>
        </w:rPr>
      </w:pPr>
      <w:r>
        <w:rPr>
          <w:sz w:val="20"/>
        </w:rPr>
        <w:t>Cotejar las hipótesis en que se basa el cálculo de las provisiones técnicas con la</w:t>
      </w:r>
      <w:r>
        <w:rPr>
          <w:spacing w:val="-2"/>
          <w:sz w:val="20"/>
        </w:rPr>
        <w:t> </w:t>
      </w:r>
      <w:r>
        <w:rPr>
          <w:sz w:val="20"/>
        </w:rPr>
        <w:t>experiencia.</w:t>
      </w:r>
    </w:p>
    <w:p>
      <w:pPr>
        <w:pStyle w:val="ListParagraph"/>
        <w:numPr>
          <w:ilvl w:val="0"/>
          <w:numId w:val="388"/>
        </w:numPr>
        <w:tabs>
          <w:tab w:pos="2389" w:val="left" w:leader="none"/>
        </w:tabs>
        <w:spacing w:line="249" w:lineRule="auto" w:before="1" w:after="0"/>
        <w:ind w:left="1754" w:right="1272" w:firstLine="340"/>
        <w:jc w:val="both"/>
        <w:rPr>
          <w:sz w:val="20"/>
        </w:rPr>
      </w:pPr>
      <w:r>
        <w:rPr>
          <w:sz w:val="20"/>
        </w:rPr>
        <w:t>Informar a la comisión de control del plan y, en su caso, al órgano de administración o de dirección de la entidad gestora sobre la fiabilidad y la adecuación del cálculo de las provisiones</w:t>
      </w:r>
      <w:r>
        <w:rPr>
          <w:spacing w:val="-5"/>
          <w:sz w:val="20"/>
        </w:rPr>
        <w:t> </w:t>
      </w:r>
      <w:r>
        <w:rPr>
          <w:sz w:val="20"/>
        </w:rPr>
        <w:t>técnicas.</w:t>
      </w:r>
    </w:p>
    <w:p>
      <w:pPr>
        <w:pStyle w:val="ListParagraph"/>
        <w:numPr>
          <w:ilvl w:val="0"/>
          <w:numId w:val="388"/>
        </w:numPr>
        <w:tabs>
          <w:tab w:pos="2276" w:val="left" w:leader="none"/>
        </w:tabs>
        <w:spacing w:line="249" w:lineRule="auto" w:before="3" w:after="0"/>
        <w:ind w:left="1754" w:right="1272" w:firstLine="340"/>
        <w:jc w:val="both"/>
        <w:rPr>
          <w:sz w:val="20"/>
        </w:rPr>
      </w:pPr>
      <w:r>
        <w:rPr>
          <w:sz w:val="20"/>
        </w:rPr>
        <w:t>Pronunciarse sobre la política general de suscripción en caso de que el plan de pensiones cuente con una política de este</w:t>
      </w:r>
      <w:r>
        <w:rPr>
          <w:spacing w:val="-8"/>
          <w:sz w:val="20"/>
        </w:rPr>
        <w:t> </w:t>
      </w:r>
      <w:r>
        <w:rPr>
          <w:sz w:val="20"/>
        </w:rPr>
        <w:t>tipo.</w:t>
      </w:r>
    </w:p>
    <w:p>
      <w:pPr>
        <w:pStyle w:val="ListParagraph"/>
        <w:numPr>
          <w:ilvl w:val="0"/>
          <w:numId w:val="388"/>
        </w:numPr>
        <w:tabs>
          <w:tab w:pos="2338" w:val="left" w:leader="none"/>
        </w:tabs>
        <w:spacing w:line="249" w:lineRule="auto" w:before="1" w:after="0"/>
        <w:ind w:left="1754" w:right="1274" w:firstLine="340"/>
        <w:jc w:val="both"/>
        <w:rPr>
          <w:sz w:val="20"/>
        </w:rPr>
      </w:pPr>
      <w:r>
        <w:rPr>
          <w:sz w:val="20"/>
        </w:rPr>
        <w:t>Pronunciarse sobre la idoneidad de la cobertura del seguro en caso de que el plan de pensiones cuente con un régimen de este tipo,</w:t>
      </w:r>
      <w:r>
        <w:rPr>
          <w:spacing w:val="-9"/>
          <w:sz w:val="20"/>
        </w:rPr>
        <w:t> </w:t>
      </w:r>
      <w:r>
        <w:rPr>
          <w:sz w:val="20"/>
        </w:rPr>
        <w:t>y</w:t>
      </w:r>
    </w:p>
    <w:p>
      <w:pPr>
        <w:pStyle w:val="ListParagraph"/>
        <w:numPr>
          <w:ilvl w:val="0"/>
          <w:numId w:val="388"/>
        </w:numPr>
        <w:tabs>
          <w:tab w:pos="2328" w:val="left" w:leader="none"/>
        </w:tabs>
        <w:spacing w:line="240" w:lineRule="auto" w:before="2" w:after="0"/>
        <w:ind w:left="2327" w:right="0" w:hanging="234"/>
        <w:jc w:val="both"/>
        <w:rPr>
          <w:sz w:val="20"/>
        </w:rPr>
      </w:pPr>
      <w:r>
        <w:rPr>
          <w:sz w:val="20"/>
        </w:rPr>
        <w:t>Contribuir a la aplicación efectiva del sistema de gestión de</w:t>
      </w:r>
      <w:r>
        <w:rPr>
          <w:spacing w:val="-16"/>
          <w:sz w:val="20"/>
        </w:rPr>
        <w:t> </w:t>
      </w:r>
      <w:r>
        <w:rPr>
          <w:sz w:val="20"/>
        </w:rPr>
        <w:t>riesgos.</w:t>
      </w:r>
    </w:p>
    <w:p>
      <w:pPr>
        <w:spacing w:after="0" w:line="240"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3"/>
      </w:pPr>
      <w:r>
        <w:rPr/>
        <w:t>Se entiende por riesgos biométricos los riesgos que recaen sobre las personas relacionados con el fallecimiento, la invalidez y la supervivencia.</w:t>
      </w:r>
    </w:p>
    <w:p>
      <w:pPr>
        <w:pStyle w:val="ListParagraph"/>
        <w:numPr>
          <w:ilvl w:val="0"/>
          <w:numId w:val="387"/>
        </w:numPr>
        <w:tabs>
          <w:tab w:pos="2364" w:val="left" w:leader="none"/>
        </w:tabs>
        <w:spacing w:line="249" w:lineRule="auto" w:before="2" w:after="0"/>
        <w:ind w:left="1754" w:right="1272" w:firstLine="340"/>
        <w:jc w:val="both"/>
        <w:rPr>
          <w:sz w:val="20"/>
        </w:rPr>
      </w:pPr>
      <w:r>
        <w:rPr>
          <w:sz w:val="20"/>
        </w:rPr>
        <w:t>Los servicios actuariales correspondientes a planes de pensiones deberán realizarse por personas que tengan conocimientos suficientes de matemática actuarial y financiera, acordes con la naturaleza, el volumen y complejidad de los riesgos inherentes al desarrollo del plan de pensiones y que puedan acreditar la oportuna experiencia en relación con las normas profesionales y de otra índole, aplicables. La prestación de tales servicios podrán realizarla en nombre propio o por cuenta de una entidad proveedora de tales servicios en la que desarrollen su actividad en virtud de relación laboral o</w:t>
      </w:r>
      <w:r>
        <w:rPr>
          <w:spacing w:val="-7"/>
          <w:sz w:val="20"/>
        </w:rPr>
        <w:t> </w:t>
      </w:r>
      <w:r>
        <w:rPr>
          <w:sz w:val="20"/>
        </w:rPr>
        <w:t>mercantil.</w:t>
      </w:r>
    </w:p>
    <w:p>
      <w:pPr>
        <w:pStyle w:val="BodyText"/>
        <w:spacing w:line="249" w:lineRule="auto" w:before="6"/>
        <w:ind w:left="1754" w:right="1273"/>
      </w:pPr>
      <w:r>
        <w:rPr/>
        <w:t>Los actuarios de seguros podrán desempeñar, en todo caso, los servicios actuariales correspondientes a planes de pensiones.</w:t>
      </w:r>
    </w:p>
    <w:p>
      <w:pPr>
        <w:pStyle w:val="ListParagraph"/>
        <w:numPr>
          <w:ilvl w:val="0"/>
          <w:numId w:val="387"/>
        </w:numPr>
        <w:tabs>
          <w:tab w:pos="2319" w:val="left" w:leader="none"/>
        </w:tabs>
        <w:spacing w:line="249" w:lineRule="auto" w:before="2" w:after="0"/>
        <w:ind w:left="1754" w:right="1275" w:firstLine="340"/>
        <w:jc w:val="both"/>
        <w:rPr>
          <w:sz w:val="20"/>
        </w:rPr>
      </w:pPr>
      <w:r>
        <w:rPr>
          <w:sz w:val="20"/>
        </w:rPr>
        <w:t>Las comisiones de control de los planes elegirán a los prestadores de servicios actuariales para el desenvolvimiento ordinario del plan de pensiones, que incluirá, en su caso, la función actuarial prevista en el apartado</w:t>
      </w:r>
      <w:r>
        <w:rPr>
          <w:spacing w:val="-10"/>
          <w:sz w:val="20"/>
        </w:rPr>
        <w:t> </w:t>
      </w:r>
      <w:r>
        <w:rPr>
          <w:sz w:val="20"/>
        </w:rPr>
        <w:t>1.</w:t>
      </w:r>
    </w:p>
    <w:p>
      <w:pPr>
        <w:pStyle w:val="BodyText"/>
        <w:spacing w:line="249" w:lineRule="auto" w:before="3"/>
        <w:ind w:left="1754" w:right="1273"/>
      </w:pPr>
      <w:r>
        <w:rPr/>
        <w:t>A efectos de lo previsto en el párrafo anterior la comisión de control del plan podrá designar a personas que actúen en nombre propio o que desarrollen su actividad en una entidad proveedora de servicios actuariales. La entidad gestora o la depositaria o promotora del fondo o la promotora o aseguradora del plan o alguna entidad del grupo de cualquiera de ellas podrán ser proveedoras de los servicios actuariales del plan, así como personas que, teniendo relación laboral o mercantil con dichas entidades, actúen para el plan en nombre propio. En su caso, la comisión de control arbitrará las medidas oportunas para evitar o gestionar conflictos de interés entre el promotor y los partícipes y</w:t>
      </w:r>
      <w:r>
        <w:rPr>
          <w:spacing w:val="-13"/>
        </w:rPr>
        <w:t> </w:t>
      </w:r>
      <w:r>
        <w:rPr/>
        <w:t>beneficiarios.</w:t>
      </w:r>
    </w:p>
    <w:p>
      <w:pPr>
        <w:pStyle w:val="BodyText"/>
        <w:spacing w:line="249" w:lineRule="auto" w:before="7"/>
        <w:ind w:left="1754" w:right="1276"/>
      </w:pPr>
      <w:r>
        <w:rPr/>
        <w:t>Lo dispuesto en este apartado será aplicable sin perjuicio de lo previsto en el artículo 9.5.»</w:t>
      </w:r>
    </w:p>
    <w:p>
      <w:pPr>
        <w:pStyle w:val="BodyText"/>
        <w:spacing w:line="249" w:lineRule="auto" w:before="122"/>
        <w:ind w:right="1647" w:firstLine="339"/>
        <w:jc w:val="left"/>
      </w:pPr>
      <w:r>
        <w:rPr/>
        <w:t>Dieciocho. Se introduce un nuevo artículo 30 quinquies en el capítulo VIII con la  siguiente redacción:</w:t>
      </w:r>
    </w:p>
    <w:p>
      <w:pPr>
        <w:pStyle w:val="BodyText"/>
        <w:spacing w:before="4"/>
        <w:ind w:left="0" w:firstLine="0"/>
        <w:jc w:val="left"/>
      </w:pPr>
    </w:p>
    <w:p>
      <w:pPr>
        <w:spacing w:line="249" w:lineRule="auto" w:before="0"/>
        <w:ind w:left="1754" w:right="1273" w:firstLine="0"/>
        <w:jc w:val="both"/>
        <w:rPr>
          <w:i/>
          <w:sz w:val="20"/>
        </w:rPr>
      </w:pPr>
      <w:r>
        <w:rPr>
          <w:b/>
          <w:sz w:val="20"/>
        </w:rPr>
        <w:t>«Artículo 30 quinquies. </w:t>
      </w:r>
      <w:r>
        <w:rPr>
          <w:i/>
          <w:sz w:val="20"/>
        </w:rPr>
        <w:t>Evaluación interna de riesgos en los fondos de pensiones </w:t>
      </w:r>
      <w:r>
        <w:rPr>
          <w:i/>
          <w:sz w:val="20"/>
        </w:rPr>
        <w:t>de</w:t>
      </w:r>
      <w:r>
        <w:rPr>
          <w:i/>
          <w:spacing w:val="-2"/>
          <w:sz w:val="20"/>
        </w:rPr>
        <w:t> </w:t>
      </w:r>
      <w:r>
        <w:rPr>
          <w:i/>
          <w:sz w:val="20"/>
        </w:rPr>
        <w:t>empleo.</w:t>
      </w:r>
    </w:p>
    <w:p>
      <w:pPr>
        <w:pStyle w:val="ListParagraph"/>
        <w:numPr>
          <w:ilvl w:val="0"/>
          <w:numId w:val="389"/>
        </w:numPr>
        <w:tabs>
          <w:tab w:pos="2331" w:val="left" w:leader="none"/>
        </w:tabs>
        <w:spacing w:line="249" w:lineRule="auto" w:before="109" w:after="0"/>
        <w:ind w:left="1754" w:right="1273" w:firstLine="340"/>
        <w:jc w:val="both"/>
        <w:rPr>
          <w:sz w:val="20"/>
        </w:rPr>
      </w:pPr>
      <w:r>
        <w:rPr>
          <w:sz w:val="20"/>
        </w:rPr>
        <w:t>Las entidades gestoras de fondos de pensiones de empleo y, en su caso, las comisiones de control, deberán llevar a cabo y documentar, de forma proporcionada con la organización interna, así como con el tamaño, la naturaleza, la escala y complejidad de las actividades del fondo o fondos de empleo administrados una evaluación interna de riesgo de cada fondo de pensiones de</w:t>
      </w:r>
      <w:r>
        <w:rPr>
          <w:spacing w:val="-16"/>
          <w:sz w:val="20"/>
        </w:rPr>
        <w:t> </w:t>
      </w:r>
      <w:r>
        <w:rPr>
          <w:sz w:val="20"/>
        </w:rPr>
        <w:t>empleo.</w:t>
      </w:r>
    </w:p>
    <w:p>
      <w:pPr>
        <w:pStyle w:val="BodyText"/>
        <w:spacing w:line="249" w:lineRule="auto" w:before="4"/>
        <w:ind w:left="1754" w:right="1272"/>
      </w:pPr>
      <w:r>
        <w:rPr/>
        <w:t>Dicha evaluación interna de los riesgos se efectuará de manera regular al menos cada tres años, y en todo caso inmediatamente después de que se produzcan cambios significativos del perfil de riesgo del fondo o de los planes de pensiones integrados en el fondo de pensiones. Cuando se produzca un cambio significativo en el perfil de riesgo de un plan de pensiones específico, la evaluación de los riesgos podrá limitarse a ese plan de pensiones.</w:t>
      </w:r>
    </w:p>
    <w:p>
      <w:pPr>
        <w:pStyle w:val="ListParagraph"/>
        <w:numPr>
          <w:ilvl w:val="0"/>
          <w:numId w:val="389"/>
        </w:numPr>
        <w:tabs>
          <w:tab w:pos="2327" w:val="left" w:leader="none"/>
        </w:tabs>
        <w:spacing w:line="249" w:lineRule="auto" w:before="5" w:after="0"/>
        <w:ind w:left="1754" w:right="1276" w:firstLine="340"/>
        <w:jc w:val="both"/>
        <w:rPr>
          <w:sz w:val="20"/>
        </w:rPr>
      </w:pPr>
      <w:r>
        <w:rPr>
          <w:sz w:val="20"/>
        </w:rPr>
        <w:t>Reglamentariamente se determinará el contenido que la evaluación interna de riesgos ha de</w:t>
      </w:r>
      <w:r>
        <w:rPr>
          <w:spacing w:val="-3"/>
          <w:sz w:val="20"/>
        </w:rPr>
        <w:t> </w:t>
      </w:r>
      <w:r>
        <w:rPr>
          <w:sz w:val="20"/>
        </w:rPr>
        <w:t>incluir.</w:t>
      </w:r>
    </w:p>
    <w:p>
      <w:pPr>
        <w:pStyle w:val="ListParagraph"/>
        <w:numPr>
          <w:ilvl w:val="0"/>
          <w:numId w:val="389"/>
        </w:numPr>
        <w:tabs>
          <w:tab w:pos="2354" w:val="left" w:leader="none"/>
        </w:tabs>
        <w:spacing w:line="249" w:lineRule="auto" w:before="2" w:after="0"/>
        <w:ind w:left="1754" w:right="1273" w:firstLine="340"/>
        <w:jc w:val="both"/>
        <w:rPr>
          <w:sz w:val="20"/>
        </w:rPr>
      </w:pPr>
      <w:r>
        <w:rPr>
          <w:sz w:val="20"/>
        </w:rPr>
        <w:t>Las entidades gestoras dispondrán de métodos para detectar y evaluar los riesgos a los que estén o puedan estar expuestos a corto y a largo plazo los fondos de pensiones que gestionan y que pudieran influir en la capacidad del fondo para cumplir sus obligaciones. Esos métodos deberán ser proporcionados al tamaño, la naturaleza, la escala y la complejidad de los riesgos inherentes a sus actividades. Los métodos deberán describirse en la propia evaluación de los</w:t>
      </w:r>
      <w:r>
        <w:rPr>
          <w:spacing w:val="-21"/>
          <w:sz w:val="20"/>
        </w:rPr>
        <w:t> </w:t>
      </w:r>
      <w:r>
        <w:rPr>
          <w:sz w:val="20"/>
        </w:rPr>
        <w:t>riesgos.</w:t>
      </w:r>
    </w:p>
    <w:p>
      <w:pPr>
        <w:pStyle w:val="ListParagraph"/>
        <w:numPr>
          <w:ilvl w:val="0"/>
          <w:numId w:val="389"/>
        </w:numPr>
        <w:tabs>
          <w:tab w:pos="2350" w:val="left" w:leader="none"/>
        </w:tabs>
        <w:spacing w:line="249" w:lineRule="auto" w:before="5" w:after="0"/>
        <w:ind w:left="1754" w:right="1275" w:firstLine="340"/>
        <w:jc w:val="both"/>
        <w:rPr>
          <w:sz w:val="20"/>
        </w:rPr>
      </w:pPr>
      <w:r>
        <w:rPr>
          <w:sz w:val="20"/>
        </w:rPr>
        <w:t>La evaluación interna de los riesgos se tendrá en cuenta en las decisiones estratégicas del fondo de pensiones de</w:t>
      </w:r>
      <w:r>
        <w:rPr>
          <w:spacing w:val="-8"/>
          <w:sz w:val="20"/>
        </w:rPr>
        <w:t> </w:t>
      </w:r>
      <w:r>
        <w:rPr>
          <w:sz w:val="20"/>
        </w:rPr>
        <w:t>empleo.</w:t>
      </w:r>
    </w:p>
    <w:p>
      <w:pPr>
        <w:pStyle w:val="ListParagraph"/>
        <w:numPr>
          <w:ilvl w:val="0"/>
          <w:numId w:val="389"/>
        </w:numPr>
        <w:tabs>
          <w:tab w:pos="2320" w:val="left" w:leader="none"/>
        </w:tabs>
        <w:spacing w:line="249" w:lineRule="auto" w:before="1" w:after="0"/>
        <w:ind w:left="1754" w:right="1272" w:firstLine="340"/>
        <w:jc w:val="both"/>
        <w:rPr>
          <w:sz w:val="20"/>
        </w:rPr>
      </w:pPr>
      <w:r>
        <w:rPr>
          <w:sz w:val="20"/>
        </w:rPr>
        <w:t>Las entidades gestoras comunicarán los resultados de cada evaluación interna a la Dirección General de Seguros y Fondos de Pensiones y a las comisiones de control correspondientes en un plazo de quince días hábiles desde su aprobación por el órgano de</w:t>
      </w:r>
      <w:r>
        <w:rPr>
          <w:spacing w:val="-4"/>
          <w:sz w:val="20"/>
        </w:rPr>
        <w:t> </w:t>
      </w:r>
      <w:r>
        <w:rPr>
          <w:sz w:val="20"/>
        </w:rPr>
        <w:t>administración.»</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8"/>
        <w:jc w:val="left"/>
      </w:pPr>
      <w:r>
        <w:rPr/>
        <w:t>Diecinueve. Se introduce un nuevo artículo 30 sexies en el capítulo VIII con la siguiente redacción:</w:t>
      </w:r>
    </w:p>
    <w:p>
      <w:pPr>
        <w:pStyle w:val="BodyText"/>
        <w:spacing w:before="4"/>
        <w:ind w:left="0" w:firstLine="0"/>
        <w:jc w:val="left"/>
      </w:pPr>
    </w:p>
    <w:p>
      <w:pPr>
        <w:spacing w:before="0"/>
        <w:ind w:left="1754" w:right="0" w:firstLine="0"/>
        <w:jc w:val="both"/>
        <w:rPr>
          <w:i/>
          <w:sz w:val="20"/>
        </w:rPr>
      </w:pPr>
      <w:r>
        <w:rPr>
          <w:b/>
          <w:sz w:val="20"/>
        </w:rPr>
        <w:t>«Artículo 30 sexies.</w:t>
      </w:r>
      <w:r>
        <w:rPr>
          <w:b/>
          <w:spacing w:val="52"/>
          <w:sz w:val="20"/>
        </w:rPr>
        <w:t> </w:t>
      </w:r>
      <w:r>
        <w:rPr>
          <w:i/>
          <w:sz w:val="20"/>
        </w:rPr>
        <w:t>Externalización.</w:t>
      </w:r>
    </w:p>
    <w:p>
      <w:pPr>
        <w:pStyle w:val="ListParagraph"/>
        <w:numPr>
          <w:ilvl w:val="0"/>
          <w:numId w:val="390"/>
        </w:numPr>
        <w:tabs>
          <w:tab w:pos="2345" w:val="left" w:leader="none"/>
        </w:tabs>
        <w:spacing w:line="249" w:lineRule="auto" w:before="118" w:after="0"/>
        <w:ind w:left="1754" w:right="1272" w:firstLine="340"/>
        <w:jc w:val="both"/>
        <w:rPr>
          <w:sz w:val="20"/>
        </w:rPr>
      </w:pPr>
      <w:r>
        <w:rPr>
          <w:sz w:val="20"/>
        </w:rPr>
        <w:t>Las entidades gestoras de fondos de pensiones y las comisiones de control podrán encomendar cualesquiera actividades, incluidas funciones clave, en su totalidad o en parte, a prestadores de servicios que actúen en nombre de la entidad con las excepciones y condiciones que se establezcan</w:t>
      </w:r>
      <w:r>
        <w:rPr>
          <w:spacing w:val="-12"/>
          <w:sz w:val="20"/>
        </w:rPr>
        <w:t> </w:t>
      </w:r>
      <w:r>
        <w:rPr>
          <w:sz w:val="20"/>
        </w:rPr>
        <w:t>reglamentariamente.</w:t>
      </w:r>
    </w:p>
    <w:p>
      <w:pPr>
        <w:pStyle w:val="ListParagraph"/>
        <w:numPr>
          <w:ilvl w:val="0"/>
          <w:numId w:val="390"/>
        </w:numPr>
        <w:tabs>
          <w:tab w:pos="2321" w:val="left" w:leader="none"/>
        </w:tabs>
        <w:spacing w:line="249" w:lineRule="auto" w:before="3" w:after="0"/>
        <w:ind w:left="1754" w:right="1272" w:firstLine="340"/>
        <w:jc w:val="both"/>
        <w:rPr>
          <w:sz w:val="20"/>
        </w:rPr>
      </w:pPr>
      <w:r>
        <w:rPr>
          <w:sz w:val="20"/>
        </w:rPr>
        <w:t>La entidad gestora y la comisión de control seguirán respondiendo plenamente del cumplimiento de las obligaciones que para ella se deriven de esta Ley y sus normas de desarrollo cuando externalicen funciones clave o cualquier otra</w:t>
      </w:r>
      <w:r>
        <w:rPr>
          <w:spacing w:val="-37"/>
          <w:sz w:val="20"/>
        </w:rPr>
        <w:t> </w:t>
      </w:r>
      <w:r>
        <w:rPr>
          <w:sz w:val="20"/>
        </w:rPr>
        <w:t>actividad.</w:t>
      </w:r>
    </w:p>
    <w:p>
      <w:pPr>
        <w:pStyle w:val="ListParagraph"/>
        <w:numPr>
          <w:ilvl w:val="0"/>
          <w:numId w:val="390"/>
        </w:numPr>
        <w:tabs>
          <w:tab w:pos="2343" w:val="left" w:leader="none"/>
        </w:tabs>
        <w:spacing w:line="249" w:lineRule="auto" w:before="3" w:after="0"/>
        <w:ind w:left="1754" w:right="1274" w:firstLine="340"/>
        <w:jc w:val="both"/>
        <w:rPr>
          <w:sz w:val="20"/>
        </w:rPr>
      </w:pPr>
      <w:r>
        <w:rPr>
          <w:sz w:val="20"/>
        </w:rPr>
        <w:t>La externalización de funciones clave o de cualquier otra actividad no podrá realizarse de tal forma que</w:t>
      </w:r>
      <w:r>
        <w:rPr>
          <w:spacing w:val="-3"/>
          <w:sz w:val="20"/>
        </w:rPr>
        <w:t> </w:t>
      </w:r>
      <w:r>
        <w:rPr>
          <w:sz w:val="20"/>
        </w:rPr>
        <w:t>pueda:</w:t>
      </w:r>
    </w:p>
    <w:p>
      <w:pPr>
        <w:pStyle w:val="ListParagraph"/>
        <w:numPr>
          <w:ilvl w:val="0"/>
          <w:numId w:val="391"/>
        </w:numPr>
        <w:tabs>
          <w:tab w:pos="2328" w:val="left" w:leader="none"/>
        </w:tabs>
        <w:spacing w:line="240" w:lineRule="auto" w:before="171" w:after="0"/>
        <w:ind w:left="2327" w:right="0" w:hanging="234"/>
        <w:jc w:val="left"/>
        <w:rPr>
          <w:sz w:val="20"/>
        </w:rPr>
      </w:pPr>
      <w:r>
        <w:rPr>
          <w:sz w:val="20"/>
        </w:rPr>
        <w:t>Perjudicar la calidad del sistema de</w:t>
      </w:r>
      <w:r>
        <w:rPr>
          <w:spacing w:val="-4"/>
          <w:sz w:val="20"/>
        </w:rPr>
        <w:t> </w:t>
      </w:r>
      <w:r>
        <w:rPr>
          <w:sz w:val="20"/>
        </w:rPr>
        <w:t>gobierno.</w:t>
      </w:r>
    </w:p>
    <w:p>
      <w:pPr>
        <w:pStyle w:val="ListParagraph"/>
        <w:numPr>
          <w:ilvl w:val="0"/>
          <w:numId w:val="391"/>
        </w:numPr>
        <w:tabs>
          <w:tab w:pos="2328" w:val="left" w:leader="none"/>
        </w:tabs>
        <w:spacing w:line="240" w:lineRule="auto" w:before="10" w:after="0"/>
        <w:ind w:left="2327" w:right="0" w:hanging="234"/>
        <w:jc w:val="left"/>
        <w:rPr>
          <w:sz w:val="20"/>
        </w:rPr>
      </w:pPr>
      <w:r>
        <w:rPr>
          <w:sz w:val="20"/>
        </w:rPr>
        <w:t>Aumentar indebidamente el riesgo</w:t>
      </w:r>
      <w:r>
        <w:rPr>
          <w:spacing w:val="-4"/>
          <w:sz w:val="20"/>
        </w:rPr>
        <w:t> </w:t>
      </w:r>
      <w:r>
        <w:rPr>
          <w:sz w:val="20"/>
        </w:rPr>
        <w:t>operacional.</w:t>
      </w:r>
    </w:p>
    <w:p>
      <w:pPr>
        <w:pStyle w:val="ListParagraph"/>
        <w:numPr>
          <w:ilvl w:val="0"/>
          <w:numId w:val="391"/>
        </w:numPr>
        <w:tabs>
          <w:tab w:pos="2318" w:val="left" w:leader="none"/>
        </w:tabs>
        <w:spacing w:line="249" w:lineRule="auto" w:before="10" w:after="0"/>
        <w:ind w:left="1754" w:right="1273" w:firstLine="340"/>
        <w:jc w:val="left"/>
        <w:rPr>
          <w:sz w:val="20"/>
        </w:rPr>
      </w:pPr>
      <w:r>
        <w:rPr>
          <w:sz w:val="20"/>
        </w:rPr>
        <w:t>Menoscabar la capacidad de las autoridades competentes para comprobar que se cumplen las obligaciones derivadas de la</w:t>
      </w:r>
      <w:r>
        <w:rPr>
          <w:spacing w:val="-10"/>
          <w:sz w:val="20"/>
        </w:rPr>
        <w:t> </w:t>
      </w:r>
      <w:r>
        <w:rPr>
          <w:sz w:val="20"/>
        </w:rPr>
        <w:t>normativa.</w:t>
      </w:r>
    </w:p>
    <w:p>
      <w:pPr>
        <w:pStyle w:val="ListParagraph"/>
        <w:numPr>
          <w:ilvl w:val="0"/>
          <w:numId w:val="391"/>
        </w:numPr>
        <w:tabs>
          <w:tab w:pos="2328" w:val="left" w:leader="none"/>
        </w:tabs>
        <w:spacing w:line="240" w:lineRule="auto" w:before="2" w:after="0"/>
        <w:ind w:left="2327" w:right="0" w:hanging="234"/>
        <w:jc w:val="left"/>
        <w:rPr>
          <w:sz w:val="20"/>
        </w:rPr>
      </w:pPr>
      <w:r>
        <w:rPr>
          <w:sz w:val="20"/>
        </w:rPr>
        <w:t>Socavar el servicio continuo y satisfactorio a los partícipes y</w:t>
      </w:r>
      <w:r>
        <w:rPr>
          <w:spacing w:val="-11"/>
          <w:sz w:val="20"/>
        </w:rPr>
        <w:t> </w:t>
      </w:r>
      <w:r>
        <w:rPr>
          <w:sz w:val="20"/>
        </w:rPr>
        <w:t>beneficiarios.</w:t>
      </w:r>
    </w:p>
    <w:p>
      <w:pPr>
        <w:pStyle w:val="ListParagraph"/>
        <w:numPr>
          <w:ilvl w:val="0"/>
          <w:numId w:val="390"/>
        </w:numPr>
        <w:tabs>
          <w:tab w:pos="2394" w:val="left" w:leader="none"/>
        </w:tabs>
        <w:spacing w:line="249" w:lineRule="auto" w:before="180" w:after="0"/>
        <w:ind w:left="1754" w:right="1273" w:firstLine="340"/>
        <w:jc w:val="both"/>
        <w:rPr>
          <w:sz w:val="20"/>
        </w:rPr>
      </w:pPr>
      <w:r>
        <w:rPr>
          <w:sz w:val="20"/>
        </w:rPr>
        <w:t>La entidad gestora deberá garantizar el correcto funcionamiento de las actividades externalizadas a través del proceso de selección de un prestador de servicios y el seguimiento permanente de las actividades de dicho prestador de servicios. Para ello deberá designar dentro de la entidad a una persona responsable de la función o actividad externalizada, que cuente con la experiencia y conocimientos suficientes para comprobar la actuación de los proveedores de servicios.</w:t>
      </w:r>
    </w:p>
    <w:p>
      <w:pPr>
        <w:pStyle w:val="ListParagraph"/>
        <w:numPr>
          <w:ilvl w:val="0"/>
          <w:numId w:val="390"/>
        </w:numPr>
        <w:tabs>
          <w:tab w:pos="2323" w:val="left" w:leader="none"/>
        </w:tabs>
        <w:spacing w:line="249" w:lineRule="auto" w:before="6" w:after="0"/>
        <w:ind w:left="1754" w:right="1274" w:firstLine="340"/>
        <w:jc w:val="both"/>
        <w:rPr>
          <w:sz w:val="20"/>
        </w:rPr>
      </w:pPr>
      <w:r>
        <w:rPr>
          <w:sz w:val="20"/>
        </w:rPr>
        <w:t>Para la externalización de actividades, incluidas las funciones clave, la entidad gestora deberá suscribir un acuerdo escrito con el prestador de los servicios. Dicho acuerdo tendrá eficacia jurídica y definirá con claridad los derechos y obligaciones de la entidad gestora y del prestador de servicios, incluyendo la adopción de las medidas necesarias desde el punto de vista de la normativa de protección de datos personales.</w:t>
      </w:r>
    </w:p>
    <w:p>
      <w:pPr>
        <w:pStyle w:val="BodyText"/>
        <w:spacing w:line="249" w:lineRule="auto" w:before="5"/>
        <w:ind w:left="1754" w:right="1271"/>
      </w:pPr>
      <w:r>
        <w:rPr/>
        <w:t>En el caso de que el prestador del servicio vaya a ser encargado del tratamiento de datos personales, la gestora elegirá un prestador que ofrezca garantías suficientes para aplicar medidas técnicas y organizativas apropiadas a tal efecto. El acuerdo previsto en el párrafo anterior incluirá el contenido del artículo 28.3 del Reglamento (UE) 2016/679, del Parlamento Europeo y del Consejo, de 27 de abril de 2016, relativo a la protección de las personas físicas en lo que respecta al tratamiento de datos personales y a la libre circulación de estos datos por el que se deroga la Directiva</w:t>
      </w:r>
      <w:r>
        <w:rPr>
          <w:spacing w:val="-4"/>
        </w:rPr>
        <w:t> </w:t>
      </w:r>
      <w:r>
        <w:rPr/>
        <w:t>95/46/CE.</w:t>
      </w:r>
    </w:p>
    <w:p>
      <w:pPr>
        <w:pStyle w:val="ListParagraph"/>
        <w:numPr>
          <w:ilvl w:val="0"/>
          <w:numId w:val="390"/>
        </w:numPr>
        <w:tabs>
          <w:tab w:pos="2376" w:val="left" w:leader="none"/>
        </w:tabs>
        <w:spacing w:line="249" w:lineRule="auto" w:before="6" w:after="0"/>
        <w:ind w:left="1754" w:right="1272" w:firstLine="340"/>
        <w:jc w:val="both"/>
        <w:rPr>
          <w:sz w:val="20"/>
        </w:rPr>
      </w:pPr>
      <w:r>
        <w:rPr>
          <w:sz w:val="20"/>
        </w:rPr>
        <w:t>Las entidades gestoras de fondos de pensiones deberán comunicar a la Dirección General de Seguros y Fondos de Pensiones y a las comisiones de control correspondientes la externalización de sus</w:t>
      </w:r>
      <w:r>
        <w:rPr>
          <w:spacing w:val="-6"/>
          <w:sz w:val="20"/>
        </w:rPr>
        <w:t> </w:t>
      </w:r>
      <w:r>
        <w:rPr>
          <w:sz w:val="20"/>
        </w:rPr>
        <w:t>actividades.</w:t>
      </w:r>
    </w:p>
    <w:p>
      <w:pPr>
        <w:pStyle w:val="BodyText"/>
        <w:spacing w:line="249" w:lineRule="auto" w:before="3"/>
        <w:ind w:left="1754" w:right="1272"/>
      </w:pPr>
      <w:r>
        <w:rPr/>
        <w:t>Cuando la externalización se refiera a las funciones clave, la citada comunicación se realizará antes de la formalización del acuerdo de externalización correspondiente. En el plazo de un mes desde la recepción de la citada comunicación previa la Dirección General de Seguros y Fondos de Pensiones podrá oponerse a la externalización mediante resolución motivada cuando se de alguno de los supuestos establecidos en el apartado 3. Dicha resolución será susceptible de recurso de alzada y contencioso</w:t>
      </w:r>
      <w:r>
        <w:rPr>
          <w:spacing w:val="-4"/>
        </w:rPr>
        <w:t> </w:t>
      </w:r>
      <w:r>
        <w:rPr/>
        <w:t>administrativo.</w:t>
      </w:r>
    </w:p>
    <w:p>
      <w:pPr>
        <w:pStyle w:val="BodyText"/>
        <w:spacing w:line="249" w:lineRule="auto" w:before="6"/>
        <w:ind w:left="1754" w:right="1272"/>
      </w:pPr>
      <w:r>
        <w:rPr/>
        <w:t>Asimismo, deberá notificarse a la Dirección General de Seguros y Fondos de Pensiones y a la comisión de control correspondiente cualquier cambio ulterior importante en relación con las actividades que hayan podido externalizarse.</w:t>
      </w:r>
    </w:p>
    <w:p>
      <w:pPr>
        <w:pStyle w:val="BodyText"/>
        <w:spacing w:line="249" w:lineRule="auto"/>
        <w:ind w:left="1754" w:right="1272"/>
      </w:pPr>
      <w:r>
        <w:rPr/>
        <w:t>Reglamentariamente podrán establecerse los términos y condiciones de las comunicaciones previstas en este apartado, así como el plazo o frecuencia de la comunicación a la Dirección General de Seguros y Fondos de Pensiones de las actividades externalizadas que no constituyan funciones clave.</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390"/>
        </w:numPr>
        <w:tabs>
          <w:tab w:pos="2337" w:val="left" w:leader="none"/>
        </w:tabs>
        <w:spacing w:line="249" w:lineRule="auto" w:before="127" w:after="0"/>
        <w:ind w:left="1754" w:right="1271" w:firstLine="340"/>
        <w:jc w:val="both"/>
        <w:rPr>
          <w:sz w:val="20"/>
        </w:rPr>
      </w:pPr>
      <w:r>
        <w:rPr>
          <w:sz w:val="20"/>
        </w:rPr>
        <w:t>La Dirección General de Seguros y Fondos de Pensiones podrá solicitar a la entidad gestora y a los prestadores de servicios y, en su caso, a las comisiones de control en cualquier momento información sobre las funciones clave y cualquier otra actividad que</w:t>
      </w:r>
      <w:r>
        <w:rPr>
          <w:spacing w:val="-3"/>
          <w:sz w:val="20"/>
        </w:rPr>
        <w:t> </w:t>
      </w:r>
      <w:r>
        <w:rPr>
          <w:sz w:val="20"/>
        </w:rPr>
        <w:t>externalicen.»</w:t>
      </w:r>
    </w:p>
    <w:p>
      <w:pPr>
        <w:pStyle w:val="BodyText"/>
        <w:spacing w:line="249" w:lineRule="auto" w:before="123"/>
        <w:ind w:right="1274"/>
      </w:pPr>
      <w:r>
        <w:rPr/>
        <w:t>Veinte. En el apartado 1 del artículo 34 se añaden un nuevo párrafo d) en el número 1.º y un nuevo párrafo h) en el número 2.º con la siguiente redacción:</w:t>
      </w:r>
    </w:p>
    <w:p>
      <w:pPr>
        <w:pStyle w:val="BodyText"/>
        <w:spacing w:line="249" w:lineRule="auto" w:before="172"/>
        <w:ind w:left="1754" w:right="1274"/>
      </w:pPr>
      <w:r>
        <w:rPr/>
        <w:t>«d) Deficiencias relevantes en el sistema de gobierno o en el sistema de control interno, que impidan la gestión de la actividad y, en especial, el cumplimiento de las obligaciones en materia de gestión de riesgos, auditoría interna y en su caso, actuarial, o en la externalización de funciones o</w:t>
      </w:r>
      <w:r>
        <w:rPr>
          <w:spacing w:val="-14"/>
        </w:rPr>
        <w:t> </w:t>
      </w:r>
      <w:r>
        <w:rPr/>
        <w:t>actividades.»</w:t>
      </w:r>
    </w:p>
    <w:p>
      <w:pPr>
        <w:pStyle w:val="BodyText"/>
        <w:spacing w:line="249" w:lineRule="auto" w:before="173"/>
        <w:ind w:left="1754" w:right="1274"/>
      </w:pPr>
      <w:r>
        <w:rPr/>
        <w:t>«h) Deficiencias relevantes en el sistema de gobierno o en el sistema de control interno, que impidan la gestión de la actividad y, en especial, el cumplimiento de las obligaciones en materia de gestión de riesgos, auditoría interna y en su caso actuarial, o en la externalización de funciones o</w:t>
      </w:r>
      <w:r>
        <w:rPr>
          <w:spacing w:val="-14"/>
        </w:rPr>
        <w:t> </w:t>
      </w:r>
      <w:r>
        <w:rPr/>
        <w:t>actividades.»</w:t>
      </w:r>
    </w:p>
    <w:p>
      <w:pPr>
        <w:pStyle w:val="BodyText"/>
        <w:spacing w:line="249" w:lineRule="auto" w:before="123"/>
        <w:ind w:right="1274"/>
      </w:pPr>
      <w:r>
        <w:rPr/>
        <w:t>Veintiuno. Se modifica el primer párrafo del apartado 1, se adicionan dos nuevos párrafos, s) y t) en el apartado 3 y se añade un nuevo párrafo v) en el apartado 4 del artículo 35 con la siguiente redacción:</w:t>
      </w:r>
    </w:p>
    <w:p>
      <w:pPr>
        <w:pStyle w:val="BodyText"/>
        <w:spacing w:line="249" w:lineRule="auto" w:before="173"/>
        <w:ind w:left="1754" w:right="1272"/>
      </w:pPr>
      <w:r>
        <w:rPr/>
        <w:t>«1. Las entidades gestoras y depositarias, los promotores de planes de pensiones, las personas o entidades a las que se hayan transferido funciones, los comercializadores de planes de pensiones, los actuarios y las entidades en las que estos desarrollen su actividad, los liquidadores, así como quienes desempeñen cargos de administración o dirección en las entidades citadas, las personas que ejerzan las funciones claves previstas en esta ley, los miembros de la comisión promotora y los miembros de las comisiones y subcomisiones de control de los planes y fondos de pensiones, que infrinjan normas de ordenación y supervisión de planes y fondos de pensiones, incurrirán en responsabilidad administrativa sancionable con arreglo a lo dispuesto en el artículo</w:t>
      </w:r>
      <w:r>
        <w:rPr>
          <w:spacing w:val="-12"/>
        </w:rPr>
        <w:t> </w:t>
      </w:r>
      <w:r>
        <w:rPr/>
        <w:t>siguiente.»</w:t>
      </w:r>
    </w:p>
    <w:p>
      <w:pPr>
        <w:pStyle w:val="BodyText"/>
        <w:spacing w:line="249" w:lineRule="auto" w:before="178"/>
        <w:ind w:left="1754" w:right="1272"/>
      </w:pPr>
      <w:r>
        <w:rPr/>
        <w:t>«s) Presentar deficiencias en el sistema de gobierno, especialmente en lo relativo a las funciones de gestión de riesgos, función de auditoría interna y, en su caso, función actuarial, así como en la externalización de funciones o actividades, cuando tales deficiencias disminuyan la solvencia o pongan en peligro la viabilidad de la entidad gestora o los planes y fondos de pensiones.»</w:t>
      </w:r>
    </w:p>
    <w:p>
      <w:pPr>
        <w:pStyle w:val="BodyText"/>
        <w:spacing w:line="249" w:lineRule="auto" w:before="4"/>
        <w:ind w:left="1754" w:right="1272"/>
      </w:pPr>
      <w:r>
        <w:rPr/>
        <w:t>«t) La falta de sustitución, conforme a lo previsto en el artículo 28, de aquellos en quienes concurran circunstancias que supongan incumplimiento de los requisitos de aptitud y honorabilidad, así como la falta de remisión a la Dirección General de Seguros y Fondos de Pensiones de la información necesaria para la evaluación de las exigencias de honorabilidad y aptitud, y su remisión incompleta o la falta de veracidad en la información remitida.»</w:t>
      </w:r>
    </w:p>
    <w:p>
      <w:pPr>
        <w:pStyle w:val="BodyText"/>
        <w:spacing w:line="249" w:lineRule="auto" w:before="175"/>
        <w:ind w:left="1754" w:right="1272"/>
      </w:pPr>
      <w:r>
        <w:rPr/>
        <w:t>«v) Presentar deficiencias en el sistema de gobierno, especialmente en lo relativo a las funciones de gestión de riesgos, función de auditoría interna, y en su caso, función actuarial, así como en la externalización de funciones o actividades y siempre que ello no constituya infracción muy grave.»</w:t>
      </w:r>
    </w:p>
    <w:p>
      <w:pPr>
        <w:pStyle w:val="BodyText"/>
        <w:spacing w:before="123"/>
        <w:ind w:left="1414" w:firstLine="0"/>
        <w:jc w:val="left"/>
      </w:pPr>
      <w:r>
        <w:rPr/>
        <w:t>Veintidós. El artículo 36.6 queda redactado como sigue:</w:t>
      </w:r>
    </w:p>
    <w:p>
      <w:pPr>
        <w:pStyle w:val="BodyText"/>
        <w:spacing w:line="249" w:lineRule="auto" w:before="181"/>
        <w:ind w:left="1754" w:right="1274"/>
      </w:pPr>
      <w:r>
        <w:rPr/>
        <w:t>«6. A efectos del ejercicio de la potestad sancionadora a que se refieren este artículo y el anterior, serán de aplicación las normas contenidas en los artículos 197, 201 y 205 a 213, ambos inclusive, de la Ley 20/2015, de 14 de julio.</w:t>
      </w:r>
    </w:p>
    <w:p>
      <w:pPr>
        <w:pStyle w:val="BodyText"/>
        <w:spacing w:line="249" w:lineRule="auto"/>
        <w:ind w:left="1754" w:right="1274"/>
      </w:pPr>
      <w:r>
        <w:rPr/>
        <w:t>A efectos de lo previsto en el artículo 206 de la citada ley, se publicarán las sanciones una vez que sean ejecutivas, indicando el tipo y clase de la infracción y la identidad del infractor. No obstante, la Dirección General de Seguros y Fondos de Pensiones podrá acordar diferir la publicación de las sanciones, no realizar la publicación o publicarlas de manera anónima, si considera que la publicación de la identidad de personas jurídicas o la identidad o los datos personales de personas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2" w:firstLine="0"/>
      </w:pPr>
      <w:r>
        <w:rPr/>
        <w:t>físicas resulta desproporcionada, tras una evaluación en cada caso de la proporcionalidad de la publicación de tales datos, o si esta última pone en peligro la estabilidad de los mercados financieros o una investigación en curso.</w:t>
      </w:r>
    </w:p>
    <w:p>
      <w:pPr>
        <w:pStyle w:val="BodyText"/>
        <w:spacing w:line="249" w:lineRule="auto"/>
        <w:ind w:left="1754" w:right="1273"/>
      </w:pPr>
      <w:r>
        <w:rPr/>
        <w:t>Cuando el infractor sea entidad de crédito o entidad o persona a la que se hayan transferido funciones o que ejerza como comercializador de planes de pensiones, o cargos de administración y dirección de las anteriores, para la imposición de la sanción será preceptivo el informe del ente u órgano administrativo al que, en su caso, corresponda el control y supervisión de dichas entidades o personas.»</w:t>
      </w:r>
    </w:p>
    <w:p>
      <w:pPr>
        <w:pStyle w:val="BodyText"/>
        <w:spacing w:line="249" w:lineRule="auto" w:before="124"/>
        <w:ind w:right="1278"/>
        <w:jc w:val="left"/>
      </w:pPr>
      <w:r>
        <w:rPr/>
        <w:t>Veintitrés. Se modifican los párrafos a), c) y f) y se añade un nuevo párrafo g) en el artículo 37 con la siguiente redacción:</w:t>
      </w:r>
    </w:p>
    <w:p>
      <w:pPr>
        <w:pStyle w:val="BodyText"/>
        <w:spacing w:line="249" w:lineRule="auto" w:before="172"/>
        <w:ind w:left="1754" w:right="1273"/>
      </w:pPr>
      <w:r>
        <w:rPr/>
        <w:t>«a) Fondo de pensiones de empleo: toda institución autorizada o registrada como tal por una autoridad competente de un Estado miembro al amparo de la Directiva (UE) 2016/2341 del Parlamento Europeo y del Consejo, de 14 de diciembre de 2016, relativa a las actividades y supervisión de los fondos de pensiones de empleo. En el caso de España, fondos de pensiones de empleo serán los regulados en el capítulo IV de esta Ley destinados al desarrollo de planes de pensiones de empleo.»</w:t>
      </w:r>
    </w:p>
    <w:p>
      <w:pPr>
        <w:pStyle w:val="BodyText"/>
        <w:spacing w:line="249" w:lineRule="auto" w:before="5"/>
        <w:ind w:left="1754" w:right="1272"/>
      </w:pPr>
      <w:r>
        <w:rPr/>
        <w:t>«c) Empresa promotora: toda empresa o entidad, persona física o jurídica que actúe en calidad de empleador o de trabajador por cuenta propia o en combinación de ambos y que ofrezca un plan de pensiones o realice contribuciones a un fondo de pensiones de</w:t>
      </w:r>
      <w:r>
        <w:rPr>
          <w:spacing w:val="-3"/>
        </w:rPr>
        <w:t> </w:t>
      </w:r>
      <w:r>
        <w:rPr/>
        <w:t>empleo.»</w:t>
      </w:r>
    </w:p>
    <w:p>
      <w:pPr>
        <w:pStyle w:val="BodyText"/>
        <w:spacing w:line="249" w:lineRule="auto" w:before="3"/>
        <w:ind w:left="1754" w:right="1274"/>
      </w:pPr>
      <w:r>
        <w:rPr/>
        <w:t>«f) Estado miembro de acogida: el Estado miembro cuya legislación social y laboral en el ámbito de los planes de pensiones de empleo sea aplicable a la relación entre la empresa promotora y los partícipes o beneficiarios.»</w:t>
      </w:r>
    </w:p>
    <w:p>
      <w:pPr>
        <w:pStyle w:val="BodyText"/>
        <w:spacing w:line="249" w:lineRule="auto" w:before="3"/>
        <w:ind w:left="1754" w:right="1273"/>
      </w:pPr>
      <w:r>
        <w:rPr/>
        <w:t>«g) Actividad transfronteriza: la gestión de un plan de pensiones cuando la relación entre la empresa promotora y los partícipes y beneficiarios afectados se rija por la legislación social y laboral pertinente en el ámbito de los planes de pensiones de empleo de un Estado miembro distinto del Estado miembro de origen.»</w:t>
      </w:r>
    </w:p>
    <w:p>
      <w:pPr>
        <w:pStyle w:val="BodyText"/>
        <w:spacing w:before="123"/>
        <w:ind w:left="1414" w:firstLine="0"/>
        <w:jc w:val="left"/>
      </w:pPr>
      <w:r>
        <w:rPr/>
        <w:t>Veinticuatro. Los apartados 1, 4 y 5 del artículo 38 quedan redactados como sigue:</w:t>
      </w:r>
    </w:p>
    <w:p>
      <w:pPr>
        <w:pStyle w:val="BodyText"/>
        <w:spacing w:line="249" w:lineRule="auto" w:before="180"/>
        <w:ind w:left="1754" w:right="1272"/>
      </w:pPr>
      <w:r>
        <w:rPr/>
        <w:t>«1. Al amparo de lo previsto en la Directiva (UE) 2016/2341 del Parlamento Europeo y del Consejo, de 14 de diciembre de 2016, y de acuerdo con lo dispuesto en este capítulo, los fondos de pensiones de empleo autorizados y registrados en España podrán integrar planes de pensiones de empleo sujetos a la legislación social y laboral de otros Estados</w:t>
      </w:r>
      <w:r>
        <w:rPr>
          <w:spacing w:val="-4"/>
        </w:rPr>
        <w:t> </w:t>
      </w:r>
      <w:r>
        <w:rPr/>
        <w:t>miembros.</w:t>
      </w:r>
    </w:p>
    <w:p>
      <w:pPr>
        <w:pStyle w:val="BodyText"/>
        <w:spacing w:line="249" w:lineRule="auto" w:before="4"/>
        <w:ind w:left="1754" w:right="1274"/>
      </w:pPr>
      <w:r>
        <w:rPr/>
        <w:t>Asimismo, al amparo de la citada directiva y de acuerdo con lo dispuesto en este capítulo, los fondos de pensiones de empleo autorizados o registrados en otros Estados miembros podrán integrar planes de pensiones de empleo sujetos a la legislación social y laboral</w:t>
      </w:r>
      <w:r>
        <w:rPr>
          <w:spacing w:val="-4"/>
        </w:rPr>
        <w:t> </w:t>
      </w:r>
      <w:r>
        <w:rPr/>
        <w:t>española.»</w:t>
      </w:r>
    </w:p>
    <w:p>
      <w:pPr>
        <w:pStyle w:val="BodyText"/>
        <w:spacing w:line="249" w:lineRule="auto" w:before="3"/>
        <w:ind w:left="1754" w:right="1273"/>
      </w:pPr>
      <w:r>
        <w:rPr/>
        <w:t>«4. Serán aplicables las normas sobre inversiones de los fondos de pensiones establecidas en la legislación del Estado miembro de origen del fondo de pensiones.»</w:t>
      </w:r>
    </w:p>
    <w:p>
      <w:pPr>
        <w:pStyle w:val="BodyText"/>
        <w:spacing w:line="249" w:lineRule="auto" w:before="3"/>
        <w:ind w:left="1754" w:right="1273"/>
      </w:pPr>
      <w:r>
        <w:rPr/>
        <w:t>«5. Los fondos de pensiones de empleo que realicen actividades transfronterizas, respecto de los partícipes y beneficiarios estarán sujetos a las obligaciones en materia de información impuestas por las autoridades y la legislación de los Estados miembros de acogida a los fondos de pensiones autorizados en su territorio dictadas como transposición a su normativa interna de lo previsto en la Directiva (UE) 2016/2341 del Parlamento Europeo y del Consejo, de 14 de diciembre de</w:t>
      </w:r>
      <w:r>
        <w:rPr>
          <w:spacing w:val="-31"/>
        </w:rPr>
        <w:t> </w:t>
      </w:r>
      <w:r>
        <w:rPr/>
        <w:t>2016.»</w:t>
      </w:r>
    </w:p>
    <w:p>
      <w:pPr>
        <w:pStyle w:val="BodyText"/>
        <w:spacing w:before="125"/>
        <w:ind w:left="1414" w:firstLine="0"/>
        <w:jc w:val="left"/>
      </w:pPr>
      <w:r>
        <w:rPr/>
        <w:t>Veinticinco. El párrafo a) del apartado 2 del artículo 39 queda redactado como</w:t>
      </w:r>
      <w:r>
        <w:rPr>
          <w:spacing w:val="-39"/>
        </w:rPr>
        <w:t> </w:t>
      </w:r>
      <w:r>
        <w:rPr/>
        <w:t>sigue:</w:t>
      </w:r>
    </w:p>
    <w:p>
      <w:pPr>
        <w:pStyle w:val="BodyText"/>
        <w:spacing w:line="249" w:lineRule="auto" w:before="180"/>
        <w:ind w:left="1754" w:right="1273"/>
      </w:pPr>
      <w:r>
        <w:rPr/>
        <w:t>«a) Los sistemas de pensiones obligatorios de la Seguridad Social según los Reglamentos (CE) n.º 883/2004 y (CE) n.º 987/2009 del Parlamento Europeo y del Consejo, así como los regímenes sustitutorios de los sistemas de Seguridad Social.»</w:t>
      </w:r>
    </w:p>
    <w:p>
      <w:pPr>
        <w:pStyle w:val="BodyText"/>
        <w:spacing w:before="122"/>
        <w:ind w:left="1414" w:firstLine="0"/>
        <w:jc w:val="left"/>
      </w:pPr>
      <w:r>
        <w:rPr/>
        <w:t>Veintiséis. El artículo 40 queda redactado como sigue:</w:t>
      </w:r>
    </w:p>
    <w:p>
      <w:pPr>
        <w:spacing w:after="0"/>
        <w:jc w:val="left"/>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spacing w:line="249" w:lineRule="auto" w:before="0"/>
        <w:ind w:left="1754" w:right="1272" w:firstLine="0"/>
        <w:jc w:val="both"/>
        <w:rPr>
          <w:i/>
          <w:sz w:val="20"/>
        </w:rPr>
      </w:pPr>
      <w:r>
        <w:rPr>
          <w:b/>
          <w:sz w:val="20"/>
        </w:rPr>
        <w:t>«Artículo 40. </w:t>
      </w:r>
      <w:r>
        <w:rPr>
          <w:i/>
          <w:sz w:val="20"/>
        </w:rPr>
        <w:t>Integración en un fondo de pensiones de empleo autorizado y </w:t>
      </w:r>
      <w:r>
        <w:rPr>
          <w:i/>
          <w:sz w:val="20"/>
        </w:rPr>
        <w:t>registrado en España de planes de pensiones de empleo sujetos a la legislación social y laboral de otros Estados miembros.</w:t>
      </w:r>
    </w:p>
    <w:p>
      <w:pPr>
        <w:pStyle w:val="BodyText"/>
        <w:spacing w:line="249" w:lineRule="auto" w:before="110"/>
        <w:ind w:left="1754" w:right="1272"/>
      </w:pPr>
      <w:r>
        <w:rPr/>
        <w:t>1. La integración en un fondo de pensiones autorizado y registrado en España de un plan de pensiones de empleo promovido por una o varias empresas sujeto a la legislación social y laboral de otro Estado miembro, requerirá las siguientes comunicaciones previas:</w:t>
      </w:r>
    </w:p>
    <w:p>
      <w:pPr>
        <w:pStyle w:val="ListParagraph"/>
        <w:numPr>
          <w:ilvl w:val="0"/>
          <w:numId w:val="392"/>
        </w:numPr>
        <w:tabs>
          <w:tab w:pos="2372" w:val="left" w:leader="none"/>
        </w:tabs>
        <w:spacing w:line="249" w:lineRule="auto" w:before="174" w:after="0"/>
        <w:ind w:left="1754" w:right="1274" w:firstLine="340"/>
        <w:jc w:val="both"/>
        <w:rPr>
          <w:sz w:val="20"/>
        </w:rPr>
      </w:pPr>
      <w:r>
        <w:rPr>
          <w:sz w:val="20"/>
        </w:rPr>
        <w:t>La entidad gestora del fondo deberá comunicar a la Dirección General de Seguros y Fondos de Pensiones la pretensión de integrar el plan de pensiones. Dicha comunicación deberá incluir, al menos, información en la que se identifique el Estado miembro de acogida, denominación de la empresa o empresas promotoras y el domicilio de su administración principal, así como las principales características del plan de</w:t>
      </w:r>
      <w:r>
        <w:rPr>
          <w:spacing w:val="-3"/>
          <w:sz w:val="20"/>
        </w:rPr>
        <w:t> </w:t>
      </w:r>
      <w:r>
        <w:rPr>
          <w:sz w:val="20"/>
        </w:rPr>
        <w:t>pensiones.</w:t>
      </w:r>
    </w:p>
    <w:p>
      <w:pPr>
        <w:pStyle w:val="ListParagraph"/>
        <w:numPr>
          <w:ilvl w:val="0"/>
          <w:numId w:val="392"/>
        </w:numPr>
        <w:tabs>
          <w:tab w:pos="2374" w:val="left" w:leader="none"/>
        </w:tabs>
        <w:spacing w:line="249" w:lineRule="auto" w:before="5" w:after="0"/>
        <w:ind w:left="1754" w:right="1271" w:firstLine="340"/>
        <w:jc w:val="both"/>
        <w:rPr>
          <w:sz w:val="20"/>
        </w:rPr>
      </w:pPr>
      <w:r>
        <w:rPr>
          <w:sz w:val="20"/>
        </w:rPr>
        <w:t>En un plazo máximo de tres meses desde la recepción de la información señalada en la letra a), la Dirección General de Seguros y Fondos de Pensiones la comunicará a la autoridad competente del Estado miembro de acogida e informará de dicha comunicación a la gestora del fondo de</w:t>
      </w:r>
      <w:r>
        <w:rPr>
          <w:spacing w:val="-12"/>
          <w:sz w:val="20"/>
        </w:rPr>
        <w:t> </w:t>
      </w:r>
      <w:r>
        <w:rPr>
          <w:sz w:val="20"/>
        </w:rPr>
        <w:t>pensiones.</w:t>
      </w:r>
    </w:p>
    <w:p>
      <w:pPr>
        <w:pStyle w:val="BodyText"/>
        <w:spacing w:line="249" w:lineRule="auto" w:before="3"/>
        <w:ind w:left="1754" w:right="1271"/>
      </w:pPr>
      <w:r>
        <w:rPr/>
        <w:t>La Dirección General de Seguros y Fondos de Pensiones podrá acordar no practicar la referida comunicación a la autoridad del Estado miembro de acogida, mediante resolución motivada que determine que la estructura administrativa, la situación financiera del fondo o la reputación o cualificación profesional o experiencia de las personas que dirigen la entidad gestora, no son compatibles con la actividad transfronteriza propuesta o que ponga de manifiesto alguna de las circunstancias previstas en esta Ley como causas de revocación de las autorizaciones administrativas, de disolución o de adopción de medidas de control especial. Dicha resolución motivada deberá emitirse y ser notificada a la entidad gestora del fondo de pensiones dentro del indicado plazo de tres meses. Esta resolución, que no agota la vía administrativa, será susceptible de recurso de alzada y contencioso- administrativo.</w:t>
      </w:r>
    </w:p>
    <w:p>
      <w:pPr>
        <w:pStyle w:val="ListParagraph"/>
        <w:numPr>
          <w:ilvl w:val="0"/>
          <w:numId w:val="392"/>
        </w:numPr>
        <w:tabs>
          <w:tab w:pos="2349" w:val="left" w:leader="none"/>
        </w:tabs>
        <w:spacing w:line="249" w:lineRule="auto" w:before="10" w:after="0"/>
        <w:ind w:left="1754" w:right="1273" w:firstLine="340"/>
        <w:jc w:val="both"/>
        <w:rPr>
          <w:sz w:val="20"/>
        </w:rPr>
      </w:pPr>
      <w:r>
        <w:rPr>
          <w:sz w:val="20"/>
        </w:rPr>
        <w:t>El Estado miembro de acogida, durante el plazo de seis semanas desde la recepción de la comunicación prevista en la letra b), informará a la Dirección General de Seguros y Fondos de Pensiones acerca</w:t>
      </w:r>
      <w:r>
        <w:rPr>
          <w:spacing w:val="-4"/>
          <w:sz w:val="20"/>
        </w:rPr>
        <w:t> </w:t>
      </w:r>
      <w:r>
        <w:rPr>
          <w:sz w:val="20"/>
        </w:rPr>
        <w:t>de:</w:t>
      </w:r>
    </w:p>
    <w:p>
      <w:pPr>
        <w:pStyle w:val="ListParagraph"/>
        <w:numPr>
          <w:ilvl w:val="0"/>
          <w:numId w:val="393"/>
        </w:numPr>
        <w:tabs>
          <w:tab w:pos="2263" w:val="left" w:leader="none"/>
        </w:tabs>
        <w:spacing w:line="249" w:lineRule="auto" w:before="172" w:after="0"/>
        <w:ind w:left="1754" w:right="1275" w:firstLine="340"/>
        <w:jc w:val="both"/>
        <w:rPr>
          <w:sz w:val="20"/>
        </w:rPr>
      </w:pPr>
      <w:r>
        <w:rPr>
          <w:sz w:val="20"/>
        </w:rPr>
        <w:t>º Las disposiciones de su legislación social y laboral con arreglo a las cuales deba gestionarse el plan de</w:t>
      </w:r>
      <w:r>
        <w:rPr>
          <w:spacing w:val="-7"/>
          <w:sz w:val="20"/>
        </w:rPr>
        <w:t> </w:t>
      </w:r>
      <w:r>
        <w:rPr>
          <w:sz w:val="20"/>
        </w:rPr>
        <w:t>pensiones.</w:t>
      </w:r>
    </w:p>
    <w:p>
      <w:pPr>
        <w:pStyle w:val="ListParagraph"/>
        <w:numPr>
          <w:ilvl w:val="0"/>
          <w:numId w:val="393"/>
        </w:numPr>
        <w:tabs>
          <w:tab w:pos="2263" w:val="left" w:leader="none"/>
        </w:tabs>
        <w:spacing w:line="249" w:lineRule="auto" w:before="2" w:after="0"/>
        <w:ind w:left="1754" w:right="1274" w:firstLine="340"/>
        <w:jc w:val="both"/>
        <w:rPr>
          <w:sz w:val="20"/>
        </w:rPr>
      </w:pPr>
      <w:r>
        <w:rPr>
          <w:sz w:val="20"/>
        </w:rPr>
        <w:t>º Las obligaciones en materia de información a los partícipes y beneficiarios exigibles a los fondos de pensiones autorizados en el Estado miembro de acogida, de conformidad con lo previsto en el artículo</w:t>
      </w:r>
      <w:r>
        <w:rPr>
          <w:spacing w:val="-9"/>
          <w:sz w:val="20"/>
        </w:rPr>
        <w:t> </w:t>
      </w:r>
      <w:r>
        <w:rPr>
          <w:sz w:val="20"/>
        </w:rPr>
        <w:t>38.5.</w:t>
      </w:r>
    </w:p>
    <w:p>
      <w:pPr>
        <w:pStyle w:val="BodyText"/>
        <w:spacing w:line="249" w:lineRule="auto" w:before="173"/>
        <w:ind w:left="1754" w:right="1270"/>
      </w:pPr>
      <w:r>
        <w:rPr/>
        <w:t>La Dirección General de Seguros y Fondos de Pensiones trasladará dicha información a la entidad gestora del fondo de pensiones.</w:t>
      </w:r>
    </w:p>
    <w:p>
      <w:pPr>
        <w:pStyle w:val="ListParagraph"/>
        <w:numPr>
          <w:ilvl w:val="0"/>
          <w:numId w:val="394"/>
        </w:numPr>
        <w:tabs>
          <w:tab w:pos="2380" w:val="left" w:leader="none"/>
        </w:tabs>
        <w:spacing w:line="249" w:lineRule="auto" w:before="1" w:after="0"/>
        <w:ind w:left="1754" w:right="1272" w:firstLine="340"/>
        <w:jc w:val="both"/>
        <w:rPr>
          <w:sz w:val="20"/>
        </w:rPr>
      </w:pPr>
      <w:r>
        <w:rPr>
          <w:sz w:val="20"/>
        </w:rPr>
        <w:t>A partir de que la entidad gestora reciba la información señalada en el apartado 1.c), o bien, una vez transcurrido el plazo de seis semanas previsto en dicha letra c) sin haber recibido comunicación alguna de la Dirección General de Seguros y Fondos de Pensiones, podrá efectuarse la integración del plan de pensiones en el fondo mediante acuerdo expreso de admisión adoptado por la comisión de control del fondo o, en defecto de esta, por la entidad</w:t>
      </w:r>
      <w:r>
        <w:rPr>
          <w:spacing w:val="-24"/>
          <w:sz w:val="20"/>
        </w:rPr>
        <w:t> </w:t>
      </w:r>
      <w:r>
        <w:rPr>
          <w:sz w:val="20"/>
        </w:rPr>
        <w:t>gestora.</w:t>
      </w:r>
    </w:p>
    <w:p>
      <w:pPr>
        <w:pStyle w:val="ListParagraph"/>
        <w:numPr>
          <w:ilvl w:val="0"/>
          <w:numId w:val="394"/>
        </w:numPr>
        <w:tabs>
          <w:tab w:pos="2331" w:val="left" w:leader="none"/>
        </w:tabs>
        <w:spacing w:line="249" w:lineRule="auto" w:before="5" w:after="0"/>
        <w:ind w:left="1754" w:right="1273" w:firstLine="340"/>
        <w:jc w:val="both"/>
        <w:rPr>
          <w:sz w:val="20"/>
        </w:rPr>
      </w:pPr>
      <w:r>
        <w:rPr>
          <w:sz w:val="20"/>
        </w:rPr>
        <w:t>Efectuada la integración del plan de pensiones en el fondo, la gestora deberá comunicarla a la Dirección General de Seguros y Fondos de Pensiones dentro del plazo de 10 días hábiles desde la adopción del acuerdo de admisión, y acompañará al</w:t>
      </w:r>
      <w:r>
        <w:rPr>
          <w:spacing w:val="-1"/>
          <w:sz w:val="20"/>
        </w:rPr>
        <w:t> </w:t>
      </w:r>
      <w:r>
        <w:rPr>
          <w:sz w:val="20"/>
        </w:rPr>
        <w:t>menos:</w:t>
      </w:r>
    </w:p>
    <w:p>
      <w:pPr>
        <w:pStyle w:val="ListParagraph"/>
        <w:numPr>
          <w:ilvl w:val="0"/>
          <w:numId w:val="395"/>
        </w:numPr>
        <w:tabs>
          <w:tab w:pos="2328" w:val="left" w:leader="none"/>
        </w:tabs>
        <w:spacing w:line="240" w:lineRule="auto" w:before="174" w:after="0"/>
        <w:ind w:left="2327" w:right="0" w:hanging="234"/>
        <w:jc w:val="left"/>
        <w:rPr>
          <w:sz w:val="20"/>
        </w:rPr>
      </w:pPr>
      <w:r>
        <w:rPr>
          <w:sz w:val="20"/>
        </w:rPr>
        <w:t>Una certificación del acuerdo de</w:t>
      </w:r>
      <w:r>
        <w:rPr>
          <w:spacing w:val="-6"/>
          <w:sz w:val="20"/>
        </w:rPr>
        <w:t> </w:t>
      </w:r>
      <w:r>
        <w:rPr>
          <w:sz w:val="20"/>
        </w:rPr>
        <w:t>admisión.</w:t>
      </w:r>
    </w:p>
    <w:p>
      <w:pPr>
        <w:pStyle w:val="ListParagraph"/>
        <w:numPr>
          <w:ilvl w:val="0"/>
          <w:numId w:val="395"/>
        </w:numPr>
        <w:tabs>
          <w:tab w:pos="2328" w:val="left" w:leader="none"/>
        </w:tabs>
        <w:spacing w:line="240" w:lineRule="auto" w:before="10" w:after="0"/>
        <w:ind w:left="2327" w:right="0" w:hanging="234"/>
        <w:jc w:val="left"/>
        <w:rPr>
          <w:sz w:val="20"/>
        </w:rPr>
      </w:pPr>
      <w:r>
        <w:rPr>
          <w:sz w:val="20"/>
        </w:rPr>
        <w:t>La denominación y domicilio de la empresa o empresas</w:t>
      </w:r>
      <w:r>
        <w:rPr>
          <w:spacing w:val="-17"/>
          <w:sz w:val="20"/>
        </w:rPr>
        <w:t> </w:t>
      </w:r>
      <w:r>
        <w:rPr>
          <w:sz w:val="20"/>
        </w:rPr>
        <w:t>promotoras.</w:t>
      </w:r>
    </w:p>
    <w:p>
      <w:pPr>
        <w:pStyle w:val="ListParagraph"/>
        <w:numPr>
          <w:ilvl w:val="0"/>
          <w:numId w:val="395"/>
        </w:numPr>
        <w:tabs>
          <w:tab w:pos="2327" w:val="left" w:leader="none"/>
        </w:tabs>
        <w:spacing w:line="249" w:lineRule="auto" w:before="10" w:after="0"/>
        <w:ind w:left="1754" w:right="1273" w:firstLine="340"/>
        <w:jc w:val="left"/>
        <w:rPr>
          <w:sz w:val="20"/>
        </w:rPr>
      </w:pPr>
      <w:r>
        <w:rPr>
          <w:sz w:val="20"/>
        </w:rPr>
        <w:t>Las condiciones generales y, en su caso, la base técnica del plan, redactadas o traducidas al</w:t>
      </w:r>
      <w:r>
        <w:rPr>
          <w:spacing w:val="-3"/>
          <w:sz w:val="20"/>
        </w:rPr>
        <w:t> </w:t>
      </w:r>
      <w:r>
        <w:rPr>
          <w:sz w:val="20"/>
        </w:rPr>
        <w:t>castellano.</w:t>
      </w:r>
    </w:p>
    <w:p>
      <w:pPr>
        <w:spacing w:after="0" w:line="249"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1"/>
      </w:pPr>
      <w:r>
        <w:rPr/>
        <w:t>En el registro administrativo de fondos de pensiones se tomará constancia de los planes de pensiones de empleo sujetos a la legislación social y laboral de otros Estados miembros y adscritos a los fondos de pensiones inscritos.</w:t>
      </w:r>
    </w:p>
    <w:p>
      <w:pPr>
        <w:pStyle w:val="ListParagraph"/>
        <w:numPr>
          <w:ilvl w:val="0"/>
          <w:numId w:val="394"/>
        </w:numPr>
        <w:tabs>
          <w:tab w:pos="2360" w:val="left" w:leader="none"/>
        </w:tabs>
        <w:spacing w:line="249" w:lineRule="auto" w:before="3" w:after="0"/>
        <w:ind w:left="1754" w:right="1271" w:firstLine="340"/>
        <w:jc w:val="both"/>
        <w:rPr>
          <w:sz w:val="20"/>
        </w:rPr>
      </w:pPr>
      <w:r>
        <w:rPr>
          <w:sz w:val="20"/>
        </w:rPr>
        <w:t>Cuando las relaciones laborales de una empresa promotora o conjunto de empresas promotoras se sujeten a distintas legislaciones nacionales en la medida que cuenten con trabajadores en distintos Estados miembros susceptibles de incorporarse al fondo de pensiones, a los efectos previstos en este artículo se identificarán tantos planes de pensiones como Estados miembros de acogida. No obstante, podrá considerarse un único plan comprensivo de distintos subplanes, correspondientes a los distintos Estados miembros de acogida, si las autoridades competentes de estos no formularen objeción al</w:t>
      </w:r>
      <w:r>
        <w:rPr>
          <w:spacing w:val="-7"/>
          <w:sz w:val="20"/>
        </w:rPr>
        <w:t> </w:t>
      </w:r>
      <w:r>
        <w:rPr>
          <w:sz w:val="20"/>
        </w:rPr>
        <w:t>respecto.</w:t>
      </w:r>
    </w:p>
    <w:p>
      <w:pPr>
        <w:pStyle w:val="BodyText"/>
        <w:spacing w:line="249" w:lineRule="auto" w:before="6"/>
        <w:ind w:left="1754" w:right="1275"/>
      </w:pPr>
      <w:r>
        <w:rPr/>
        <w:t>No obstante lo anterior, podrán identificarse distintos planes de pensiones para colectivos de trabajadores de una empresa, sujetos a la legislación social y laboral de un mismo Estado miembro, adscritos a un fondo de pensiones o a distintos fondos de pensiones.</w:t>
      </w:r>
    </w:p>
    <w:p>
      <w:pPr>
        <w:pStyle w:val="BodyText"/>
        <w:spacing w:line="249" w:lineRule="auto" w:before="4"/>
        <w:ind w:left="1754" w:right="1272"/>
      </w:pPr>
      <w:r>
        <w:rPr/>
        <w:t>En todo caso, los trabajadores cuyas relaciones laborales se sujeten a la legislación española deberán figurar incorporados a un plan de pensiones de empleo de los regulados en los capítulos I a III.</w:t>
      </w:r>
    </w:p>
    <w:p>
      <w:pPr>
        <w:pStyle w:val="ListParagraph"/>
        <w:numPr>
          <w:ilvl w:val="0"/>
          <w:numId w:val="394"/>
        </w:numPr>
        <w:tabs>
          <w:tab w:pos="2363" w:val="left" w:leader="none"/>
        </w:tabs>
        <w:spacing w:line="249" w:lineRule="auto" w:before="2" w:after="0"/>
        <w:ind w:left="1754" w:right="1270" w:firstLine="340"/>
        <w:jc w:val="both"/>
        <w:rPr>
          <w:sz w:val="20"/>
        </w:rPr>
      </w:pPr>
      <w:r>
        <w:rPr>
          <w:sz w:val="20"/>
        </w:rPr>
        <w:t>La persona titular del Ministerio de Asuntos Económicos y Transformación Digital, previa audiencia de la Junta Consultiva de Seguros y Fondos de Pensiones, podrá dictar normas más detalladas relativas a los procedimientos registrales y de comunicaciones regulados en este</w:t>
      </w:r>
      <w:r>
        <w:rPr>
          <w:spacing w:val="-3"/>
          <w:sz w:val="20"/>
        </w:rPr>
        <w:t> </w:t>
      </w:r>
      <w:r>
        <w:rPr>
          <w:sz w:val="20"/>
        </w:rPr>
        <w:t>artículo.»</w:t>
      </w:r>
    </w:p>
    <w:p>
      <w:pPr>
        <w:pStyle w:val="BodyText"/>
        <w:spacing w:line="249" w:lineRule="auto" w:before="123"/>
        <w:ind w:right="1278"/>
        <w:jc w:val="left"/>
      </w:pPr>
      <w:r>
        <w:rPr/>
        <w:t>Veintisiete. El título y los apartados 3, 4, 5 y 6 del artículo 41 quedan redactados como sigue:</w:t>
      </w:r>
    </w:p>
    <w:p>
      <w:pPr>
        <w:pStyle w:val="BodyText"/>
        <w:spacing w:before="4"/>
        <w:ind w:left="0" w:firstLine="0"/>
        <w:jc w:val="left"/>
      </w:pPr>
    </w:p>
    <w:p>
      <w:pPr>
        <w:spacing w:line="249" w:lineRule="auto" w:before="0"/>
        <w:ind w:left="1754" w:right="1273" w:firstLine="0"/>
        <w:jc w:val="both"/>
        <w:rPr>
          <w:i/>
          <w:sz w:val="20"/>
        </w:rPr>
      </w:pPr>
      <w:r>
        <w:rPr>
          <w:b/>
          <w:sz w:val="20"/>
        </w:rPr>
        <w:t>«Artículo 41. </w:t>
      </w:r>
      <w:r>
        <w:rPr>
          <w:i/>
          <w:sz w:val="20"/>
        </w:rPr>
        <w:t>Desarrollo de planes de pensiones de empleo sujetos a la legislación </w:t>
      </w:r>
      <w:r>
        <w:rPr>
          <w:i/>
          <w:sz w:val="20"/>
        </w:rPr>
        <w:t>social y laboral de otros Estados miembros adscritos a fondos de pensiones autorizados y registrados en España.»</w:t>
      </w:r>
    </w:p>
    <w:p>
      <w:pPr>
        <w:pStyle w:val="BodyText"/>
        <w:spacing w:line="249" w:lineRule="auto" w:before="111"/>
        <w:ind w:left="1754" w:right="1273"/>
      </w:pPr>
      <w:r>
        <w:rPr/>
        <w:t>«3. Los planes de pensiones de empleo sujetos a la legislación social y laboral de otros Estados miembros adscritos a fondos españoles no precisarán constituir la comisión de control del plan regulada en el artículo 7, sin perjuicio, en su caso, de los órganos o instancias de representación o participación de empresas y trabajadores, establecidos en virtud de pacto o conforme a los usos o la legislación del Estado miembro de acogida, para la supervisión del funcionamiento del plan y las relaciones con la entidad gestora y, a través de esta, con la autoridad competente española.»</w:t>
      </w:r>
    </w:p>
    <w:p>
      <w:pPr>
        <w:pStyle w:val="ListParagraph"/>
        <w:numPr>
          <w:ilvl w:val="0"/>
          <w:numId w:val="396"/>
        </w:numPr>
        <w:tabs>
          <w:tab w:pos="2382" w:val="left" w:leader="none"/>
        </w:tabs>
        <w:spacing w:line="249" w:lineRule="auto" w:before="5" w:after="0"/>
        <w:ind w:left="1754" w:right="1273" w:firstLine="340"/>
        <w:jc w:val="both"/>
        <w:rPr>
          <w:sz w:val="20"/>
        </w:rPr>
      </w:pPr>
      <w:r>
        <w:rPr>
          <w:sz w:val="20"/>
        </w:rPr>
        <w:t>Las obligaciones de la entidad gestora en materia de información a los partícipes y beneficiarios de los planes de pensiones a que se refiere esta sección serán las impuestas por las autoridades y la legislación del Estado miembro de acogida a los fondos de pensiones de empleo autorizados en su territorio, dictadas como transposición a su normativa interna de lo previsto en el Título IV de la Directiva (UE) 2016/2341 del Parlamento Europeo y del Consejo, de 14 de diciembre de</w:t>
      </w:r>
      <w:r>
        <w:rPr>
          <w:spacing w:val="-2"/>
          <w:sz w:val="20"/>
        </w:rPr>
        <w:t> </w:t>
      </w:r>
      <w:r>
        <w:rPr>
          <w:sz w:val="20"/>
        </w:rPr>
        <w:t>2016.</w:t>
      </w:r>
    </w:p>
    <w:p>
      <w:pPr>
        <w:pStyle w:val="BodyText"/>
        <w:spacing w:line="249" w:lineRule="auto" w:before="6"/>
        <w:ind w:left="1754" w:right="1275"/>
      </w:pPr>
      <w:r>
        <w:rPr/>
        <w:t>La información referida deberá estar disponible en una lengua oficial del Estado miembro de acogida.</w:t>
      </w:r>
    </w:p>
    <w:p>
      <w:pPr>
        <w:pStyle w:val="ListParagraph"/>
        <w:numPr>
          <w:ilvl w:val="0"/>
          <w:numId w:val="396"/>
        </w:numPr>
        <w:tabs>
          <w:tab w:pos="2374" w:val="left" w:leader="none"/>
        </w:tabs>
        <w:spacing w:line="249" w:lineRule="auto" w:before="2" w:after="0"/>
        <w:ind w:left="1754" w:right="1272" w:firstLine="340"/>
        <w:jc w:val="both"/>
        <w:rPr>
          <w:sz w:val="20"/>
        </w:rPr>
      </w:pPr>
      <w:r>
        <w:rPr>
          <w:sz w:val="20"/>
        </w:rPr>
        <w:t>El plan de pensiones mantendrá una cuenta de posición en el fondo de pensiones de</w:t>
      </w:r>
      <w:r>
        <w:rPr>
          <w:spacing w:val="-3"/>
          <w:sz w:val="20"/>
        </w:rPr>
        <w:t> </w:t>
      </w:r>
      <w:r>
        <w:rPr>
          <w:sz w:val="20"/>
        </w:rPr>
        <w:t>empleo.</w:t>
      </w:r>
    </w:p>
    <w:p>
      <w:pPr>
        <w:pStyle w:val="BodyText"/>
        <w:spacing w:line="249" w:lineRule="auto" w:before="1"/>
        <w:ind w:left="1754" w:right="1273"/>
      </w:pPr>
      <w:r>
        <w:rPr/>
        <w:t>Serán de aplicación las normas y límites sobre inversiones y comisiones de gestión y depósito contenidas en esta Ley y en sus normas de desarrollo aplicables a los fondos de pensiones autorizados y registrados en España.</w:t>
      </w:r>
    </w:p>
    <w:p>
      <w:pPr>
        <w:pStyle w:val="BodyText"/>
        <w:spacing w:line="249" w:lineRule="auto" w:before="3"/>
        <w:ind w:left="1754" w:right="1274"/>
      </w:pPr>
      <w:r>
        <w:rPr/>
        <w:t>Los activos del fondo de pensiones no responderán de las deudas de los promotores de los planes.</w:t>
      </w:r>
    </w:p>
    <w:p>
      <w:pPr>
        <w:pStyle w:val="ListParagraph"/>
        <w:numPr>
          <w:ilvl w:val="0"/>
          <w:numId w:val="396"/>
        </w:numPr>
        <w:tabs>
          <w:tab w:pos="2322" w:val="left" w:leader="none"/>
        </w:tabs>
        <w:spacing w:line="249" w:lineRule="auto" w:before="1" w:after="0"/>
        <w:ind w:left="1754" w:right="1271" w:firstLine="340"/>
        <w:jc w:val="both"/>
        <w:rPr>
          <w:sz w:val="20"/>
        </w:rPr>
      </w:pPr>
      <w:r>
        <w:rPr>
          <w:sz w:val="20"/>
        </w:rPr>
        <w:t>La cuenta de posición del plan de pensiones podrá movilizarse a otro fondo de pensiones de empleo autorizado en cualquier Estado miembro, a cuyo efecto será aplicable el procedimiento de transferencias transfronterizas regulado en el artículo 50.»</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8"/>
        <w:jc w:val="left"/>
      </w:pPr>
      <w:r>
        <w:rPr/>
        <w:t>Veintiocho. El título, el apartado 1 y los números 3.ª y 8.ª del apartado 2 del artículo 43 quedan redactados como sigue:</w:t>
      </w:r>
    </w:p>
    <w:p>
      <w:pPr>
        <w:pStyle w:val="BodyText"/>
        <w:spacing w:before="4"/>
        <w:ind w:left="0" w:firstLine="0"/>
        <w:jc w:val="left"/>
      </w:pPr>
    </w:p>
    <w:p>
      <w:pPr>
        <w:spacing w:line="249" w:lineRule="auto" w:before="0"/>
        <w:ind w:left="1754" w:right="1272" w:firstLine="0"/>
        <w:jc w:val="both"/>
        <w:rPr>
          <w:i/>
          <w:sz w:val="20"/>
        </w:rPr>
      </w:pPr>
      <w:r>
        <w:rPr>
          <w:b/>
          <w:sz w:val="20"/>
        </w:rPr>
        <w:t>«Artículo 43. </w:t>
      </w:r>
      <w:r>
        <w:rPr>
          <w:i/>
          <w:sz w:val="20"/>
        </w:rPr>
        <w:t>Instrumentación de los compromisos por pensiones sujetos a la </w:t>
      </w:r>
      <w:r>
        <w:rPr>
          <w:i/>
          <w:sz w:val="20"/>
        </w:rPr>
        <w:t>legislación española a través de fondos de pensiones de empleo autorizados en otros Estados</w:t>
      </w:r>
      <w:r>
        <w:rPr>
          <w:i/>
          <w:spacing w:val="-2"/>
          <w:sz w:val="20"/>
        </w:rPr>
        <w:t> </w:t>
      </w:r>
      <w:r>
        <w:rPr>
          <w:i/>
          <w:sz w:val="20"/>
        </w:rPr>
        <w:t>miembros.</w:t>
      </w:r>
    </w:p>
    <w:p>
      <w:pPr>
        <w:pStyle w:val="BodyText"/>
        <w:spacing w:line="249" w:lineRule="auto" w:before="110"/>
        <w:ind w:left="1754" w:right="1272"/>
      </w:pPr>
      <w:r>
        <w:rPr/>
        <w:t>«1. En orden al cumplimiento de lo previsto en la disposición adicional primera de esta ley, los compromisos por pensiones asumidos por las empresas con su personal sujetos a dicha disposición podrán instrumentarse a través de planes de pensiones del sistema de empleo de los regulados en los capítulos I a III, adscritos a fondos de pensiones de empleo domiciliados en España o a fondos de pensiones de empleo domiciliados en otros Estados miembros autorizados para la actividad transfronteriza conforme a la Directiva (UE) 2016/2341 del Parlamento Europeo y del Consejo, de 14 de diciembre de 2016 y de conformidad con lo previsto en esta</w:t>
      </w:r>
      <w:r>
        <w:rPr>
          <w:spacing w:val="-22"/>
        </w:rPr>
        <w:t> </w:t>
      </w:r>
      <w:r>
        <w:rPr/>
        <w:t>sección.</w:t>
      </w:r>
    </w:p>
    <w:p>
      <w:pPr>
        <w:pStyle w:val="BodyText"/>
        <w:spacing w:line="249" w:lineRule="auto" w:before="7"/>
        <w:ind w:left="1754" w:right="1272"/>
      </w:pPr>
      <w:r>
        <w:rPr/>
        <w:t>Para la instrumentación de compromisos por pensiones derivados de relación laboral sujeta a la legislación española, la adscripción a fondos de pensiones de empleo autorizados en otros Estados miembros requerirá la promoción y formalización de un plan de pensiones de empleo de los regulados en los capítulos I a III, teniendo en cuenta lo previsto en esta</w:t>
      </w:r>
      <w:r>
        <w:rPr>
          <w:spacing w:val="-8"/>
        </w:rPr>
        <w:t> </w:t>
      </w:r>
      <w:r>
        <w:rPr/>
        <w:t>sección.»</w:t>
      </w:r>
    </w:p>
    <w:p>
      <w:pPr>
        <w:pStyle w:val="BodyText"/>
        <w:spacing w:line="249" w:lineRule="auto" w:before="174"/>
        <w:ind w:left="1754" w:right="1273"/>
      </w:pPr>
      <w:r>
        <w:rPr/>
        <w:t>«3.ª El artículo 5.1 sobre principios básicos de los planes de pensiones: no discriminación, capitalización individual, irrevocabilidad de las aportaciones del promotor, atribución de derechos consolidados a los partícipes y derechos económicos a los beneficiarios e integración obligatoria en un fondo de pensiones de las contribuciones a los planes integrados, considerando, en este caso, un fondo de pensiones de empleo autorizado en otro Estado miembro autorizado para operar en España conforme a la Directiva (UE) 2016/2341 del Parlamento Europeo y del Consejo, de 14 de diciembre de 2016 y lo previsto en esta sección.»</w:t>
      </w:r>
    </w:p>
    <w:p>
      <w:pPr>
        <w:pStyle w:val="BodyText"/>
        <w:spacing w:line="249" w:lineRule="auto" w:before="7"/>
        <w:ind w:left="1754" w:right="1272"/>
      </w:pPr>
      <w:r>
        <w:rPr/>
        <w:t>«8.ª El artículo 8 sobre contingencias susceptibles de cobertura y forma de las prestaciones; cuantificación, movilidad y supuestos excepcionales de liquidez y disposición anticipada de los derechos consolidados, así como las disposiciones adicionales cuarta, sexta y séptima, y el apartado 1 de la disposición transitoria séptima.»</w:t>
      </w:r>
    </w:p>
    <w:p>
      <w:pPr>
        <w:pStyle w:val="BodyText"/>
        <w:spacing w:line="249" w:lineRule="auto" w:before="124"/>
        <w:ind w:right="1647"/>
        <w:jc w:val="left"/>
      </w:pPr>
      <w:r>
        <w:rPr/>
        <w:t>Veintinueve. El título y los apartados 2 y 5 del artículo 44 quedan redactados como  sigue:</w:t>
      </w:r>
    </w:p>
    <w:p>
      <w:pPr>
        <w:pStyle w:val="BodyText"/>
        <w:spacing w:before="4"/>
        <w:ind w:left="0" w:firstLine="0"/>
        <w:jc w:val="left"/>
      </w:pPr>
    </w:p>
    <w:p>
      <w:pPr>
        <w:spacing w:line="249" w:lineRule="auto" w:before="0"/>
        <w:ind w:left="1754" w:right="1273" w:firstLine="0"/>
        <w:jc w:val="both"/>
        <w:rPr>
          <w:i/>
          <w:sz w:val="20"/>
        </w:rPr>
      </w:pPr>
      <w:r>
        <w:rPr>
          <w:b/>
          <w:sz w:val="20"/>
        </w:rPr>
        <w:t>«Artículo 44. </w:t>
      </w:r>
      <w:r>
        <w:rPr>
          <w:i/>
          <w:sz w:val="20"/>
        </w:rPr>
        <w:t>Integración de los planes de pensiones de empleo sujetos a la </w:t>
      </w:r>
      <w:r>
        <w:rPr>
          <w:i/>
          <w:sz w:val="20"/>
        </w:rPr>
        <w:t>legislación social y laboral española en fondos de pensiones de empleo autorizados en otros Estados miembros.»</w:t>
      </w:r>
    </w:p>
    <w:p>
      <w:pPr>
        <w:pStyle w:val="BodyText"/>
        <w:spacing w:line="249" w:lineRule="auto" w:before="110"/>
        <w:ind w:left="1754" w:right="1273"/>
      </w:pPr>
      <w:r>
        <w:rPr/>
        <w:t>«2. Con carácter previo a la integración del plan de pensiones en el fondo de pensiones autorizado en otro Estado miembro, deberá cumplimentarse el procedimiento de comunicaciones previsto en este apartado entre el fondo de pensiones y las autoridades del Estado miembro de origen del fondo y de España como Estado de acogida.</w:t>
      </w:r>
    </w:p>
    <w:p>
      <w:pPr>
        <w:pStyle w:val="BodyText"/>
        <w:spacing w:line="249" w:lineRule="auto" w:before="4"/>
        <w:ind w:left="1754" w:right="1273"/>
      </w:pPr>
      <w:r>
        <w:rPr/>
        <w:t>En orden a iniciar el procedimiento, el fondo de pensiones deberá notificar a su autoridad nacional competente la pretensión de integrar el plan. Dicha notificación comprenderá información en la que, como mínimo, se identifique a España como Estado miembro de acogida, a la empresa o empresas promotoras y el domicilio de la administración principal de estas y las principales características del plan. La información también deberá incluir la identificación del representante del fondo de pensiones en territorio español al que se refiere el artículo</w:t>
      </w:r>
      <w:r>
        <w:rPr>
          <w:spacing w:val="-13"/>
        </w:rPr>
        <w:t> </w:t>
      </w:r>
      <w:r>
        <w:rPr/>
        <w:t>46.</w:t>
      </w:r>
    </w:p>
    <w:p>
      <w:pPr>
        <w:pStyle w:val="BodyText"/>
        <w:spacing w:line="249" w:lineRule="auto" w:before="6"/>
        <w:ind w:left="1754" w:right="1272"/>
      </w:pPr>
      <w:r>
        <w:rPr/>
        <w:t>Una vez que la autoridad competente del Estado miembro de origen del fondo traslade la información referida en el párrafo anterior a la Dirección General de Seguros y Fondos de Pensiones de conformidad con lo dispuesto en el artículo 11.3 de la Directiva (UE) 2016/2341 del Parlamento Europeo y del Consejo, de 14 de diciembre de 2016, dicha Dirección General de Seguros y Fondos de Pensiones, en</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4" w:firstLine="0"/>
      </w:pPr>
      <w:r>
        <w:rPr/>
        <w:t>el plazo de seis semanas desde la recepción de la información, informará a la autoridad competente del fondo de pensiones acerca de:</w:t>
      </w:r>
    </w:p>
    <w:p>
      <w:pPr>
        <w:pStyle w:val="ListParagraph"/>
        <w:numPr>
          <w:ilvl w:val="0"/>
          <w:numId w:val="397"/>
        </w:numPr>
        <w:tabs>
          <w:tab w:pos="2343" w:val="left" w:leader="none"/>
        </w:tabs>
        <w:spacing w:line="249" w:lineRule="auto" w:before="171" w:after="0"/>
        <w:ind w:left="1754" w:right="1276" w:firstLine="340"/>
        <w:jc w:val="both"/>
        <w:rPr>
          <w:sz w:val="20"/>
        </w:rPr>
      </w:pPr>
      <w:r>
        <w:rPr>
          <w:sz w:val="20"/>
        </w:rPr>
        <w:t>Las disposiciones de la legislación social y laboral española con arreglo a las cuales</w:t>
      </w:r>
      <w:r>
        <w:rPr>
          <w:spacing w:val="-3"/>
          <w:sz w:val="20"/>
        </w:rPr>
        <w:t> </w:t>
      </w:r>
      <w:r>
        <w:rPr>
          <w:sz w:val="20"/>
        </w:rPr>
        <w:t>deba</w:t>
      </w:r>
      <w:r>
        <w:rPr>
          <w:spacing w:val="-4"/>
          <w:sz w:val="20"/>
        </w:rPr>
        <w:t> </w:t>
      </w:r>
      <w:r>
        <w:rPr>
          <w:sz w:val="20"/>
        </w:rPr>
        <w:t>desarrollarse</w:t>
      </w:r>
      <w:r>
        <w:rPr>
          <w:spacing w:val="-3"/>
          <w:sz w:val="20"/>
        </w:rPr>
        <w:t> </w:t>
      </w:r>
      <w:r>
        <w:rPr>
          <w:sz w:val="20"/>
        </w:rPr>
        <w:t>el</w:t>
      </w:r>
      <w:r>
        <w:rPr>
          <w:spacing w:val="-3"/>
          <w:sz w:val="20"/>
        </w:rPr>
        <w:t> </w:t>
      </w:r>
      <w:r>
        <w:rPr>
          <w:sz w:val="20"/>
        </w:rPr>
        <w:t>plan</w:t>
      </w:r>
      <w:r>
        <w:rPr>
          <w:spacing w:val="-4"/>
          <w:sz w:val="20"/>
        </w:rPr>
        <w:t> </w:t>
      </w:r>
      <w:r>
        <w:rPr>
          <w:sz w:val="20"/>
        </w:rPr>
        <w:t>de</w:t>
      </w:r>
      <w:r>
        <w:rPr>
          <w:spacing w:val="-3"/>
          <w:sz w:val="20"/>
        </w:rPr>
        <w:t> </w:t>
      </w:r>
      <w:r>
        <w:rPr>
          <w:sz w:val="20"/>
        </w:rPr>
        <w:t>pensiones,</w:t>
      </w:r>
      <w:r>
        <w:rPr>
          <w:spacing w:val="-4"/>
          <w:sz w:val="20"/>
        </w:rPr>
        <w:t> </w:t>
      </w:r>
      <w:r>
        <w:rPr>
          <w:sz w:val="20"/>
        </w:rPr>
        <w:t>a</w:t>
      </w:r>
      <w:r>
        <w:rPr>
          <w:spacing w:val="-3"/>
          <w:sz w:val="20"/>
        </w:rPr>
        <w:t> </w:t>
      </w:r>
      <w:r>
        <w:rPr>
          <w:sz w:val="20"/>
        </w:rPr>
        <w:t>las</w:t>
      </w:r>
      <w:r>
        <w:rPr>
          <w:spacing w:val="-4"/>
          <w:sz w:val="20"/>
        </w:rPr>
        <w:t> </w:t>
      </w:r>
      <w:r>
        <w:rPr>
          <w:sz w:val="20"/>
        </w:rPr>
        <w:t>que</w:t>
      </w:r>
      <w:r>
        <w:rPr>
          <w:spacing w:val="-3"/>
          <w:sz w:val="20"/>
        </w:rPr>
        <w:t> </w:t>
      </w:r>
      <w:r>
        <w:rPr>
          <w:sz w:val="20"/>
        </w:rPr>
        <w:t>se</w:t>
      </w:r>
      <w:r>
        <w:rPr>
          <w:spacing w:val="-3"/>
          <w:sz w:val="20"/>
        </w:rPr>
        <w:t> </w:t>
      </w:r>
      <w:r>
        <w:rPr>
          <w:sz w:val="20"/>
        </w:rPr>
        <w:t>refiere</w:t>
      </w:r>
      <w:r>
        <w:rPr>
          <w:spacing w:val="-3"/>
          <w:sz w:val="20"/>
        </w:rPr>
        <w:t> </w:t>
      </w:r>
      <w:r>
        <w:rPr>
          <w:sz w:val="20"/>
        </w:rPr>
        <w:t>el</w:t>
      </w:r>
      <w:r>
        <w:rPr>
          <w:spacing w:val="-3"/>
          <w:sz w:val="20"/>
        </w:rPr>
        <w:t> </w:t>
      </w:r>
      <w:r>
        <w:rPr>
          <w:sz w:val="20"/>
        </w:rPr>
        <w:t>artículo</w:t>
      </w:r>
      <w:r>
        <w:rPr>
          <w:spacing w:val="-3"/>
          <w:sz w:val="20"/>
        </w:rPr>
        <w:t> </w:t>
      </w:r>
      <w:r>
        <w:rPr>
          <w:sz w:val="20"/>
        </w:rPr>
        <w:t>43.2.</w:t>
      </w:r>
    </w:p>
    <w:p>
      <w:pPr>
        <w:pStyle w:val="ListParagraph"/>
        <w:numPr>
          <w:ilvl w:val="0"/>
          <w:numId w:val="397"/>
        </w:numPr>
        <w:tabs>
          <w:tab w:pos="2350" w:val="left" w:leader="none"/>
        </w:tabs>
        <w:spacing w:line="249" w:lineRule="auto" w:before="2" w:after="0"/>
        <w:ind w:left="1754" w:right="1274" w:firstLine="340"/>
        <w:jc w:val="both"/>
        <w:rPr>
          <w:sz w:val="20"/>
        </w:rPr>
      </w:pPr>
      <w:r>
        <w:rPr>
          <w:sz w:val="20"/>
        </w:rPr>
        <w:t>Las normas en materia de información a los partícipes y beneficiarios de los planes de pensiones de empleo exigibles a los fondos de pensiones autorizados y registrados en España por esta Ley y sus normas de desarrollo, de conformidad con lo previsto en el artículo</w:t>
      </w:r>
      <w:r>
        <w:rPr>
          <w:spacing w:val="-7"/>
          <w:sz w:val="20"/>
        </w:rPr>
        <w:t> </w:t>
      </w:r>
      <w:r>
        <w:rPr>
          <w:sz w:val="20"/>
        </w:rPr>
        <w:t>38.5.</w:t>
      </w:r>
    </w:p>
    <w:p>
      <w:pPr>
        <w:pStyle w:val="BodyText"/>
        <w:spacing w:line="249" w:lineRule="auto" w:before="3"/>
        <w:ind w:left="1754" w:right="1273"/>
      </w:pPr>
      <w:r>
        <w:rPr/>
        <w:t>El plan de pensiones se podrá integrar en el fondo de pensiones una vez que la autoridad competente del Estado de origen del fondo de pensiones traslade a este la anterior información emitida por la Dirección General de Seguros y Fondos de Pensiones, o bien transcurrido el plazo antes citado de seis semanas sin que el fondo de pensiones haya recibido comunicación</w:t>
      </w:r>
      <w:r>
        <w:rPr>
          <w:spacing w:val="-6"/>
        </w:rPr>
        <w:t> </w:t>
      </w:r>
      <w:r>
        <w:rPr/>
        <w:t>alguna.»</w:t>
      </w:r>
    </w:p>
    <w:p>
      <w:pPr>
        <w:pStyle w:val="BodyText"/>
        <w:spacing w:line="249" w:lineRule="auto" w:before="174"/>
        <w:ind w:left="1754" w:right="1272"/>
      </w:pPr>
      <w:r>
        <w:rPr/>
        <w:t>«5. Un plan de pensiones de empleo sujeto a la legislación española, adscrito a un fondo de pensiones autorizado en España, podrá movilizarse a un fondo de pensiones de empleo autorizado en otro Estado miembro traspasando a este su cuenta de posición, a cuyo efecto será aplicable el procedimiento de transferencias transfronterizas regulado en el artículo 50.»</w:t>
      </w:r>
    </w:p>
    <w:p>
      <w:pPr>
        <w:pStyle w:val="BodyText"/>
        <w:spacing w:before="125"/>
        <w:ind w:left="1414" w:firstLine="0"/>
        <w:jc w:val="left"/>
      </w:pPr>
      <w:r>
        <w:rPr/>
        <w:t>Treinta. El título y los apartados 4, 5 y 6 del artículo 45 quedan redactados como sigue:</w:t>
      </w:r>
    </w:p>
    <w:p>
      <w:pPr>
        <w:pStyle w:val="BodyText"/>
        <w:spacing w:before="0"/>
        <w:ind w:left="0" w:firstLine="0"/>
        <w:jc w:val="left"/>
        <w:rPr>
          <w:sz w:val="21"/>
        </w:rPr>
      </w:pPr>
    </w:p>
    <w:p>
      <w:pPr>
        <w:spacing w:line="249" w:lineRule="auto" w:before="1"/>
        <w:ind w:left="1754" w:right="1274" w:firstLine="0"/>
        <w:jc w:val="both"/>
        <w:rPr>
          <w:i/>
          <w:sz w:val="20"/>
        </w:rPr>
      </w:pPr>
      <w:r>
        <w:rPr>
          <w:b/>
          <w:sz w:val="20"/>
        </w:rPr>
        <w:t>«Artículo 45. </w:t>
      </w:r>
      <w:r>
        <w:rPr>
          <w:i/>
          <w:sz w:val="20"/>
        </w:rPr>
        <w:t>Desarrollo de los planes de pensiones de empleo sujetos a la </w:t>
      </w:r>
      <w:r>
        <w:rPr>
          <w:i/>
          <w:sz w:val="20"/>
        </w:rPr>
        <w:t>legislación social y laboral española adscritos a fondos de pensiones de empleo autorizados en otros Estados miembros.»</w:t>
      </w:r>
    </w:p>
    <w:p>
      <w:pPr>
        <w:pStyle w:val="BodyText"/>
        <w:spacing w:line="249" w:lineRule="auto" w:before="110"/>
        <w:ind w:left="1754" w:right="1274"/>
      </w:pPr>
      <w:r>
        <w:rPr/>
        <w:t>«4. Serán aplicables las normas sobre inversiones de los fondos de pensiones establecidas en la legislación del Estado miembro de origen del fondo de pensiones.</w:t>
      </w:r>
    </w:p>
    <w:p>
      <w:pPr>
        <w:pStyle w:val="ListParagraph"/>
        <w:numPr>
          <w:ilvl w:val="0"/>
          <w:numId w:val="398"/>
        </w:numPr>
        <w:tabs>
          <w:tab w:pos="2373" w:val="left" w:leader="none"/>
        </w:tabs>
        <w:spacing w:line="249" w:lineRule="auto" w:before="1" w:after="0"/>
        <w:ind w:left="1754" w:right="1273" w:firstLine="340"/>
        <w:jc w:val="both"/>
        <w:rPr>
          <w:sz w:val="20"/>
        </w:rPr>
      </w:pPr>
      <w:r>
        <w:rPr>
          <w:sz w:val="20"/>
        </w:rPr>
        <w:t>En materia de derechos y obligaciones de información a los partícipes y beneficiarios de los planes de pensiones sujetos a la legislación española, adscritos a fondos de pensiones autorizados en otros Estados miembros, será de aplicación el régimen establecido en esta Ley y en su desarrollo reglamentario sobre derechos y obligaciones de información en los planes de pensiones de</w:t>
      </w:r>
      <w:r>
        <w:rPr>
          <w:spacing w:val="-20"/>
          <w:sz w:val="20"/>
        </w:rPr>
        <w:t> </w:t>
      </w:r>
      <w:r>
        <w:rPr>
          <w:sz w:val="20"/>
        </w:rPr>
        <w:t>empleo.</w:t>
      </w:r>
    </w:p>
    <w:p>
      <w:pPr>
        <w:pStyle w:val="BodyText"/>
        <w:spacing w:before="4"/>
        <w:ind w:left="2094" w:firstLine="0"/>
      </w:pPr>
      <w:r>
        <w:rPr/>
        <w:t>Dicha información deberá estar disponible, al menos, en castellano.</w:t>
      </w:r>
    </w:p>
    <w:p>
      <w:pPr>
        <w:pStyle w:val="BodyText"/>
        <w:spacing w:line="249" w:lineRule="auto" w:before="10"/>
        <w:ind w:left="1754" w:right="1273"/>
      </w:pPr>
      <w:r>
        <w:rPr/>
        <w:t>La comisión de control del plan velará porque los administradores o gestores del fondo de pensiones cumplan adecuadamente el régimen de información.</w:t>
      </w:r>
    </w:p>
    <w:p>
      <w:pPr>
        <w:pStyle w:val="ListParagraph"/>
        <w:numPr>
          <w:ilvl w:val="0"/>
          <w:numId w:val="398"/>
        </w:numPr>
        <w:tabs>
          <w:tab w:pos="2320" w:val="left" w:leader="none"/>
        </w:tabs>
        <w:spacing w:line="249" w:lineRule="auto" w:before="2" w:after="0"/>
        <w:ind w:left="1754" w:right="1271" w:firstLine="340"/>
        <w:jc w:val="both"/>
        <w:rPr>
          <w:sz w:val="20"/>
        </w:rPr>
      </w:pPr>
      <w:r>
        <w:rPr>
          <w:sz w:val="20"/>
        </w:rPr>
        <w:t>Un plan de pensiones de empleo sujeto a la legislación española, adscrito a un fondo de pensiones de empleo autorizado en otro Estado miembro, podrá movilizarse a otro fondo de pensiones de empleo autorizado en cualquier Estado miembro a cuyo efecto será aplicable el procedimiento de transferencias transfronterizas regulado en el artículo 12 de la Directiva (UE) 2016/2341 del Parlamento Europeo y del Consejo, de 14 de diciembre de 2016, y sección 4.ª de este</w:t>
      </w:r>
      <w:r>
        <w:rPr>
          <w:spacing w:val="-14"/>
          <w:sz w:val="20"/>
        </w:rPr>
        <w:t> </w:t>
      </w:r>
      <w:r>
        <w:rPr>
          <w:sz w:val="20"/>
        </w:rPr>
        <w:t>capítulo.»</w:t>
      </w:r>
    </w:p>
    <w:p>
      <w:pPr>
        <w:pStyle w:val="BodyText"/>
        <w:spacing w:before="125"/>
        <w:ind w:left="1414" w:firstLine="0"/>
        <w:jc w:val="left"/>
      </w:pPr>
      <w:r>
        <w:rPr/>
        <w:t>Treinta y uno. El título y el apartado 2 del artículo 47 quedan redactados como sigue:</w:t>
      </w:r>
    </w:p>
    <w:p>
      <w:pPr>
        <w:pStyle w:val="BodyText"/>
        <w:spacing w:before="1"/>
        <w:ind w:left="0" w:firstLine="0"/>
        <w:jc w:val="left"/>
        <w:rPr>
          <w:sz w:val="21"/>
        </w:rPr>
      </w:pPr>
    </w:p>
    <w:p>
      <w:pPr>
        <w:spacing w:line="249" w:lineRule="auto" w:before="0"/>
        <w:ind w:left="1754" w:right="1273" w:firstLine="0"/>
        <w:jc w:val="both"/>
        <w:rPr>
          <w:i/>
          <w:sz w:val="20"/>
        </w:rPr>
      </w:pPr>
      <w:r>
        <w:rPr>
          <w:b/>
          <w:sz w:val="20"/>
        </w:rPr>
        <w:t>«Artículo 47. </w:t>
      </w:r>
      <w:r>
        <w:rPr>
          <w:i/>
          <w:sz w:val="20"/>
        </w:rPr>
        <w:t>Supervisión del cumplimiento de la legislación social y laboral  </w:t>
      </w:r>
      <w:r>
        <w:rPr>
          <w:i/>
          <w:sz w:val="20"/>
        </w:rPr>
        <w:t>española en materia de planes de pensiones de empleo adscritos a fondos de pensiones autorizados en otros Estados</w:t>
      </w:r>
      <w:r>
        <w:rPr>
          <w:i/>
          <w:spacing w:val="-6"/>
          <w:sz w:val="20"/>
        </w:rPr>
        <w:t> </w:t>
      </w:r>
      <w:r>
        <w:rPr>
          <w:i/>
          <w:sz w:val="20"/>
        </w:rPr>
        <w:t>miembros.»</w:t>
      </w:r>
    </w:p>
    <w:p>
      <w:pPr>
        <w:pStyle w:val="BodyText"/>
        <w:spacing w:line="249" w:lineRule="auto" w:before="110"/>
        <w:ind w:left="1754" w:right="1272"/>
      </w:pPr>
      <w:r>
        <w:rPr/>
        <w:t>«2. El Ministerio de Asuntos Económicos y Transformación Digital, informará a las autoridades de los Estados miembros de origen acerca de cualquier cambio significativo en las disposiciones de la legislación social y laboral española pertinentes a los planes de pensiones, en la medida que afecte a la gestión de planes de pensiones adscritos a fondos de pensiones autorizados en otros Estados miembros, así como de los cambios en las normas en materia de obligaciones de información a partícipes y</w:t>
      </w:r>
      <w:r>
        <w:rPr>
          <w:spacing w:val="-5"/>
        </w:rPr>
        <w:t> </w:t>
      </w:r>
      <w:r>
        <w:rPr/>
        <w:t>beneficiarios.»</w:t>
      </w:r>
    </w:p>
    <w:p>
      <w:pPr>
        <w:pStyle w:val="BodyText"/>
        <w:spacing w:line="249" w:lineRule="auto" w:before="126"/>
        <w:ind w:right="1278"/>
        <w:jc w:val="left"/>
      </w:pPr>
      <w:r>
        <w:rPr/>
        <w:t>Treinta y dos. En el capítulo X se adiciona una sección 4.ª nueva con la siguiente denominación:</w:t>
      </w:r>
    </w:p>
    <w:p>
      <w:pPr>
        <w:spacing w:after="0" w:line="249" w:lineRule="auto"/>
        <w:jc w:val="left"/>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pStyle w:val="Heading2"/>
        <w:ind w:left="2928"/>
        <w:rPr>
          <w:i/>
        </w:rPr>
      </w:pPr>
      <w:r>
        <w:rPr>
          <w:i/>
        </w:rPr>
        <w:t>«Sección 4.ª Transferencias transfronterizas»</w:t>
      </w:r>
    </w:p>
    <w:p>
      <w:pPr>
        <w:pStyle w:val="BodyText"/>
        <w:spacing w:line="249" w:lineRule="auto" w:before="125"/>
        <w:ind w:right="1273"/>
      </w:pPr>
      <w:r>
        <w:rPr/>
        <w:t>Treinta y tres. Se introduce un nuevo artículo 49, en la sección 4.ª del capítulo X, con la siguiente redacción.</w:t>
      </w:r>
    </w:p>
    <w:p>
      <w:pPr>
        <w:pStyle w:val="BodyText"/>
        <w:spacing w:before="4"/>
        <w:ind w:left="0" w:firstLine="0"/>
        <w:jc w:val="left"/>
      </w:pPr>
    </w:p>
    <w:p>
      <w:pPr>
        <w:spacing w:line="249" w:lineRule="auto" w:before="0"/>
        <w:ind w:left="1754" w:right="1271" w:firstLine="0"/>
        <w:jc w:val="both"/>
        <w:rPr>
          <w:i/>
          <w:sz w:val="20"/>
        </w:rPr>
      </w:pPr>
      <w:r>
        <w:rPr>
          <w:b/>
          <w:sz w:val="20"/>
        </w:rPr>
        <w:t>«Artículo 49.  </w:t>
      </w:r>
      <w:r>
        <w:rPr>
          <w:i/>
          <w:sz w:val="20"/>
        </w:rPr>
        <w:t>Aspectos generales de las transferencias transfronterizas de planes  </w:t>
      </w:r>
      <w:r>
        <w:rPr>
          <w:i/>
          <w:sz w:val="20"/>
        </w:rPr>
        <w:t>de pensiones de empleo entre fondos de pensiones de empleo de los Estados miembros.</w:t>
      </w:r>
    </w:p>
    <w:p>
      <w:pPr>
        <w:pStyle w:val="ListParagraph"/>
        <w:numPr>
          <w:ilvl w:val="0"/>
          <w:numId w:val="399"/>
        </w:numPr>
        <w:tabs>
          <w:tab w:pos="2372" w:val="left" w:leader="none"/>
        </w:tabs>
        <w:spacing w:line="249" w:lineRule="auto" w:before="110" w:after="0"/>
        <w:ind w:left="1754" w:right="1272" w:firstLine="340"/>
        <w:jc w:val="both"/>
        <w:rPr>
          <w:sz w:val="20"/>
        </w:rPr>
      </w:pPr>
      <w:r>
        <w:rPr>
          <w:sz w:val="20"/>
        </w:rPr>
        <w:t>Un fondo de pensiones de empleo autorizado o registrado en un Estado miembro podrá transferir la totalidad o una parte de las obligaciones, provisiones técnicas y otras obligaciones y derechos de un plan de pensiones de empleo adscrito al mismo, así como los activos que le correspondan o su equivalente en efectivo, a un fondo de pensiones de empleo receptor autorizado o registrado en otro Estado miembro.</w:t>
      </w:r>
    </w:p>
    <w:p>
      <w:pPr>
        <w:pStyle w:val="BodyText"/>
        <w:spacing w:line="249" w:lineRule="auto" w:before="5"/>
        <w:ind w:left="1754" w:right="1271"/>
      </w:pPr>
      <w:r>
        <w:rPr/>
        <w:t>La transferencia transfronteriza parcial de un plan de pensiones de empleo sujeto a la legislación social y laboral española podrá realizarse en aplicación de los criterios establecidos reglamentariamente para la adscripción de un plan de pensiones de empleo a varios fondos de pensiones, en los planes de promoción conjunta con ocasión de la separación de entidades promotoras o cuando se produzca una escisión del plan en dos o más planes a consecuencia de operaciones societarias.</w:t>
      </w:r>
    </w:p>
    <w:p>
      <w:pPr>
        <w:pStyle w:val="ListParagraph"/>
        <w:numPr>
          <w:ilvl w:val="0"/>
          <w:numId w:val="399"/>
        </w:numPr>
        <w:tabs>
          <w:tab w:pos="2323" w:val="left" w:leader="none"/>
        </w:tabs>
        <w:spacing w:line="249" w:lineRule="auto" w:before="6" w:after="0"/>
        <w:ind w:left="1754" w:right="1271" w:firstLine="340"/>
        <w:jc w:val="both"/>
        <w:rPr>
          <w:sz w:val="20"/>
        </w:rPr>
      </w:pPr>
      <w:r>
        <w:rPr>
          <w:sz w:val="20"/>
        </w:rPr>
        <w:t>Los costes de la transferencia no correrán a cargo del resto de los partícipes y beneficiarios del fondo de pensiones de empleo transferente ni de los partícipes y beneficiarios titulares del fondo de pensiones de empleo</w:t>
      </w:r>
      <w:r>
        <w:rPr>
          <w:spacing w:val="-12"/>
          <w:sz w:val="20"/>
        </w:rPr>
        <w:t> </w:t>
      </w:r>
      <w:r>
        <w:rPr>
          <w:sz w:val="20"/>
        </w:rPr>
        <w:t>receptor.</w:t>
      </w:r>
    </w:p>
    <w:p>
      <w:pPr>
        <w:pStyle w:val="ListParagraph"/>
        <w:numPr>
          <w:ilvl w:val="0"/>
          <w:numId w:val="399"/>
        </w:numPr>
        <w:tabs>
          <w:tab w:pos="2344" w:val="left" w:leader="none"/>
        </w:tabs>
        <w:spacing w:line="249" w:lineRule="auto" w:before="2" w:after="0"/>
        <w:ind w:left="1754" w:right="1273" w:firstLine="340"/>
        <w:jc w:val="both"/>
        <w:rPr>
          <w:sz w:val="20"/>
        </w:rPr>
      </w:pPr>
      <w:r>
        <w:rPr>
          <w:sz w:val="20"/>
        </w:rPr>
        <w:t>La transferencia estará sujeta a la aprobación previa de una mayoría de los partícipes y una mayoría de los beneficiarios afectados, o, si procede, de una mayoría de sus representantes y, además, cuando proceda, requerirá la aprobación de la empresa promotora, de conformidad con lo previsto en la legislación nacional aplicable.</w:t>
      </w:r>
    </w:p>
    <w:p>
      <w:pPr>
        <w:pStyle w:val="BodyText"/>
        <w:spacing w:line="249" w:lineRule="auto" w:before="4"/>
        <w:ind w:left="1754" w:right="1273"/>
      </w:pPr>
      <w:r>
        <w:rPr/>
        <w:t>El fondo de pensiones de empleo transferente pondrá la información sobre las condiciones de la transferencia a disposición de los partícipes y beneficiarios interesados y, si procede, de sus representantes, con tiempo suficiente antes de que se presente la solicitud de autorización de la transferencia por la autoridad competente del Estado miembro de origen del fondo receptor prevista en los artículos 50 y 51. Dicha información incluirá la relativa a la cesión de datos personales de los partícipes y beneficiarios afectados y al nuevo responsable de su tratamiento.</w:t>
      </w:r>
    </w:p>
    <w:p>
      <w:pPr>
        <w:pStyle w:val="ListParagraph"/>
        <w:numPr>
          <w:ilvl w:val="0"/>
          <w:numId w:val="399"/>
        </w:numPr>
        <w:tabs>
          <w:tab w:pos="2348" w:val="left" w:leader="none"/>
        </w:tabs>
        <w:spacing w:line="249" w:lineRule="auto" w:before="6" w:after="0"/>
        <w:ind w:left="1754" w:right="1272" w:firstLine="340"/>
        <w:jc w:val="both"/>
        <w:rPr>
          <w:sz w:val="20"/>
        </w:rPr>
      </w:pPr>
      <w:r>
        <w:rPr>
          <w:sz w:val="20"/>
        </w:rPr>
        <w:t>Cuando se trate de un plan de pensiones de empleo sujeto a la legislación social y laboral española la aprobación previa referida deberá otorgarse mediante el acuerdo de la comisión de control del plan de pensiones con la mayoría estipulada en las especificaciones del mismo para los cambios de gestora o depositaria y de movilización del plan a otro fondo, debiendo incluir, al menos, el voto favorable de la mitad de los representantes de los partícipes. A tal efecto, los miembros de</w:t>
      </w:r>
      <w:r>
        <w:rPr>
          <w:spacing w:val="16"/>
          <w:sz w:val="20"/>
        </w:rPr>
        <w:t> </w:t>
      </w:r>
      <w:r>
        <w:rPr>
          <w:sz w:val="20"/>
        </w:rPr>
        <w:t>la comisión de control del plan de pensiones que representen conjuntamente a partícipes y beneficiarios se computarán como representantes de</w:t>
      </w:r>
      <w:r>
        <w:rPr>
          <w:spacing w:val="-15"/>
          <w:sz w:val="20"/>
        </w:rPr>
        <w:t> </w:t>
      </w:r>
      <w:r>
        <w:rPr>
          <w:sz w:val="20"/>
        </w:rPr>
        <w:t>partícipes.</w:t>
      </w:r>
    </w:p>
    <w:p>
      <w:pPr>
        <w:pStyle w:val="ListParagraph"/>
        <w:numPr>
          <w:ilvl w:val="0"/>
          <w:numId w:val="399"/>
        </w:numPr>
        <w:tabs>
          <w:tab w:pos="2340" w:val="left" w:leader="none"/>
        </w:tabs>
        <w:spacing w:line="252" w:lineRule="auto" w:before="6" w:after="0"/>
        <w:ind w:left="1754" w:right="1270" w:firstLine="340"/>
        <w:jc w:val="both"/>
        <w:rPr>
          <w:sz w:val="20"/>
        </w:rPr>
      </w:pPr>
      <w:r>
        <w:rPr>
          <w:sz w:val="20"/>
        </w:rPr>
        <w:t>En caso de desacuerdo sobre el procedimiento o contenido de una acción o inacción de la autoridad competente del Estado miembro de origen del fondo de pensiones de empleo transferente o receptor, incluida la decisión de autorizar o denegar una transferencia transfronteriza, la Autoridad Europea de Seguros y Pensiones de Jubilación (AESPJ) podrá emprender una mediación no vinculante de conformidad con el artículo 31, segundo párrafo, letra c), del Reglamento (UE) n.</w:t>
      </w:r>
      <w:r>
        <w:rPr>
          <w:position w:val="7"/>
          <w:sz w:val="12"/>
        </w:rPr>
        <w:t>o</w:t>
      </w:r>
      <w:r>
        <w:rPr>
          <w:sz w:val="12"/>
        </w:rPr>
        <w:t> </w:t>
      </w:r>
      <w:r>
        <w:rPr>
          <w:sz w:val="20"/>
        </w:rPr>
        <w:t>1094/2010, a solicitud de una de las autoridades competentes o por propia iniciativa.»</w:t>
      </w:r>
    </w:p>
    <w:p>
      <w:pPr>
        <w:pStyle w:val="BodyText"/>
        <w:spacing w:line="249" w:lineRule="auto" w:before="115"/>
        <w:ind w:right="1273"/>
      </w:pPr>
      <w:r>
        <w:rPr/>
        <w:t>Treinta y cuatro. Se introduce un nuevo artículo 50, en la sección 4.ª del capítulo X, con la siguiente</w:t>
      </w:r>
      <w:r>
        <w:rPr>
          <w:spacing w:val="-2"/>
        </w:rPr>
        <w:t> </w:t>
      </w:r>
      <w:r>
        <w:rPr/>
        <w:t>redacción:</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spacing w:line="249" w:lineRule="auto" w:before="0"/>
        <w:ind w:left="1754" w:right="1271" w:firstLine="0"/>
        <w:jc w:val="both"/>
        <w:rPr>
          <w:i/>
          <w:sz w:val="20"/>
        </w:rPr>
      </w:pPr>
      <w:r>
        <w:rPr>
          <w:b/>
          <w:sz w:val="20"/>
        </w:rPr>
        <w:t>«Artículo 50. </w:t>
      </w:r>
      <w:r>
        <w:rPr>
          <w:i/>
          <w:sz w:val="20"/>
        </w:rPr>
        <w:t>Transferencia transfronteriza desde un fondo de pensiones de empleo </w:t>
      </w:r>
      <w:r>
        <w:rPr>
          <w:i/>
          <w:sz w:val="20"/>
        </w:rPr>
        <w:t>autorizado y registrado en España a otro fondo de pensiones de empleo autorizado o registrado en otro Estado miembro.</w:t>
      </w:r>
    </w:p>
    <w:p>
      <w:pPr>
        <w:pStyle w:val="ListParagraph"/>
        <w:numPr>
          <w:ilvl w:val="0"/>
          <w:numId w:val="400"/>
        </w:numPr>
        <w:tabs>
          <w:tab w:pos="2331" w:val="left" w:leader="none"/>
        </w:tabs>
        <w:spacing w:line="249" w:lineRule="auto" w:before="110" w:after="0"/>
        <w:ind w:left="1754" w:right="1271" w:firstLine="340"/>
        <w:jc w:val="both"/>
        <w:rPr>
          <w:sz w:val="20"/>
        </w:rPr>
      </w:pPr>
      <w:r>
        <w:rPr>
          <w:sz w:val="20"/>
        </w:rPr>
        <w:t>La transferencia transfronteriza de un plan de pensiones de empleo desde un fondo de pensiones de empleo transferente autorizado y registrado en España deberá ser autorizada previamente por la autoridad competente del Estado miembro de origen del fondo de pensiones de empleo receptor, tras haberse obtenido antes la autorización de la Dirección General de Seguros y Fondos de Pensiones. La solicitud de autorización de transferencia deberá presentarla el fondo de pensiones receptor ante la autoridad competente de su Estado miembro de</w:t>
      </w:r>
      <w:r>
        <w:rPr>
          <w:spacing w:val="-10"/>
          <w:sz w:val="20"/>
        </w:rPr>
        <w:t> </w:t>
      </w:r>
      <w:r>
        <w:rPr>
          <w:sz w:val="20"/>
        </w:rPr>
        <w:t>origen.</w:t>
      </w:r>
    </w:p>
    <w:p>
      <w:pPr>
        <w:pStyle w:val="ListParagraph"/>
        <w:numPr>
          <w:ilvl w:val="0"/>
          <w:numId w:val="400"/>
        </w:numPr>
        <w:tabs>
          <w:tab w:pos="2335" w:val="left" w:leader="none"/>
        </w:tabs>
        <w:spacing w:line="249" w:lineRule="auto" w:before="6" w:after="0"/>
        <w:ind w:left="1754" w:right="1273" w:firstLine="340"/>
        <w:jc w:val="both"/>
        <w:rPr>
          <w:sz w:val="20"/>
        </w:rPr>
      </w:pPr>
      <w:r>
        <w:rPr>
          <w:sz w:val="20"/>
        </w:rPr>
        <w:t>La solicitud de autorización de la transferencia a que se refiere el apartado 1 deberá contener la siguiente</w:t>
      </w:r>
      <w:r>
        <w:rPr>
          <w:spacing w:val="-3"/>
          <w:sz w:val="20"/>
        </w:rPr>
        <w:t> </w:t>
      </w:r>
      <w:r>
        <w:rPr>
          <w:sz w:val="20"/>
        </w:rPr>
        <w:t>información:</w:t>
      </w:r>
    </w:p>
    <w:p>
      <w:pPr>
        <w:pStyle w:val="ListParagraph"/>
        <w:numPr>
          <w:ilvl w:val="0"/>
          <w:numId w:val="401"/>
        </w:numPr>
        <w:tabs>
          <w:tab w:pos="2364" w:val="left" w:leader="none"/>
        </w:tabs>
        <w:spacing w:line="249" w:lineRule="auto" w:before="172" w:after="0"/>
        <w:ind w:left="1754" w:right="1273" w:firstLine="340"/>
        <w:jc w:val="both"/>
        <w:rPr>
          <w:sz w:val="20"/>
        </w:rPr>
      </w:pPr>
      <w:r>
        <w:rPr>
          <w:sz w:val="20"/>
        </w:rPr>
        <w:t>El acuerdo escrito entre los fondos de pensiones de empleo transferente y receptor exponiendo las condiciones de la transferencia, el cual requerirá la aprobación previa de la comisión de control del fondo de pensiones transferente y será suscrito en nombre de este por las entidades gestora y depositaria del</w:t>
      </w:r>
      <w:r>
        <w:rPr>
          <w:spacing w:val="-39"/>
          <w:sz w:val="20"/>
        </w:rPr>
        <w:t> </w:t>
      </w:r>
      <w:r>
        <w:rPr>
          <w:sz w:val="20"/>
        </w:rPr>
        <w:t>mismo.</w:t>
      </w:r>
    </w:p>
    <w:p>
      <w:pPr>
        <w:pStyle w:val="ListParagraph"/>
        <w:numPr>
          <w:ilvl w:val="0"/>
          <w:numId w:val="401"/>
        </w:numPr>
        <w:tabs>
          <w:tab w:pos="2393" w:val="left" w:leader="none"/>
        </w:tabs>
        <w:spacing w:line="249" w:lineRule="auto" w:before="3" w:after="0"/>
        <w:ind w:left="1754" w:right="1274" w:firstLine="340"/>
        <w:jc w:val="both"/>
        <w:rPr>
          <w:sz w:val="20"/>
        </w:rPr>
      </w:pPr>
      <w:r>
        <w:rPr>
          <w:sz w:val="20"/>
        </w:rPr>
        <w:t>Una descripción de las principales características del plan de pensiones afectado.</w:t>
      </w:r>
    </w:p>
    <w:p>
      <w:pPr>
        <w:pStyle w:val="ListParagraph"/>
        <w:numPr>
          <w:ilvl w:val="0"/>
          <w:numId w:val="401"/>
        </w:numPr>
        <w:tabs>
          <w:tab w:pos="2351" w:val="left" w:leader="none"/>
        </w:tabs>
        <w:spacing w:line="249" w:lineRule="auto" w:before="2" w:after="0"/>
        <w:ind w:left="1754" w:right="1273" w:firstLine="340"/>
        <w:jc w:val="both"/>
        <w:rPr>
          <w:sz w:val="20"/>
        </w:rPr>
      </w:pPr>
      <w:r>
        <w:rPr>
          <w:sz w:val="20"/>
        </w:rPr>
        <w:t>Una descripción de las obligaciones o provisiones técnicas que se vayan a transferir, y otras obligaciones y derechos, así como los activos correspondientes o su equivalente en</w:t>
      </w:r>
      <w:r>
        <w:rPr>
          <w:spacing w:val="-3"/>
          <w:sz w:val="20"/>
        </w:rPr>
        <w:t> </w:t>
      </w:r>
      <w:r>
        <w:rPr>
          <w:sz w:val="20"/>
        </w:rPr>
        <w:t>efectivo.</w:t>
      </w:r>
    </w:p>
    <w:p>
      <w:pPr>
        <w:pStyle w:val="ListParagraph"/>
        <w:numPr>
          <w:ilvl w:val="0"/>
          <w:numId w:val="401"/>
        </w:numPr>
        <w:tabs>
          <w:tab w:pos="2334" w:val="left" w:leader="none"/>
        </w:tabs>
        <w:spacing w:line="249" w:lineRule="auto" w:before="2" w:after="0"/>
        <w:ind w:left="1754" w:right="1270" w:firstLine="340"/>
        <w:jc w:val="both"/>
        <w:rPr>
          <w:sz w:val="20"/>
        </w:rPr>
      </w:pPr>
      <w:r>
        <w:rPr>
          <w:sz w:val="20"/>
        </w:rPr>
        <w:t>Identificación de los fondos de pensiones transferente y receptor, indicando su denominación y el domicilio de sus administraciones principales y, en su caso, de las entidades que ejerzan su administración, así como el nombre del Estado miembro en el que cada fondo de pensiones de empleo esté registrado o</w:t>
      </w:r>
      <w:r>
        <w:rPr>
          <w:spacing w:val="-19"/>
          <w:sz w:val="20"/>
        </w:rPr>
        <w:t> </w:t>
      </w:r>
      <w:r>
        <w:rPr>
          <w:sz w:val="20"/>
        </w:rPr>
        <w:t>autorizado.</w:t>
      </w:r>
    </w:p>
    <w:p>
      <w:pPr>
        <w:pStyle w:val="ListParagraph"/>
        <w:numPr>
          <w:ilvl w:val="0"/>
          <w:numId w:val="401"/>
        </w:numPr>
        <w:tabs>
          <w:tab w:pos="2331" w:val="left" w:leader="none"/>
        </w:tabs>
        <w:spacing w:line="249" w:lineRule="auto" w:before="4" w:after="0"/>
        <w:ind w:left="1754" w:right="1275" w:firstLine="340"/>
        <w:jc w:val="both"/>
        <w:rPr>
          <w:sz w:val="20"/>
        </w:rPr>
      </w:pPr>
      <w:r>
        <w:rPr>
          <w:sz w:val="20"/>
        </w:rPr>
        <w:t>Identificación de la entidad promotora del plan, indicando su denominación y el domicilio de su administración</w:t>
      </w:r>
      <w:r>
        <w:rPr>
          <w:spacing w:val="-5"/>
          <w:sz w:val="20"/>
        </w:rPr>
        <w:t> </w:t>
      </w:r>
      <w:r>
        <w:rPr>
          <w:sz w:val="20"/>
        </w:rPr>
        <w:t>principal.</w:t>
      </w:r>
    </w:p>
    <w:p>
      <w:pPr>
        <w:pStyle w:val="ListParagraph"/>
        <w:numPr>
          <w:ilvl w:val="0"/>
          <w:numId w:val="401"/>
        </w:numPr>
        <w:tabs>
          <w:tab w:pos="2273" w:val="left" w:leader="none"/>
        </w:tabs>
        <w:spacing w:line="240" w:lineRule="auto" w:before="1" w:after="0"/>
        <w:ind w:left="2272" w:right="0" w:hanging="179"/>
        <w:jc w:val="both"/>
        <w:rPr>
          <w:sz w:val="20"/>
        </w:rPr>
      </w:pPr>
      <w:r>
        <w:rPr>
          <w:sz w:val="20"/>
        </w:rPr>
        <w:t>Acreditación de la aprobación previa a que se refiere el artículo</w:t>
      </w:r>
      <w:r>
        <w:rPr>
          <w:spacing w:val="-15"/>
          <w:sz w:val="20"/>
        </w:rPr>
        <w:t> </w:t>
      </w:r>
      <w:r>
        <w:rPr>
          <w:sz w:val="20"/>
        </w:rPr>
        <w:t>49.3.</w:t>
      </w:r>
    </w:p>
    <w:p>
      <w:pPr>
        <w:pStyle w:val="ListParagraph"/>
        <w:numPr>
          <w:ilvl w:val="0"/>
          <w:numId w:val="401"/>
        </w:numPr>
        <w:tabs>
          <w:tab w:pos="2376" w:val="left" w:leader="none"/>
        </w:tabs>
        <w:spacing w:line="249" w:lineRule="auto" w:before="10" w:after="0"/>
        <w:ind w:left="1754" w:right="1274" w:firstLine="340"/>
        <w:jc w:val="both"/>
        <w:rPr>
          <w:sz w:val="20"/>
        </w:rPr>
      </w:pPr>
      <w:r>
        <w:rPr>
          <w:sz w:val="20"/>
        </w:rPr>
        <w:t>Cuando proceda, el nombre del Estado miembro cuya legislación social y laboral sea aplicable al plan de pensiones en</w:t>
      </w:r>
      <w:r>
        <w:rPr>
          <w:spacing w:val="-11"/>
          <w:sz w:val="20"/>
        </w:rPr>
        <w:t> </w:t>
      </w:r>
      <w:r>
        <w:rPr>
          <w:sz w:val="20"/>
        </w:rPr>
        <w:t>cuestión.</w:t>
      </w:r>
    </w:p>
    <w:p>
      <w:pPr>
        <w:pStyle w:val="ListParagraph"/>
        <w:numPr>
          <w:ilvl w:val="0"/>
          <w:numId w:val="400"/>
        </w:numPr>
        <w:tabs>
          <w:tab w:pos="2412" w:val="left" w:leader="none"/>
        </w:tabs>
        <w:spacing w:line="249" w:lineRule="auto" w:before="172" w:after="0"/>
        <w:ind w:left="1754" w:right="1272" w:firstLine="340"/>
        <w:jc w:val="both"/>
        <w:rPr>
          <w:sz w:val="20"/>
        </w:rPr>
      </w:pPr>
      <w:r>
        <w:rPr>
          <w:sz w:val="20"/>
        </w:rPr>
        <w:t>La Dirección General de Seguros y Fondos de Pensiones examinará únicamente</w:t>
      </w:r>
      <w:r>
        <w:rPr>
          <w:spacing w:val="-2"/>
          <w:sz w:val="20"/>
        </w:rPr>
        <w:t> </w:t>
      </w:r>
      <w:r>
        <w:rPr>
          <w:sz w:val="20"/>
        </w:rPr>
        <w:t>si:</w:t>
      </w:r>
    </w:p>
    <w:p>
      <w:pPr>
        <w:pStyle w:val="ListParagraph"/>
        <w:numPr>
          <w:ilvl w:val="0"/>
          <w:numId w:val="402"/>
        </w:numPr>
        <w:tabs>
          <w:tab w:pos="2358" w:val="left" w:leader="none"/>
        </w:tabs>
        <w:spacing w:line="249" w:lineRule="auto" w:before="172" w:after="0"/>
        <w:ind w:left="1754" w:right="1273" w:firstLine="340"/>
        <w:jc w:val="both"/>
        <w:rPr>
          <w:sz w:val="20"/>
        </w:rPr>
      </w:pPr>
      <w:r>
        <w:rPr>
          <w:sz w:val="20"/>
        </w:rPr>
        <w:t>En caso de transferencia parcial de las obligaciones del plan de pensiones, provisiones técnicas, y otras obligaciones y derechos, así como los activos correspondientes o su equivalente en efectivo, los intereses a largo plazo de los partícipes y beneficiarios de la parte restante del plan están protegidos adecuadamente.</w:t>
      </w:r>
    </w:p>
    <w:p>
      <w:pPr>
        <w:pStyle w:val="ListParagraph"/>
        <w:numPr>
          <w:ilvl w:val="0"/>
          <w:numId w:val="402"/>
        </w:numPr>
        <w:tabs>
          <w:tab w:pos="2355" w:val="left" w:leader="none"/>
        </w:tabs>
        <w:spacing w:line="249" w:lineRule="auto" w:before="4" w:after="0"/>
        <w:ind w:left="1754" w:right="1275" w:firstLine="340"/>
        <w:jc w:val="both"/>
        <w:rPr>
          <w:sz w:val="20"/>
        </w:rPr>
      </w:pPr>
      <w:r>
        <w:rPr>
          <w:sz w:val="20"/>
        </w:rPr>
        <w:t>Los derechos individuales de los partícipes y beneficiarios son al menos los mismos tras la</w:t>
      </w:r>
      <w:r>
        <w:rPr>
          <w:spacing w:val="-2"/>
          <w:sz w:val="20"/>
        </w:rPr>
        <w:t> </w:t>
      </w:r>
      <w:r>
        <w:rPr>
          <w:sz w:val="20"/>
        </w:rPr>
        <w:t>transferencia.</w:t>
      </w:r>
    </w:p>
    <w:p>
      <w:pPr>
        <w:pStyle w:val="ListParagraph"/>
        <w:numPr>
          <w:ilvl w:val="0"/>
          <w:numId w:val="402"/>
        </w:numPr>
        <w:tabs>
          <w:tab w:pos="2327" w:val="left" w:leader="none"/>
        </w:tabs>
        <w:spacing w:line="249" w:lineRule="auto" w:before="1" w:after="0"/>
        <w:ind w:left="1754" w:right="1272" w:firstLine="340"/>
        <w:jc w:val="both"/>
        <w:rPr>
          <w:sz w:val="20"/>
        </w:rPr>
      </w:pPr>
      <w:r>
        <w:rPr>
          <w:sz w:val="20"/>
        </w:rPr>
        <w:t>Los activos correspondientes al plan de pensiones que se van a transferir son suficientes y adecuados para cubrir las obligaciones, provisiones técnicas, y otras obligaciones y derechos que se vayan a transferir, de conformidad con la normativa aplicable en</w:t>
      </w:r>
      <w:r>
        <w:rPr>
          <w:spacing w:val="-3"/>
          <w:sz w:val="20"/>
        </w:rPr>
        <w:t> </w:t>
      </w:r>
      <w:r>
        <w:rPr>
          <w:sz w:val="20"/>
        </w:rPr>
        <w:t>España.</w:t>
      </w:r>
    </w:p>
    <w:p>
      <w:pPr>
        <w:pStyle w:val="ListParagraph"/>
        <w:numPr>
          <w:ilvl w:val="0"/>
          <w:numId w:val="400"/>
        </w:numPr>
        <w:tabs>
          <w:tab w:pos="2327" w:val="left" w:leader="none"/>
        </w:tabs>
        <w:spacing w:line="249" w:lineRule="auto" w:before="174" w:after="0"/>
        <w:ind w:left="1754" w:right="1272" w:firstLine="340"/>
        <w:jc w:val="both"/>
        <w:rPr>
          <w:sz w:val="20"/>
        </w:rPr>
      </w:pPr>
      <w:r>
        <w:rPr>
          <w:sz w:val="20"/>
        </w:rPr>
        <w:t>La Dirección General de Seguros y Fondos de Pensiones en el plazo de ocho semanas a partir de la fecha en la que reciba la solicitud transmitida por la autoridad competente del Estado miembro de origen del fondo de pensiones de empleo receptor, comunicará a esta autoridad los resultados de la evaluación mencionada en el apartado 3 y el consecuente otorgamiento o denegación de su autorización a la transferencia solicitada.</w:t>
      </w:r>
    </w:p>
    <w:p>
      <w:pPr>
        <w:pStyle w:val="ListParagraph"/>
        <w:numPr>
          <w:ilvl w:val="0"/>
          <w:numId w:val="400"/>
        </w:numPr>
        <w:tabs>
          <w:tab w:pos="2339" w:val="left" w:leader="none"/>
        </w:tabs>
        <w:spacing w:line="249" w:lineRule="auto" w:before="5" w:after="0"/>
        <w:ind w:left="1754" w:right="1272" w:firstLine="340"/>
        <w:jc w:val="both"/>
        <w:rPr>
          <w:sz w:val="20"/>
        </w:rPr>
      </w:pPr>
      <w:r>
        <w:rPr>
          <w:sz w:val="20"/>
        </w:rPr>
        <w:t>Cuando la transferencia dé lugar a una actividad transfronteriza, la Dirección General de Seguros y Fondos de Pensiones también informará a la autoridad competente del Estado miembro de origen del fondo de pensiones de empleo receptor acerca de las disposiciones de la legislación social y laboral pertinente en el ámbito de los planes de pensiones de empleo con arreglo a las cuales deberá gestionarse</w:t>
      </w:r>
      <w:r>
        <w:rPr>
          <w:spacing w:val="16"/>
          <w:sz w:val="20"/>
        </w:rPr>
        <w:t> </w:t>
      </w:r>
      <w:r>
        <w:rPr>
          <w:sz w:val="20"/>
        </w:rPr>
        <w:t>el</w:t>
      </w:r>
      <w:r>
        <w:rPr>
          <w:spacing w:val="16"/>
          <w:sz w:val="20"/>
        </w:rPr>
        <w:t> </w:t>
      </w:r>
      <w:r>
        <w:rPr>
          <w:sz w:val="20"/>
        </w:rPr>
        <w:t>plan</w:t>
      </w:r>
      <w:r>
        <w:rPr>
          <w:spacing w:val="16"/>
          <w:sz w:val="20"/>
        </w:rPr>
        <w:t> </w:t>
      </w:r>
      <w:r>
        <w:rPr>
          <w:sz w:val="20"/>
        </w:rPr>
        <w:t>de</w:t>
      </w:r>
      <w:r>
        <w:rPr>
          <w:spacing w:val="16"/>
          <w:sz w:val="20"/>
        </w:rPr>
        <w:t> </w:t>
      </w:r>
      <w:r>
        <w:rPr>
          <w:sz w:val="20"/>
        </w:rPr>
        <w:t>pensiones</w:t>
      </w:r>
      <w:r>
        <w:rPr>
          <w:spacing w:val="16"/>
          <w:sz w:val="20"/>
        </w:rPr>
        <w:t> </w:t>
      </w:r>
      <w:r>
        <w:rPr>
          <w:sz w:val="20"/>
        </w:rPr>
        <w:t>y</w:t>
      </w:r>
      <w:r>
        <w:rPr>
          <w:spacing w:val="17"/>
          <w:sz w:val="20"/>
        </w:rPr>
        <w:t> </w:t>
      </w:r>
      <w:r>
        <w:rPr>
          <w:sz w:val="20"/>
        </w:rPr>
        <w:t>acerca</w:t>
      </w:r>
      <w:r>
        <w:rPr>
          <w:spacing w:val="16"/>
          <w:sz w:val="20"/>
        </w:rPr>
        <w:t> </w:t>
      </w:r>
      <w:r>
        <w:rPr>
          <w:sz w:val="20"/>
        </w:rPr>
        <w:t>de</w:t>
      </w:r>
      <w:r>
        <w:rPr>
          <w:spacing w:val="16"/>
          <w:sz w:val="20"/>
        </w:rPr>
        <w:t> </w:t>
      </w:r>
      <w:r>
        <w:rPr>
          <w:sz w:val="20"/>
        </w:rPr>
        <w:t>los</w:t>
      </w:r>
      <w:r>
        <w:rPr>
          <w:spacing w:val="16"/>
          <w:sz w:val="20"/>
        </w:rPr>
        <w:t> </w:t>
      </w:r>
      <w:r>
        <w:rPr>
          <w:sz w:val="20"/>
        </w:rPr>
        <w:t>requisitos</w:t>
      </w:r>
      <w:r>
        <w:rPr>
          <w:spacing w:val="18"/>
          <w:sz w:val="20"/>
        </w:rPr>
        <w:t> </w:t>
      </w:r>
      <w:r>
        <w:rPr>
          <w:sz w:val="20"/>
        </w:rPr>
        <w:t>de</w:t>
      </w:r>
      <w:r>
        <w:rPr>
          <w:spacing w:val="16"/>
          <w:sz w:val="20"/>
        </w:rPr>
        <w:t> </w:t>
      </w:r>
      <w:r>
        <w:rPr>
          <w:sz w:val="20"/>
        </w:rPr>
        <w:t>información</w:t>
      </w:r>
      <w:r>
        <w:rPr>
          <w:spacing w:val="16"/>
          <w:sz w:val="20"/>
        </w:rPr>
        <w:t> </w:t>
      </w:r>
      <w:r>
        <w:rPr>
          <w:sz w:val="20"/>
        </w:rPr>
        <w:t>o</w:t>
      </w:r>
      <w:r>
        <w:rPr>
          <w:spacing w:val="16"/>
          <w:sz w:val="20"/>
        </w:rPr>
        <w:t> </w:t>
      </w:r>
      <w:r>
        <w:rPr>
          <w:sz w:val="20"/>
        </w:rPr>
        <w:t>en</w:t>
      </w:r>
      <w:r>
        <w:rPr>
          <w:spacing w:val="16"/>
          <w:sz w:val="20"/>
        </w:rPr>
        <w:t> </w:t>
      </w:r>
      <w:r>
        <w:rPr>
          <w:sz w:val="20"/>
        </w:rPr>
        <w:t>su</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2" w:firstLine="0"/>
      </w:pPr>
      <w:r>
        <w:rPr/>
        <w:t>caso del Estado miembro de acogida que se aplicarán a la actividad transfronteriza. Esta información se comunicará en un nuevo plazo de cuatro semanas.</w:t>
      </w:r>
    </w:p>
    <w:p>
      <w:pPr>
        <w:pStyle w:val="ListParagraph"/>
        <w:numPr>
          <w:ilvl w:val="0"/>
          <w:numId w:val="400"/>
        </w:numPr>
        <w:tabs>
          <w:tab w:pos="2327" w:val="left" w:leader="none"/>
        </w:tabs>
        <w:spacing w:line="249" w:lineRule="auto" w:before="1" w:after="0"/>
        <w:ind w:left="1754" w:right="1271" w:firstLine="340"/>
        <w:jc w:val="both"/>
        <w:rPr>
          <w:sz w:val="20"/>
        </w:rPr>
      </w:pPr>
      <w:r>
        <w:rPr>
          <w:sz w:val="20"/>
        </w:rPr>
        <w:t>Una vez efectuada la transferencia, la entidad gestora del fondo de pensiones transferente deberá notificarlo a la Dirección General de Seguros y Fondos de Pensiones dentro del plazo de un mes desde que se haga</w:t>
      </w:r>
      <w:r>
        <w:rPr>
          <w:spacing w:val="-17"/>
          <w:sz w:val="20"/>
        </w:rPr>
        <w:t> </w:t>
      </w:r>
      <w:r>
        <w:rPr>
          <w:sz w:val="20"/>
        </w:rPr>
        <w:t>efectiva.</w:t>
      </w:r>
    </w:p>
    <w:p>
      <w:pPr>
        <w:pStyle w:val="ListParagraph"/>
        <w:numPr>
          <w:ilvl w:val="0"/>
          <w:numId w:val="400"/>
        </w:numPr>
        <w:tabs>
          <w:tab w:pos="2368" w:val="left" w:leader="none"/>
        </w:tabs>
        <w:spacing w:line="249" w:lineRule="auto" w:before="3" w:after="0"/>
        <w:ind w:left="1754" w:right="1271" w:firstLine="340"/>
        <w:jc w:val="both"/>
        <w:rPr>
          <w:sz w:val="20"/>
        </w:rPr>
      </w:pPr>
      <w:r>
        <w:rPr>
          <w:sz w:val="20"/>
        </w:rPr>
        <w:t>Cuando se trate de la transferencia de un plan de pensiones sujeto a la legislación social y laboral española entre fondos de pensiones de empleo autorizados o registrados en otro u otros Estados miembros, una vez efectuada la transferencia, la comisión de control del plan de pensiones y el representante en España del fondo de pensiones de empleo receptor deberán notificarlo a la Dirección General de Seguros y Fondos de Pensiones en el plazo de un mes desde que se haga</w:t>
      </w:r>
      <w:r>
        <w:rPr>
          <w:spacing w:val="-2"/>
          <w:sz w:val="20"/>
        </w:rPr>
        <w:t> </w:t>
      </w:r>
      <w:r>
        <w:rPr>
          <w:sz w:val="20"/>
        </w:rPr>
        <w:t>efectiva.»</w:t>
      </w:r>
    </w:p>
    <w:p>
      <w:pPr>
        <w:pStyle w:val="BodyText"/>
        <w:spacing w:line="249" w:lineRule="auto" w:before="125"/>
        <w:ind w:right="1278"/>
        <w:jc w:val="left"/>
      </w:pPr>
      <w:r>
        <w:rPr/>
        <w:t>Treinta y cinco. Se introduce un nuevo artículo 51, en la sección 4.ª del capítulo X, con la siguiente redacción:</w:t>
      </w:r>
    </w:p>
    <w:p>
      <w:pPr>
        <w:pStyle w:val="BodyText"/>
        <w:spacing w:before="4"/>
        <w:ind w:left="0" w:firstLine="0"/>
        <w:jc w:val="left"/>
      </w:pPr>
    </w:p>
    <w:p>
      <w:pPr>
        <w:spacing w:line="249" w:lineRule="auto" w:before="1"/>
        <w:ind w:left="1754" w:right="1271" w:hanging="1"/>
        <w:jc w:val="both"/>
        <w:rPr>
          <w:i/>
          <w:sz w:val="20"/>
        </w:rPr>
      </w:pPr>
      <w:r>
        <w:rPr>
          <w:b/>
          <w:sz w:val="20"/>
        </w:rPr>
        <w:t>«Artículo 51. </w:t>
      </w:r>
      <w:r>
        <w:rPr>
          <w:i/>
          <w:sz w:val="20"/>
        </w:rPr>
        <w:t>Transferencia transfronteriza desde un fondo de pensiones de empleo </w:t>
      </w:r>
      <w:r>
        <w:rPr>
          <w:i/>
          <w:sz w:val="20"/>
        </w:rPr>
        <w:t>autorizado o registrado en otro Estado miembro a otro fondo de pensiones de empleo autorizado y registrado en España.</w:t>
      </w:r>
    </w:p>
    <w:p>
      <w:pPr>
        <w:pStyle w:val="ListParagraph"/>
        <w:numPr>
          <w:ilvl w:val="0"/>
          <w:numId w:val="403"/>
        </w:numPr>
        <w:tabs>
          <w:tab w:pos="2331" w:val="left" w:leader="none"/>
        </w:tabs>
        <w:spacing w:line="249" w:lineRule="auto" w:before="110" w:after="0"/>
        <w:ind w:left="1754" w:right="1272" w:firstLine="340"/>
        <w:jc w:val="both"/>
        <w:rPr>
          <w:sz w:val="20"/>
        </w:rPr>
      </w:pPr>
      <w:r>
        <w:rPr>
          <w:sz w:val="20"/>
        </w:rPr>
        <w:t>La transferencia transfronteriza de un plan de pensiones de empleo desde un fondo de pensiones de empleo transferente autorizado o registrado en otro Estado miembro a otro fondo de pensiones de empleo receptor autorizado y registrado en España deberá ser autorizada previamente por la Dirección General de Seguros y Fondo de Pensiones, tras haberse obtenido antes la autorización de la autoridad competente del Estado miembro de origen del fondo de pensiones de empleo transferente.</w:t>
      </w:r>
    </w:p>
    <w:p>
      <w:pPr>
        <w:pStyle w:val="BodyText"/>
        <w:spacing w:line="249" w:lineRule="auto" w:before="5"/>
        <w:ind w:left="1754" w:right="1271"/>
      </w:pPr>
      <w:r>
        <w:rPr/>
        <w:t>A dichos efectos, la solicitud de autorización de transferencia deberá presentarla el fondo de pensiones de empleo receptor ante la Dirección General de Seguros y Fondos de Pensiones, la cual concederá o denegará la autorización y comunicará su decisión al fondo de pensiones de empleo receptor en un plazo de tres meses a  partir de la recepción de la</w:t>
      </w:r>
      <w:r>
        <w:rPr>
          <w:spacing w:val="-6"/>
        </w:rPr>
        <w:t> </w:t>
      </w:r>
      <w:r>
        <w:rPr/>
        <w:t>solicitud.</w:t>
      </w:r>
    </w:p>
    <w:p>
      <w:pPr>
        <w:pStyle w:val="ListParagraph"/>
        <w:numPr>
          <w:ilvl w:val="0"/>
          <w:numId w:val="403"/>
        </w:numPr>
        <w:tabs>
          <w:tab w:pos="2335" w:val="left" w:leader="none"/>
        </w:tabs>
        <w:spacing w:line="249" w:lineRule="auto" w:before="5" w:after="0"/>
        <w:ind w:left="1754" w:right="1273" w:firstLine="340"/>
        <w:jc w:val="both"/>
        <w:rPr>
          <w:sz w:val="20"/>
        </w:rPr>
      </w:pPr>
      <w:r>
        <w:rPr>
          <w:sz w:val="20"/>
        </w:rPr>
        <w:t>La solicitud de autorización de la transferencia a que se refiere el apartado 1 deberá contener la siguiente</w:t>
      </w:r>
      <w:r>
        <w:rPr>
          <w:spacing w:val="-3"/>
          <w:sz w:val="20"/>
        </w:rPr>
        <w:t> </w:t>
      </w:r>
      <w:r>
        <w:rPr>
          <w:sz w:val="20"/>
        </w:rPr>
        <w:t>información:</w:t>
      </w:r>
    </w:p>
    <w:p>
      <w:pPr>
        <w:pStyle w:val="ListParagraph"/>
        <w:numPr>
          <w:ilvl w:val="0"/>
          <w:numId w:val="404"/>
        </w:numPr>
        <w:tabs>
          <w:tab w:pos="2364" w:val="left" w:leader="none"/>
        </w:tabs>
        <w:spacing w:line="249" w:lineRule="auto" w:before="171" w:after="0"/>
        <w:ind w:left="1754" w:right="1273" w:firstLine="340"/>
        <w:jc w:val="both"/>
        <w:rPr>
          <w:sz w:val="20"/>
        </w:rPr>
      </w:pPr>
      <w:r>
        <w:rPr>
          <w:sz w:val="20"/>
        </w:rPr>
        <w:t>El acuerdo escrito entre los fondos de pensiones de empleo transferente y receptor exponiendo las condiciones de la transferencia, el cual requerirá la aprobación previa de la comisión de control del fondo de pensiones receptor y será suscrito en nombre de este por las entidades gestora y depositaria del</w:t>
      </w:r>
      <w:r>
        <w:rPr>
          <w:spacing w:val="-29"/>
          <w:sz w:val="20"/>
        </w:rPr>
        <w:t> </w:t>
      </w:r>
      <w:r>
        <w:rPr>
          <w:sz w:val="20"/>
        </w:rPr>
        <w:t>mismo.</w:t>
      </w:r>
    </w:p>
    <w:p>
      <w:pPr>
        <w:pStyle w:val="ListParagraph"/>
        <w:numPr>
          <w:ilvl w:val="0"/>
          <w:numId w:val="404"/>
        </w:numPr>
        <w:tabs>
          <w:tab w:pos="2393" w:val="left" w:leader="none"/>
        </w:tabs>
        <w:spacing w:line="249" w:lineRule="auto" w:before="4" w:after="0"/>
        <w:ind w:left="1754" w:right="1274" w:firstLine="340"/>
        <w:jc w:val="both"/>
        <w:rPr>
          <w:sz w:val="20"/>
        </w:rPr>
      </w:pPr>
      <w:r>
        <w:rPr>
          <w:sz w:val="20"/>
        </w:rPr>
        <w:t>Una descripción de las principales características del plan de pensiones afectado.</w:t>
      </w:r>
    </w:p>
    <w:p>
      <w:pPr>
        <w:pStyle w:val="ListParagraph"/>
        <w:numPr>
          <w:ilvl w:val="0"/>
          <w:numId w:val="404"/>
        </w:numPr>
        <w:tabs>
          <w:tab w:pos="2351" w:val="left" w:leader="none"/>
        </w:tabs>
        <w:spacing w:line="249" w:lineRule="auto" w:before="1" w:after="0"/>
        <w:ind w:left="1754" w:right="1273" w:firstLine="340"/>
        <w:jc w:val="both"/>
        <w:rPr>
          <w:sz w:val="20"/>
        </w:rPr>
      </w:pPr>
      <w:r>
        <w:rPr>
          <w:sz w:val="20"/>
        </w:rPr>
        <w:t>Una descripción de las obligaciones o provisiones técnicas que se vayan a transferir, y otras obligaciones y derechos, así como los activos correspondientes o su equivalente en</w:t>
      </w:r>
      <w:r>
        <w:rPr>
          <w:spacing w:val="-3"/>
          <w:sz w:val="20"/>
        </w:rPr>
        <w:t> </w:t>
      </w:r>
      <w:r>
        <w:rPr>
          <w:sz w:val="20"/>
        </w:rPr>
        <w:t>efectivo.</w:t>
      </w:r>
    </w:p>
    <w:p>
      <w:pPr>
        <w:pStyle w:val="ListParagraph"/>
        <w:numPr>
          <w:ilvl w:val="0"/>
          <w:numId w:val="404"/>
        </w:numPr>
        <w:tabs>
          <w:tab w:pos="2334" w:val="left" w:leader="none"/>
        </w:tabs>
        <w:spacing w:line="249" w:lineRule="auto" w:before="3" w:after="0"/>
        <w:ind w:left="1754" w:right="1270" w:firstLine="340"/>
        <w:jc w:val="both"/>
        <w:rPr>
          <w:sz w:val="20"/>
        </w:rPr>
      </w:pPr>
      <w:r>
        <w:rPr>
          <w:sz w:val="20"/>
        </w:rPr>
        <w:t>Identificación de los fondos de pensiones transferente y receptor, indicando su denominación y el domicilio de sus administraciones principales y, en su caso, de las entidades que ejerzan su administración, así como el nombre del Estado miembro en el que cada fondo de pensiones de empleo está registrado o</w:t>
      </w:r>
      <w:r>
        <w:rPr>
          <w:spacing w:val="-19"/>
          <w:sz w:val="20"/>
        </w:rPr>
        <w:t> </w:t>
      </w:r>
      <w:r>
        <w:rPr>
          <w:sz w:val="20"/>
        </w:rPr>
        <w:t>autorizado.</w:t>
      </w:r>
    </w:p>
    <w:p>
      <w:pPr>
        <w:pStyle w:val="ListParagraph"/>
        <w:numPr>
          <w:ilvl w:val="0"/>
          <w:numId w:val="404"/>
        </w:numPr>
        <w:tabs>
          <w:tab w:pos="2331" w:val="left" w:leader="none"/>
        </w:tabs>
        <w:spacing w:line="249" w:lineRule="auto" w:before="3" w:after="0"/>
        <w:ind w:left="1754" w:right="1275" w:firstLine="340"/>
        <w:jc w:val="both"/>
        <w:rPr>
          <w:sz w:val="20"/>
        </w:rPr>
      </w:pPr>
      <w:r>
        <w:rPr>
          <w:sz w:val="20"/>
        </w:rPr>
        <w:t>Identificación de la entidad promotora del plan, indicando su denominación y el domicilio de su administración</w:t>
      </w:r>
      <w:r>
        <w:rPr>
          <w:spacing w:val="-5"/>
          <w:sz w:val="20"/>
        </w:rPr>
        <w:t> </w:t>
      </w:r>
      <w:r>
        <w:rPr>
          <w:sz w:val="20"/>
        </w:rPr>
        <w:t>principal.</w:t>
      </w:r>
    </w:p>
    <w:p>
      <w:pPr>
        <w:pStyle w:val="ListParagraph"/>
        <w:numPr>
          <w:ilvl w:val="0"/>
          <w:numId w:val="404"/>
        </w:numPr>
        <w:tabs>
          <w:tab w:pos="2273" w:val="left" w:leader="none"/>
        </w:tabs>
        <w:spacing w:line="240" w:lineRule="auto" w:before="2" w:after="0"/>
        <w:ind w:left="2272" w:right="0" w:hanging="179"/>
        <w:jc w:val="both"/>
        <w:rPr>
          <w:sz w:val="20"/>
        </w:rPr>
      </w:pPr>
      <w:r>
        <w:rPr>
          <w:sz w:val="20"/>
        </w:rPr>
        <w:t>Acreditación de la aprobación previa a que se refiere el artículo</w:t>
      </w:r>
      <w:r>
        <w:rPr>
          <w:spacing w:val="-15"/>
          <w:sz w:val="20"/>
        </w:rPr>
        <w:t> </w:t>
      </w:r>
      <w:r>
        <w:rPr>
          <w:sz w:val="20"/>
        </w:rPr>
        <w:t>49.3.</w:t>
      </w:r>
    </w:p>
    <w:p>
      <w:pPr>
        <w:pStyle w:val="ListParagraph"/>
        <w:numPr>
          <w:ilvl w:val="0"/>
          <w:numId w:val="404"/>
        </w:numPr>
        <w:tabs>
          <w:tab w:pos="2376" w:val="left" w:leader="none"/>
        </w:tabs>
        <w:spacing w:line="249" w:lineRule="auto" w:before="10" w:after="0"/>
        <w:ind w:left="1754" w:right="1274" w:firstLine="340"/>
        <w:jc w:val="both"/>
        <w:rPr>
          <w:sz w:val="20"/>
        </w:rPr>
      </w:pPr>
      <w:r>
        <w:rPr>
          <w:sz w:val="20"/>
        </w:rPr>
        <w:t>Cuando proceda, el nombre del Estado miembro cuya legislación social y laboral sea aplicable al plan de pensiones en</w:t>
      </w:r>
      <w:r>
        <w:rPr>
          <w:spacing w:val="-11"/>
          <w:sz w:val="20"/>
        </w:rPr>
        <w:t> </w:t>
      </w:r>
      <w:r>
        <w:rPr>
          <w:sz w:val="20"/>
        </w:rPr>
        <w:t>cuestión.</w:t>
      </w:r>
    </w:p>
    <w:p>
      <w:pPr>
        <w:pStyle w:val="ListParagraph"/>
        <w:numPr>
          <w:ilvl w:val="0"/>
          <w:numId w:val="403"/>
        </w:numPr>
        <w:tabs>
          <w:tab w:pos="2384" w:val="left" w:leader="none"/>
        </w:tabs>
        <w:spacing w:line="249" w:lineRule="auto" w:before="171" w:after="0"/>
        <w:ind w:left="1754" w:right="1271" w:firstLine="340"/>
        <w:jc w:val="both"/>
        <w:rPr>
          <w:sz w:val="20"/>
        </w:rPr>
      </w:pPr>
      <w:r>
        <w:rPr>
          <w:sz w:val="20"/>
        </w:rPr>
        <w:t>La Dirección General de Seguros y Fondos de Pensiones transmitirá la solicitud contemplada en el apartado 1 y 2 a la autoridad competente del Estado miembro del fondo de pensiones de empleo transferente sin demora a partir de la fecha de su</w:t>
      </w:r>
      <w:r>
        <w:rPr>
          <w:spacing w:val="-2"/>
          <w:sz w:val="20"/>
        </w:rPr>
        <w:t> </w:t>
      </w:r>
      <w:r>
        <w:rPr>
          <w:sz w:val="20"/>
        </w:rPr>
        <w:t>recepción.</w:t>
      </w:r>
    </w:p>
    <w:p>
      <w:pPr>
        <w:pStyle w:val="ListParagraph"/>
        <w:numPr>
          <w:ilvl w:val="0"/>
          <w:numId w:val="403"/>
        </w:numPr>
        <w:tabs>
          <w:tab w:pos="2414" w:val="left" w:leader="none"/>
        </w:tabs>
        <w:spacing w:line="249" w:lineRule="auto" w:before="4" w:after="0"/>
        <w:ind w:left="1754" w:right="1273" w:firstLine="340"/>
        <w:jc w:val="both"/>
        <w:rPr>
          <w:sz w:val="20"/>
        </w:rPr>
      </w:pPr>
      <w:r>
        <w:rPr>
          <w:sz w:val="20"/>
        </w:rPr>
        <w:t>La Dirección General de Seguros y Fondos de pensiones examinará únicamente</w:t>
      </w:r>
      <w:r>
        <w:rPr>
          <w:spacing w:val="-2"/>
          <w:sz w:val="20"/>
        </w:rPr>
        <w:t> </w:t>
      </w:r>
      <w:r>
        <w:rPr>
          <w:sz w:val="20"/>
        </w:rPr>
        <w:t>que:</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ListParagraph"/>
        <w:numPr>
          <w:ilvl w:val="0"/>
          <w:numId w:val="405"/>
        </w:numPr>
        <w:tabs>
          <w:tab w:pos="2362" w:val="left" w:leader="none"/>
        </w:tabs>
        <w:spacing w:line="249" w:lineRule="auto" w:before="126" w:after="0"/>
        <w:ind w:left="1754" w:right="1273" w:firstLine="340"/>
        <w:jc w:val="both"/>
        <w:rPr>
          <w:sz w:val="20"/>
        </w:rPr>
      </w:pPr>
      <w:r>
        <w:rPr>
          <w:sz w:val="20"/>
        </w:rPr>
        <w:t>El fondo de pensiones de empleo receptor ha facilitado toda la información contemplada en el apartado</w:t>
      </w:r>
      <w:r>
        <w:rPr>
          <w:spacing w:val="-4"/>
          <w:sz w:val="20"/>
        </w:rPr>
        <w:t> </w:t>
      </w:r>
      <w:r>
        <w:rPr>
          <w:sz w:val="20"/>
        </w:rPr>
        <w:t>2.</w:t>
      </w:r>
    </w:p>
    <w:p>
      <w:pPr>
        <w:pStyle w:val="ListParagraph"/>
        <w:numPr>
          <w:ilvl w:val="0"/>
          <w:numId w:val="405"/>
        </w:numPr>
        <w:tabs>
          <w:tab w:pos="2340" w:val="left" w:leader="none"/>
        </w:tabs>
        <w:spacing w:line="249" w:lineRule="auto" w:before="2" w:after="0"/>
        <w:ind w:left="1754" w:right="1273" w:firstLine="340"/>
        <w:jc w:val="both"/>
        <w:rPr>
          <w:sz w:val="20"/>
        </w:rPr>
      </w:pPr>
      <w:r>
        <w:rPr>
          <w:sz w:val="20"/>
        </w:rPr>
        <w:t>La estructura administrativa, la situación financiera del fondo de pensiones de empleo receptor y la honorabilidad o la experiencia o las cualificaciones profesionales de las personas que gestionan el fondo de pensiones de empleo receptor son compatibles con la transferencia</w:t>
      </w:r>
      <w:r>
        <w:rPr>
          <w:spacing w:val="-3"/>
          <w:sz w:val="20"/>
        </w:rPr>
        <w:t> </w:t>
      </w:r>
      <w:r>
        <w:rPr>
          <w:sz w:val="20"/>
        </w:rPr>
        <w:t>propuesta.</w:t>
      </w:r>
    </w:p>
    <w:p>
      <w:pPr>
        <w:pStyle w:val="ListParagraph"/>
        <w:numPr>
          <w:ilvl w:val="0"/>
          <w:numId w:val="405"/>
        </w:numPr>
        <w:tabs>
          <w:tab w:pos="2367" w:val="left" w:leader="none"/>
        </w:tabs>
        <w:spacing w:line="249" w:lineRule="auto" w:before="3" w:after="0"/>
        <w:ind w:left="1754" w:right="1273" w:firstLine="340"/>
        <w:jc w:val="both"/>
        <w:rPr>
          <w:sz w:val="20"/>
        </w:rPr>
      </w:pPr>
      <w:r>
        <w:rPr>
          <w:sz w:val="20"/>
        </w:rPr>
        <w:t>Los intereses a largo plazo de los partícipes y beneficiarios del fondo de pensiones de empleo receptor y la parte del plan transferida están protegidos adecuadamente durante y después de la</w:t>
      </w:r>
      <w:r>
        <w:rPr>
          <w:spacing w:val="-8"/>
          <w:sz w:val="20"/>
        </w:rPr>
        <w:t> </w:t>
      </w:r>
      <w:r>
        <w:rPr>
          <w:sz w:val="20"/>
        </w:rPr>
        <w:t>transferencia.</w:t>
      </w:r>
    </w:p>
    <w:p>
      <w:pPr>
        <w:pStyle w:val="ListParagraph"/>
        <w:numPr>
          <w:ilvl w:val="0"/>
          <w:numId w:val="405"/>
        </w:numPr>
        <w:tabs>
          <w:tab w:pos="2352" w:val="left" w:leader="none"/>
        </w:tabs>
        <w:spacing w:line="249" w:lineRule="auto" w:before="3" w:after="0"/>
        <w:ind w:left="1754" w:right="1270" w:firstLine="340"/>
        <w:jc w:val="both"/>
        <w:rPr>
          <w:sz w:val="20"/>
        </w:rPr>
      </w:pPr>
      <w:r>
        <w:rPr>
          <w:sz w:val="20"/>
        </w:rPr>
        <w:t>Las provisiones técnicas del fondo de pensiones de empleo receptor se han financiado en su totalidad en el momento de la transferencia, cuando la transferencia dé lugar a una actividad</w:t>
      </w:r>
      <w:r>
        <w:rPr>
          <w:spacing w:val="-6"/>
          <w:sz w:val="20"/>
        </w:rPr>
        <w:t> </w:t>
      </w:r>
      <w:r>
        <w:rPr>
          <w:sz w:val="20"/>
        </w:rPr>
        <w:t>transfronteriza.</w:t>
      </w:r>
    </w:p>
    <w:p>
      <w:pPr>
        <w:pStyle w:val="ListParagraph"/>
        <w:numPr>
          <w:ilvl w:val="0"/>
          <w:numId w:val="405"/>
        </w:numPr>
        <w:tabs>
          <w:tab w:pos="2343" w:val="left" w:leader="none"/>
        </w:tabs>
        <w:spacing w:line="249" w:lineRule="auto" w:before="2" w:after="0"/>
        <w:ind w:left="1754" w:right="1271" w:firstLine="340"/>
        <w:jc w:val="both"/>
        <w:rPr>
          <w:sz w:val="20"/>
        </w:rPr>
      </w:pPr>
      <w:r>
        <w:rPr>
          <w:sz w:val="20"/>
        </w:rPr>
        <w:t>Los activos que se vayan a transferir son suficientes y adecuados para cubrir las obligaciones, las provisiones técnicas, y otras obligaciones y derechos que se vayan a transferir, de conformidad con la normativa aplicable en</w:t>
      </w:r>
      <w:r>
        <w:rPr>
          <w:spacing w:val="-13"/>
          <w:sz w:val="20"/>
        </w:rPr>
        <w:t> </w:t>
      </w:r>
      <w:r>
        <w:rPr>
          <w:sz w:val="20"/>
        </w:rPr>
        <w:t>España.</w:t>
      </w:r>
    </w:p>
    <w:p>
      <w:pPr>
        <w:pStyle w:val="ListParagraph"/>
        <w:numPr>
          <w:ilvl w:val="0"/>
          <w:numId w:val="403"/>
        </w:numPr>
        <w:tabs>
          <w:tab w:pos="2326" w:val="left" w:leader="none"/>
        </w:tabs>
        <w:spacing w:line="249" w:lineRule="auto" w:before="173" w:after="0"/>
        <w:ind w:left="1754" w:right="1271" w:firstLine="340"/>
        <w:jc w:val="both"/>
        <w:rPr>
          <w:sz w:val="20"/>
        </w:rPr>
      </w:pPr>
      <w:r>
        <w:rPr>
          <w:sz w:val="20"/>
        </w:rPr>
        <w:t>Una vez recibida por la Dirección General de Seguros y Fondos de Pensiones la comunicación de la autoridad del Estado miembro de origen del fondo de pensiones transferente a la que se refiere el artículo 12.9 de la Directiva (UE) 2016/2341 del Parlamento Europeo y del Consejo, de 14 de diciembre de 2016, dicha Dirección General resolverá sobre la solicitud de autorización de la transferencia y notificará su decisión al fondo receptor en el plazo de tres meses indicado en el apartado</w:t>
      </w:r>
      <w:r>
        <w:rPr>
          <w:spacing w:val="-5"/>
          <w:sz w:val="20"/>
        </w:rPr>
        <w:t> </w:t>
      </w:r>
      <w:r>
        <w:rPr>
          <w:sz w:val="20"/>
        </w:rPr>
        <w:t>1.</w:t>
      </w:r>
    </w:p>
    <w:p>
      <w:pPr>
        <w:pStyle w:val="ListParagraph"/>
        <w:numPr>
          <w:ilvl w:val="0"/>
          <w:numId w:val="403"/>
        </w:numPr>
        <w:tabs>
          <w:tab w:pos="2329" w:val="left" w:leader="none"/>
        </w:tabs>
        <w:spacing w:line="249" w:lineRule="auto" w:before="5" w:after="0"/>
        <w:ind w:left="1754" w:right="1271" w:firstLine="340"/>
        <w:jc w:val="both"/>
        <w:rPr>
          <w:sz w:val="20"/>
        </w:rPr>
      </w:pPr>
      <w:r>
        <w:rPr>
          <w:sz w:val="20"/>
        </w:rPr>
        <w:t>En caso de que se deniegue la autorización, la Dirección General de Seguros y Fondos de Pensiones motivará dicha denegación en el plazo de tres meses mencionado en el apartado 1. La resolución denegatoria de la Dirección General de Seguros y Fondos de Pensiones, que no agota la vía administrativa, será susceptible de recurso de alzada y contencioso</w:t>
      </w:r>
      <w:r>
        <w:rPr>
          <w:spacing w:val="-6"/>
          <w:sz w:val="20"/>
        </w:rPr>
        <w:t> </w:t>
      </w:r>
      <w:r>
        <w:rPr>
          <w:sz w:val="20"/>
        </w:rPr>
        <w:t>administrativo.</w:t>
      </w:r>
    </w:p>
    <w:p>
      <w:pPr>
        <w:pStyle w:val="ListParagraph"/>
        <w:numPr>
          <w:ilvl w:val="0"/>
          <w:numId w:val="403"/>
        </w:numPr>
        <w:tabs>
          <w:tab w:pos="2332" w:val="left" w:leader="none"/>
        </w:tabs>
        <w:spacing w:line="249" w:lineRule="auto" w:before="4" w:after="0"/>
        <w:ind w:left="1754" w:right="1273" w:firstLine="340"/>
        <w:jc w:val="both"/>
        <w:rPr>
          <w:sz w:val="20"/>
        </w:rPr>
      </w:pPr>
      <w:r>
        <w:rPr>
          <w:sz w:val="20"/>
        </w:rPr>
        <w:t>La Dirección General de Seguros y Fondos de Pensiones, en el plazo de dos semanas desde la fecha de la resolución adoptada, informará acerca de esta a la autoridad competente del Estado miembro de origen del fondo de pensiones de empleo</w:t>
      </w:r>
      <w:r>
        <w:rPr>
          <w:spacing w:val="-2"/>
          <w:sz w:val="20"/>
        </w:rPr>
        <w:t> </w:t>
      </w:r>
      <w:r>
        <w:rPr>
          <w:sz w:val="20"/>
        </w:rPr>
        <w:t>transferente.</w:t>
      </w:r>
    </w:p>
    <w:p>
      <w:pPr>
        <w:pStyle w:val="ListParagraph"/>
        <w:numPr>
          <w:ilvl w:val="0"/>
          <w:numId w:val="403"/>
        </w:numPr>
        <w:tabs>
          <w:tab w:pos="2329" w:val="left" w:leader="none"/>
        </w:tabs>
        <w:spacing w:line="249" w:lineRule="auto" w:before="4" w:after="0"/>
        <w:ind w:left="1754" w:right="1271" w:firstLine="340"/>
        <w:jc w:val="both"/>
        <w:rPr>
          <w:sz w:val="20"/>
        </w:rPr>
      </w:pPr>
      <w:r>
        <w:rPr>
          <w:sz w:val="20"/>
        </w:rPr>
        <w:t>Cuando la transferencia dé lugar a una actividad transfronteriza y la autoridad competente del Estado miembro de origen del fondo transferente haya informado a la Dirección General de Seguros y Fondos de Pensiones, según lo dispuesto en el artículo 12.11 de la Directiva (UE) 2016/2341 del Parlamento Europeo y del Consejo, de 14 de diciembre de 2016, acerca de las disposiciones de la legislación social y laboral pertinente en el ámbito de los planes de pensiones de empleo y acerca de los requisitos de información del Estado miembro de acogida que se aplicarán a la actividad transfronteriza, la Dirección General de Seguros y Fondos de Pensiones comunicará al fondo de pensiones de empleo receptor dicha información en el plazo de una semana a partir de la fecha de su</w:t>
      </w:r>
      <w:r>
        <w:rPr>
          <w:spacing w:val="-9"/>
          <w:sz w:val="20"/>
        </w:rPr>
        <w:t> </w:t>
      </w:r>
      <w:r>
        <w:rPr>
          <w:sz w:val="20"/>
        </w:rPr>
        <w:t>recepción.</w:t>
      </w:r>
    </w:p>
    <w:p>
      <w:pPr>
        <w:pStyle w:val="ListParagraph"/>
        <w:numPr>
          <w:ilvl w:val="0"/>
          <w:numId w:val="403"/>
        </w:numPr>
        <w:tabs>
          <w:tab w:pos="2328" w:val="left" w:leader="none"/>
        </w:tabs>
        <w:spacing w:line="249" w:lineRule="auto" w:before="8" w:after="0"/>
        <w:ind w:left="1754" w:right="1272" w:firstLine="340"/>
        <w:jc w:val="both"/>
        <w:rPr>
          <w:sz w:val="20"/>
        </w:rPr>
      </w:pPr>
      <w:r>
        <w:rPr>
          <w:sz w:val="20"/>
        </w:rPr>
        <w:t>A partir del momento en que se reciba la decisión de conceder la autorización a que se refiere el apartado 1, o bien, si no se ha recibido información sobre la decisión de la Dirección General de Seguros y Fondos de Pensiones, en la fecha de vencimiento del plazo a que se refiere el apartado 8, el fondo de pensiones de empleo receptor podrá empezar a gestionar el plan de</w:t>
      </w:r>
      <w:r>
        <w:rPr>
          <w:spacing w:val="-17"/>
          <w:sz w:val="20"/>
        </w:rPr>
        <w:t> </w:t>
      </w:r>
      <w:r>
        <w:rPr>
          <w:sz w:val="20"/>
        </w:rPr>
        <w:t>pensiones.</w:t>
      </w:r>
    </w:p>
    <w:p>
      <w:pPr>
        <w:pStyle w:val="BodyText"/>
        <w:spacing w:line="249" w:lineRule="auto" w:before="4"/>
        <w:ind w:left="1754" w:right="1273"/>
      </w:pPr>
      <w:r>
        <w:rPr/>
        <w:t>Una vez efectuada la transferencia, la entidad gestora del fondo de pensiones receptor deberá notificarlo a la Dirección General de Seguros y Fondos de Pensiones dentro del plazo de un mes desde que se haga efectiva.»</w:t>
      </w:r>
    </w:p>
    <w:p>
      <w:pPr>
        <w:pStyle w:val="BodyText"/>
        <w:spacing w:before="122"/>
        <w:ind w:left="1414" w:firstLine="0"/>
        <w:jc w:val="left"/>
      </w:pPr>
      <w:r>
        <w:rPr/>
        <w:t>Treinta y seis. La disposición adicional segunda queda redactada como sigue:</w:t>
      </w:r>
    </w:p>
    <w:p>
      <w:pPr>
        <w:pStyle w:val="BodyText"/>
        <w:spacing w:before="1"/>
        <w:ind w:left="0" w:firstLine="0"/>
        <w:jc w:val="left"/>
        <w:rPr>
          <w:sz w:val="21"/>
        </w:rPr>
      </w:pPr>
    </w:p>
    <w:p>
      <w:pPr>
        <w:spacing w:line="249" w:lineRule="auto" w:before="1"/>
        <w:ind w:left="1754" w:right="1273" w:firstLine="0"/>
        <w:jc w:val="both"/>
        <w:rPr>
          <w:i/>
          <w:sz w:val="20"/>
        </w:rPr>
      </w:pPr>
      <w:r>
        <w:rPr>
          <w:b/>
          <w:sz w:val="20"/>
        </w:rPr>
        <w:t>«Disposición adicional segunda. </w:t>
      </w:r>
      <w:r>
        <w:rPr>
          <w:i/>
          <w:sz w:val="20"/>
        </w:rPr>
        <w:t>Plazo de resolución de las solicitudes de </w:t>
      </w:r>
      <w:r>
        <w:rPr>
          <w:i/>
          <w:sz w:val="20"/>
        </w:rPr>
        <w:t>autorización administrativa e inscripción.</w:t>
      </w:r>
    </w:p>
    <w:p>
      <w:pPr>
        <w:pStyle w:val="BodyText"/>
        <w:spacing w:line="249" w:lineRule="auto" w:before="109"/>
        <w:ind w:left="1754" w:right="1273"/>
      </w:pPr>
      <w:r>
        <w:rPr/>
        <w:t>Las solicitudes de autorizaciones administrativas y de inscripción reguladas en esta ley, salvo disposición especifica al respecto, deberán ser resueltas dentro del plazo de tres meses desde la fecha de presentación de la solicitud, transcurrido el</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4" w:firstLine="0"/>
      </w:pPr>
      <w:r>
        <w:rPr/>
        <w:t>cual sin haberse notificado la resolución, los interesados podrán entender estimada la</w:t>
      </w:r>
      <w:r>
        <w:rPr>
          <w:spacing w:val="-1"/>
        </w:rPr>
        <w:t> </w:t>
      </w:r>
      <w:r>
        <w:rPr/>
        <w:t>solicitud.»</w:t>
      </w:r>
    </w:p>
    <w:p>
      <w:pPr>
        <w:pStyle w:val="BodyText"/>
        <w:spacing w:line="249" w:lineRule="auto" w:before="121"/>
        <w:ind w:right="1278"/>
        <w:jc w:val="left"/>
      </w:pPr>
      <w:r>
        <w:rPr/>
        <w:t>Treinta y siete. Se introduce una nueva disposición adicional novena con la siguiente redacción:</w:t>
      </w:r>
    </w:p>
    <w:p>
      <w:pPr>
        <w:pStyle w:val="BodyText"/>
        <w:spacing w:before="4"/>
        <w:ind w:left="0" w:firstLine="0"/>
        <w:jc w:val="left"/>
      </w:pPr>
    </w:p>
    <w:p>
      <w:pPr>
        <w:spacing w:before="0"/>
        <w:ind w:left="1754" w:right="0" w:firstLine="0"/>
        <w:jc w:val="both"/>
        <w:rPr>
          <w:i/>
          <w:sz w:val="20"/>
        </w:rPr>
      </w:pPr>
      <w:r>
        <w:rPr>
          <w:b/>
          <w:sz w:val="20"/>
        </w:rPr>
        <w:t>«Disposición adicional novena. </w:t>
      </w:r>
      <w:r>
        <w:rPr>
          <w:i/>
          <w:sz w:val="20"/>
        </w:rPr>
        <w:t>Tratamiento de datos de carácter personal.</w:t>
      </w:r>
    </w:p>
    <w:p>
      <w:pPr>
        <w:pStyle w:val="BodyText"/>
        <w:spacing w:line="249" w:lineRule="auto" w:before="118"/>
        <w:ind w:left="1754" w:right="1274"/>
      </w:pPr>
      <w:r>
        <w:rPr/>
        <w:t>Los tratamientos de datos de carácter personal de las personas físicas se realizarán con estricta sujeción a lo dispuesto en el Reglamento (UE) 2016/679 del Parlamento Europeo y el Consejo, de 27 de abril de 2016, relativo a la protección de las personas físicas en lo que respecta al tratamiento de sus datos personales y a la libre circulación de estos datos y en el resto de la normativa sobre protección de datos personales.»</w:t>
      </w:r>
    </w:p>
    <w:p>
      <w:pPr>
        <w:pStyle w:val="BodyText"/>
        <w:spacing w:before="125"/>
        <w:ind w:left="1414" w:firstLine="0"/>
        <w:jc w:val="left"/>
      </w:pPr>
      <w:r>
        <w:rPr/>
        <w:t>Treinta y ocho. La disposición final cuarta queda redactada como sigue:</w:t>
      </w:r>
    </w:p>
    <w:p>
      <w:pPr>
        <w:pStyle w:val="BodyText"/>
        <w:spacing w:before="1"/>
        <w:ind w:left="0" w:firstLine="0"/>
        <w:jc w:val="left"/>
        <w:rPr>
          <w:sz w:val="21"/>
        </w:rPr>
      </w:pPr>
    </w:p>
    <w:p>
      <w:pPr>
        <w:spacing w:before="0"/>
        <w:ind w:left="1754" w:right="0" w:firstLine="0"/>
        <w:jc w:val="both"/>
        <w:rPr>
          <w:i/>
          <w:sz w:val="20"/>
        </w:rPr>
      </w:pPr>
      <w:r>
        <w:rPr>
          <w:b/>
          <w:sz w:val="20"/>
        </w:rPr>
        <w:t>«Disposición final cuarta. </w:t>
      </w:r>
      <w:r>
        <w:rPr>
          <w:i/>
          <w:sz w:val="20"/>
        </w:rPr>
        <w:t>Títulos competenciales.</w:t>
      </w:r>
    </w:p>
    <w:p>
      <w:pPr>
        <w:pStyle w:val="BodyText"/>
        <w:spacing w:line="249" w:lineRule="auto" w:before="118"/>
        <w:ind w:left="1754" w:right="1273"/>
      </w:pPr>
      <w:r>
        <w:rPr/>
        <w:t>Las disposiciones contenidas en esta Ley tienen la consideración de ordenación básica de la banca y los seguros y de bases de la planificación general de la actividad económica, con arreglo al artículo 149.1.11.ª y 13.ª de la Constitución, salvo las materias que se enumeran a</w:t>
      </w:r>
      <w:r>
        <w:rPr>
          <w:spacing w:val="-5"/>
        </w:rPr>
        <w:t> </w:t>
      </w:r>
      <w:r>
        <w:rPr/>
        <w:t>continuación:</w:t>
      </w:r>
    </w:p>
    <w:p>
      <w:pPr>
        <w:pStyle w:val="ListParagraph"/>
        <w:numPr>
          <w:ilvl w:val="0"/>
          <w:numId w:val="406"/>
        </w:numPr>
        <w:tabs>
          <w:tab w:pos="2352" w:val="left" w:leader="none"/>
        </w:tabs>
        <w:spacing w:line="249" w:lineRule="auto" w:before="173" w:after="0"/>
        <w:ind w:left="1754" w:right="1274" w:firstLine="340"/>
        <w:jc w:val="left"/>
        <w:rPr>
          <w:sz w:val="20"/>
        </w:rPr>
      </w:pPr>
      <w:r>
        <w:rPr>
          <w:sz w:val="20"/>
        </w:rPr>
        <w:t>Son competencia exclusiva del Estado con arreglo al artículo 149.1.6.ª de la Constitución, por constituir legislación mercantil, las materias reguladas</w:t>
      </w:r>
      <w:r>
        <w:rPr>
          <w:spacing w:val="-14"/>
          <w:sz w:val="20"/>
        </w:rPr>
        <w:t> </w:t>
      </w:r>
      <w:r>
        <w:rPr>
          <w:sz w:val="20"/>
        </w:rPr>
        <w:t>en:</w:t>
      </w:r>
    </w:p>
    <w:p>
      <w:pPr>
        <w:pStyle w:val="ListParagraph"/>
        <w:numPr>
          <w:ilvl w:val="0"/>
          <w:numId w:val="407"/>
        </w:numPr>
        <w:tabs>
          <w:tab w:pos="2263" w:val="left" w:leader="none"/>
        </w:tabs>
        <w:spacing w:line="240" w:lineRule="auto" w:before="172" w:after="0"/>
        <w:ind w:left="2262" w:right="0" w:hanging="169"/>
        <w:jc w:val="left"/>
        <w:rPr>
          <w:sz w:val="20"/>
        </w:rPr>
      </w:pPr>
      <w:r>
        <w:rPr>
          <w:sz w:val="20"/>
        </w:rPr>
        <w:t>º Los Capítulos I y II, salvo el artículo</w:t>
      </w:r>
      <w:r>
        <w:rPr>
          <w:spacing w:val="-7"/>
          <w:sz w:val="20"/>
        </w:rPr>
        <w:t> </w:t>
      </w:r>
      <w:r>
        <w:rPr>
          <w:sz w:val="20"/>
        </w:rPr>
        <w:t>7.</w:t>
      </w:r>
    </w:p>
    <w:p>
      <w:pPr>
        <w:pStyle w:val="ListParagraph"/>
        <w:numPr>
          <w:ilvl w:val="0"/>
          <w:numId w:val="407"/>
        </w:numPr>
        <w:tabs>
          <w:tab w:pos="2263" w:val="left" w:leader="none"/>
        </w:tabs>
        <w:spacing w:line="249" w:lineRule="auto" w:before="10" w:after="0"/>
        <w:ind w:left="2094" w:right="1609" w:firstLine="0"/>
        <w:jc w:val="left"/>
        <w:rPr>
          <w:sz w:val="20"/>
        </w:rPr>
      </w:pPr>
      <w:r>
        <w:rPr>
          <w:sz w:val="20"/>
        </w:rPr>
        <w:t>º Los apartados 3 a 10 del artículo 8, salvo el párrafo tercero del apartado 8. 3.º El artículo</w:t>
      </w:r>
      <w:r>
        <w:rPr>
          <w:spacing w:val="-3"/>
          <w:sz w:val="20"/>
        </w:rPr>
        <w:t> </w:t>
      </w:r>
      <w:r>
        <w:rPr>
          <w:sz w:val="20"/>
        </w:rPr>
        <w:t>43.</w:t>
      </w:r>
    </w:p>
    <w:p>
      <w:pPr>
        <w:pStyle w:val="ListParagraph"/>
        <w:numPr>
          <w:ilvl w:val="0"/>
          <w:numId w:val="408"/>
        </w:numPr>
        <w:tabs>
          <w:tab w:pos="2263" w:val="left" w:leader="none"/>
        </w:tabs>
        <w:spacing w:line="240" w:lineRule="auto" w:before="1" w:after="0"/>
        <w:ind w:left="2262" w:right="0" w:hanging="169"/>
        <w:jc w:val="left"/>
        <w:rPr>
          <w:sz w:val="20"/>
        </w:rPr>
      </w:pPr>
      <w:r>
        <w:rPr>
          <w:sz w:val="20"/>
        </w:rPr>
        <w:t>º Los apartados 2 y 7 del artículo</w:t>
      </w:r>
      <w:r>
        <w:rPr>
          <w:spacing w:val="-9"/>
          <w:sz w:val="20"/>
        </w:rPr>
        <w:t> </w:t>
      </w:r>
      <w:r>
        <w:rPr>
          <w:sz w:val="20"/>
        </w:rPr>
        <w:t>45.</w:t>
      </w:r>
    </w:p>
    <w:p>
      <w:pPr>
        <w:pStyle w:val="ListParagraph"/>
        <w:numPr>
          <w:ilvl w:val="0"/>
          <w:numId w:val="408"/>
        </w:numPr>
        <w:tabs>
          <w:tab w:pos="2263" w:val="left" w:leader="none"/>
        </w:tabs>
        <w:spacing w:line="249" w:lineRule="auto" w:before="10" w:after="0"/>
        <w:ind w:left="1754" w:right="1276" w:firstLine="340"/>
        <w:jc w:val="both"/>
        <w:rPr>
          <w:sz w:val="20"/>
        </w:rPr>
      </w:pPr>
      <w:r>
        <w:rPr>
          <w:sz w:val="20"/>
        </w:rPr>
        <w:t>º La disposición adicional primera, salvo el apartado 6, y las disposiciones adicionales tercera, cuarta, sexta, séptima y</w:t>
      </w:r>
      <w:r>
        <w:rPr>
          <w:spacing w:val="-3"/>
          <w:sz w:val="20"/>
        </w:rPr>
        <w:t> </w:t>
      </w:r>
      <w:r>
        <w:rPr>
          <w:sz w:val="20"/>
        </w:rPr>
        <w:t>octava.</w:t>
      </w:r>
    </w:p>
    <w:p>
      <w:pPr>
        <w:pStyle w:val="ListParagraph"/>
        <w:numPr>
          <w:ilvl w:val="0"/>
          <w:numId w:val="408"/>
        </w:numPr>
        <w:tabs>
          <w:tab w:pos="2263" w:val="left" w:leader="none"/>
        </w:tabs>
        <w:spacing w:line="249" w:lineRule="auto" w:before="2" w:after="0"/>
        <w:ind w:left="1754" w:right="1273" w:firstLine="340"/>
        <w:jc w:val="both"/>
        <w:rPr>
          <w:sz w:val="20"/>
        </w:rPr>
      </w:pPr>
      <w:r>
        <w:rPr>
          <w:sz w:val="20"/>
        </w:rPr>
        <w:t>º Las disposiciones transitorias primera y cuarta, así como la disposición transitoria quinta, salvo los párrafos tercero y cuarto del apartado 5 y los apartados 7 y</w:t>
      </w:r>
      <w:r>
        <w:rPr>
          <w:spacing w:val="-1"/>
          <w:sz w:val="20"/>
        </w:rPr>
        <w:t> </w:t>
      </w:r>
      <w:r>
        <w:rPr>
          <w:sz w:val="20"/>
        </w:rPr>
        <w:t>8;</w:t>
      </w:r>
    </w:p>
    <w:p>
      <w:pPr>
        <w:pStyle w:val="ListParagraph"/>
        <w:numPr>
          <w:ilvl w:val="0"/>
          <w:numId w:val="408"/>
        </w:numPr>
        <w:tabs>
          <w:tab w:pos="2263" w:val="left" w:leader="none"/>
        </w:tabs>
        <w:spacing w:line="249" w:lineRule="auto" w:before="3" w:after="0"/>
        <w:ind w:left="1754" w:right="1273" w:firstLine="340"/>
        <w:jc w:val="left"/>
        <w:rPr>
          <w:sz w:val="20"/>
        </w:rPr>
      </w:pPr>
      <w:r>
        <w:rPr>
          <w:sz w:val="20"/>
        </w:rPr>
        <w:t>º El apartado 1 de la disposición transitoria séptima, la disposición transitoria novena, salvo el apartado 4, y la disposición transitoria</w:t>
      </w:r>
      <w:r>
        <w:rPr>
          <w:spacing w:val="-13"/>
          <w:sz w:val="20"/>
        </w:rPr>
        <w:t> </w:t>
      </w:r>
      <w:r>
        <w:rPr>
          <w:sz w:val="20"/>
        </w:rPr>
        <w:t>décima.</w:t>
      </w:r>
    </w:p>
    <w:p>
      <w:pPr>
        <w:pStyle w:val="ListParagraph"/>
        <w:numPr>
          <w:ilvl w:val="0"/>
          <w:numId w:val="406"/>
        </w:numPr>
        <w:tabs>
          <w:tab w:pos="2343" w:val="left" w:leader="none"/>
        </w:tabs>
        <w:spacing w:line="249" w:lineRule="auto" w:before="171" w:after="0"/>
        <w:ind w:left="1754" w:right="1273" w:firstLine="340"/>
        <w:jc w:val="both"/>
        <w:rPr>
          <w:sz w:val="20"/>
        </w:rPr>
      </w:pPr>
      <w:r>
        <w:rPr>
          <w:sz w:val="20"/>
        </w:rPr>
        <w:t>Son competencia exclusiva del Estado con arreglo al artículo 149.1.14.ª de la Constitución, ya que constituyen legislación de la Hacienda general, las materias reguladas</w:t>
      </w:r>
      <w:r>
        <w:rPr>
          <w:spacing w:val="-1"/>
          <w:sz w:val="20"/>
        </w:rPr>
        <w:t> </w:t>
      </w:r>
      <w:r>
        <w:rPr>
          <w:sz w:val="20"/>
        </w:rPr>
        <w:t>en:</w:t>
      </w:r>
    </w:p>
    <w:p>
      <w:pPr>
        <w:pStyle w:val="ListParagraph"/>
        <w:numPr>
          <w:ilvl w:val="0"/>
          <w:numId w:val="409"/>
        </w:numPr>
        <w:tabs>
          <w:tab w:pos="2263" w:val="left" w:leader="none"/>
        </w:tabs>
        <w:spacing w:line="240" w:lineRule="auto" w:before="173" w:after="0"/>
        <w:ind w:left="2262" w:right="0" w:hanging="169"/>
        <w:jc w:val="left"/>
        <w:rPr>
          <w:sz w:val="20"/>
        </w:rPr>
      </w:pPr>
      <w:r>
        <w:rPr>
          <w:sz w:val="20"/>
        </w:rPr>
        <w:t>º El párrafo tercero del apartado 8 del artículo</w:t>
      </w:r>
      <w:r>
        <w:rPr>
          <w:spacing w:val="-10"/>
          <w:sz w:val="20"/>
        </w:rPr>
        <w:t> </w:t>
      </w:r>
      <w:r>
        <w:rPr>
          <w:sz w:val="20"/>
        </w:rPr>
        <w:t>8.</w:t>
      </w:r>
    </w:p>
    <w:p>
      <w:pPr>
        <w:pStyle w:val="ListParagraph"/>
        <w:numPr>
          <w:ilvl w:val="0"/>
          <w:numId w:val="409"/>
        </w:numPr>
        <w:tabs>
          <w:tab w:pos="2263" w:val="left" w:leader="none"/>
        </w:tabs>
        <w:spacing w:line="249" w:lineRule="auto" w:before="10" w:after="0"/>
        <w:ind w:left="1754" w:right="1274" w:firstLine="340"/>
        <w:jc w:val="left"/>
        <w:rPr>
          <w:sz w:val="20"/>
        </w:rPr>
      </w:pPr>
      <w:r>
        <w:rPr>
          <w:sz w:val="20"/>
        </w:rPr>
        <w:t>º Los párrafos tercero y cuarto del apartado 5, y los apartados 7 y 8 de la disposición transitoria</w:t>
      </w:r>
      <w:r>
        <w:rPr>
          <w:spacing w:val="-2"/>
          <w:sz w:val="20"/>
        </w:rPr>
        <w:t> </w:t>
      </w:r>
      <w:r>
        <w:rPr>
          <w:sz w:val="20"/>
        </w:rPr>
        <w:t>quinta.</w:t>
      </w:r>
    </w:p>
    <w:p>
      <w:pPr>
        <w:pStyle w:val="ListParagraph"/>
        <w:numPr>
          <w:ilvl w:val="0"/>
          <w:numId w:val="409"/>
        </w:numPr>
        <w:tabs>
          <w:tab w:pos="2263" w:val="left" w:leader="none"/>
        </w:tabs>
        <w:spacing w:line="240" w:lineRule="auto" w:before="1" w:after="0"/>
        <w:ind w:left="2262" w:right="0" w:hanging="169"/>
        <w:jc w:val="left"/>
        <w:rPr>
          <w:sz w:val="20"/>
        </w:rPr>
      </w:pPr>
      <w:r>
        <w:rPr>
          <w:sz w:val="20"/>
        </w:rPr>
        <w:t>º La disposición transitoria</w:t>
      </w:r>
      <w:r>
        <w:rPr>
          <w:spacing w:val="-4"/>
          <w:sz w:val="20"/>
        </w:rPr>
        <w:t> </w:t>
      </w:r>
      <w:r>
        <w:rPr>
          <w:sz w:val="20"/>
        </w:rPr>
        <w:t>sexta</w:t>
      </w:r>
    </w:p>
    <w:p>
      <w:pPr>
        <w:pStyle w:val="ListParagraph"/>
        <w:numPr>
          <w:ilvl w:val="0"/>
          <w:numId w:val="409"/>
        </w:numPr>
        <w:tabs>
          <w:tab w:pos="2263" w:val="left" w:leader="none"/>
        </w:tabs>
        <w:spacing w:line="240" w:lineRule="auto" w:before="11" w:after="0"/>
        <w:ind w:left="2262" w:right="0" w:hanging="169"/>
        <w:jc w:val="left"/>
        <w:rPr>
          <w:sz w:val="20"/>
        </w:rPr>
      </w:pPr>
      <w:r>
        <w:rPr>
          <w:sz w:val="20"/>
        </w:rPr>
        <w:t>º Las disposiciones finales primera y</w:t>
      </w:r>
      <w:r>
        <w:rPr>
          <w:spacing w:val="-6"/>
          <w:sz w:val="20"/>
        </w:rPr>
        <w:t> </w:t>
      </w:r>
      <w:r>
        <w:rPr>
          <w:sz w:val="20"/>
        </w:rPr>
        <w:t>segunda.»</w:t>
      </w:r>
    </w:p>
    <w:p>
      <w:pPr>
        <w:pStyle w:val="BodyText"/>
        <w:spacing w:before="0"/>
        <w:ind w:left="0" w:firstLine="0"/>
        <w:jc w:val="left"/>
        <w:rPr>
          <w:sz w:val="26"/>
        </w:rPr>
      </w:pPr>
    </w:p>
    <w:p>
      <w:pPr>
        <w:pStyle w:val="BodyText"/>
        <w:spacing w:before="170"/>
        <w:ind w:left="2930" w:right="3127" w:firstLine="0"/>
        <w:jc w:val="center"/>
      </w:pPr>
      <w:bookmarkStart w:name="TÍTULO III. Modificación de la Ley 20/20" w:id="352"/>
      <w:bookmarkEnd w:id="352"/>
      <w:r>
        <w:rPr/>
      </w:r>
      <w:bookmarkStart w:name="_bookmark69" w:id="353"/>
      <w:bookmarkEnd w:id="353"/>
      <w:r>
        <w:rPr/>
      </w:r>
      <w:r>
        <w:rPr/>
        <w:t>TÍTULO III</w:t>
      </w:r>
    </w:p>
    <w:p>
      <w:pPr>
        <w:pStyle w:val="Heading1"/>
        <w:spacing w:line="249" w:lineRule="auto"/>
        <w:ind w:right="1611"/>
      </w:pPr>
      <w:r>
        <w:rPr/>
        <w:t>Modificación de la Ley 20/2015, de 14 de julio, de ordenación, supervisión y solvencia de las entidades aseguradoras y reaseguradoras</w:t>
      </w:r>
    </w:p>
    <w:p>
      <w:pPr>
        <w:pStyle w:val="BodyText"/>
        <w:spacing w:before="8"/>
        <w:ind w:left="0" w:firstLine="0"/>
        <w:jc w:val="left"/>
        <w:rPr>
          <w:b/>
          <w:sz w:val="29"/>
        </w:rPr>
      </w:pPr>
    </w:p>
    <w:p>
      <w:pPr>
        <w:spacing w:line="249" w:lineRule="auto" w:before="1"/>
        <w:ind w:left="1074" w:right="1278" w:firstLine="0"/>
        <w:jc w:val="left"/>
        <w:rPr>
          <w:i/>
          <w:sz w:val="20"/>
        </w:rPr>
      </w:pPr>
      <w:bookmarkStart w:name="Artículo 213. Modificación de la Ley 20/" w:id="354"/>
      <w:bookmarkEnd w:id="354"/>
      <w:r>
        <w:rPr/>
      </w:r>
      <w:r>
        <w:rPr>
          <w:b/>
          <w:sz w:val="20"/>
        </w:rPr>
        <w:t>Artículo 213. </w:t>
      </w:r>
      <w:r>
        <w:rPr>
          <w:i/>
          <w:sz w:val="20"/>
        </w:rPr>
        <w:t>Modificación de la Ley 20/2015, de 14 de julio, de ordenación, supervisión y </w:t>
      </w:r>
      <w:r>
        <w:rPr>
          <w:i/>
          <w:sz w:val="20"/>
        </w:rPr>
        <w:t>solvencia de las entidades aseguradoras y reaseguradoras.</w:t>
      </w:r>
    </w:p>
    <w:p>
      <w:pPr>
        <w:pStyle w:val="BodyText"/>
        <w:spacing w:line="249" w:lineRule="auto" w:before="109"/>
        <w:ind w:right="1278"/>
        <w:jc w:val="left"/>
      </w:pPr>
      <w:r>
        <w:rPr/>
        <w:t>Se modifica la Ley 20/2015, de 14 de julio, de ordenación, supervisión y solvencia de las entidades aseguradoras y reaseguradoras en los siguientes términos:</w:t>
      </w:r>
    </w:p>
    <w:p>
      <w:pPr>
        <w:pStyle w:val="BodyText"/>
        <w:spacing w:before="122"/>
        <w:ind w:left="1414" w:firstLine="0"/>
        <w:jc w:val="left"/>
      </w:pPr>
      <w:r>
        <w:rPr/>
        <w:t>Uno. El artículo 64 queda redactado como sigue:</w:t>
      </w:r>
    </w:p>
    <w:p>
      <w:pPr>
        <w:spacing w:after="0"/>
        <w:jc w:val="left"/>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spacing w:line="249" w:lineRule="auto" w:before="0"/>
        <w:ind w:left="1754" w:right="1272" w:firstLine="0"/>
        <w:jc w:val="both"/>
        <w:rPr>
          <w:i/>
          <w:sz w:val="20"/>
        </w:rPr>
      </w:pPr>
      <w:r>
        <w:rPr>
          <w:b/>
          <w:sz w:val="20"/>
        </w:rPr>
        <w:t>«Artículo 64. </w:t>
      </w:r>
      <w:r>
        <w:rPr>
          <w:i/>
          <w:sz w:val="20"/>
        </w:rPr>
        <w:t>Actividad en España de las entidades reaseguradoras de terceros </w:t>
      </w:r>
      <w:r>
        <w:rPr>
          <w:i/>
          <w:sz w:val="20"/>
        </w:rPr>
        <w:t>países desde el país de origen.</w:t>
      </w:r>
    </w:p>
    <w:p>
      <w:pPr>
        <w:pStyle w:val="BodyText"/>
        <w:spacing w:line="249" w:lineRule="auto" w:before="110"/>
        <w:ind w:left="1754" w:right="1274"/>
      </w:pPr>
      <w:r>
        <w:rPr/>
        <w:t>Las entidades reaseguradoras de terceros países podrán ejercer actividad en España desde el país donde tengan su domicilio social.»</w:t>
      </w:r>
    </w:p>
    <w:p>
      <w:pPr>
        <w:pStyle w:val="BodyText"/>
        <w:spacing w:before="121"/>
        <w:ind w:left="1414" w:firstLine="0"/>
        <w:jc w:val="left"/>
      </w:pPr>
      <w:r>
        <w:rPr/>
        <w:t>Dos. Se introduce un nuevo artículo 79 bis con la siguiente redacción:</w:t>
      </w:r>
    </w:p>
    <w:p>
      <w:pPr>
        <w:pStyle w:val="BodyText"/>
        <w:spacing w:before="1"/>
        <w:ind w:left="0" w:firstLine="0"/>
        <w:jc w:val="left"/>
        <w:rPr>
          <w:sz w:val="21"/>
        </w:rPr>
      </w:pPr>
    </w:p>
    <w:p>
      <w:pPr>
        <w:spacing w:before="0"/>
        <w:ind w:left="1754" w:right="0" w:firstLine="0"/>
        <w:jc w:val="both"/>
        <w:rPr>
          <w:i/>
          <w:sz w:val="20"/>
        </w:rPr>
      </w:pPr>
      <w:r>
        <w:rPr>
          <w:b/>
          <w:sz w:val="20"/>
        </w:rPr>
        <w:t>«Artículo 79 bis. </w:t>
      </w:r>
      <w:r>
        <w:rPr>
          <w:i/>
          <w:sz w:val="20"/>
        </w:rPr>
        <w:t>Política de implicación.</w:t>
      </w:r>
    </w:p>
    <w:p>
      <w:pPr>
        <w:pStyle w:val="BodyText"/>
        <w:spacing w:line="249" w:lineRule="auto" w:before="118"/>
        <w:ind w:left="1754" w:right="1273"/>
      </w:pPr>
      <w:r>
        <w:rPr/>
        <w:t>Las entidades aseguradoras autorizadas para operar en el ramo de vida y las entidades reaseguradoras que cubran obligaciones de seguros de vida, deberán desarrollar y poner en conocimiento del público una política de implicación en la que se describa cómo se implica la entidad como accionista en su estrategia de inversión en sociedades cuyas acciones estén admitidas a negociación en un mercado regulado que esté situado u opere en un Estado miembro, en la forma y con el contenido que se determine reglamentariamente.»</w:t>
      </w:r>
    </w:p>
    <w:p>
      <w:pPr>
        <w:pStyle w:val="BodyText"/>
        <w:spacing w:before="126"/>
        <w:ind w:left="1414" w:firstLine="0"/>
        <w:jc w:val="left"/>
      </w:pPr>
      <w:r>
        <w:rPr/>
        <w:t>Tres. Se introduce un nuevo artículo 79 ter con la siguiente redacción:</w:t>
      </w:r>
    </w:p>
    <w:p>
      <w:pPr>
        <w:pStyle w:val="BodyText"/>
        <w:spacing w:before="1"/>
        <w:ind w:left="0" w:firstLine="0"/>
        <w:jc w:val="left"/>
        <w:rPr>
          <w:sz w:val="21"/>
        </w:rPr>
      </w:pPr>
    </w:p>
    <w:p>
      <w:pPr>
        <w:spacing w:before="0"/>
        <w:ind w:left="1754" w:right="0" w:firstLine="0"/>
        <w:jc w:val="both"/>
        <w:rPr>
          <w:i/>
          <w:sz w:val="20"/>
        </w:rPr>
      </w:pPr>
      <w:r>
        <w:rPr>
          <w:b/>
          <w:sz w:val="20"/>
        </w:rPr>
        <w:t>«Artículo 79 ter. </w:t>
      </w:r>
      <w:r>
        <w:rPr>
          <w:i/>
          <w:sz w:val="20"/>
        </w:rPr>
        <w:t>Estrategia de inversión.</w:t>
      </w:r>
    </w:p>
    <w:p>
      <w:pPr>
        <w:pStyle w:val="BodyText"/>
        <w:spacing w:line="249" w:lineRule="auto" w:before="117"/>
        <w:ind w:left="1754" w:right="1272"/>
      </w:pPr>
      <w:r>
        <w:rPr/>
        <w:t>Las entidades aseguradoras autorizadas para operar en el ramo de vida y las entidades reaseguradoras que cubran obligaciones de seguros de vida, deberán poner en conocimiento del público, en la forma y con el contenido que se determine reglamentariamente, información relativa a cómo los elementos principales de su estrategia de inversión en sociedades cuyas acciones estén admitidas a negociación en un mercado regulado que esté situado u opere en un Estado miembro, son coherentes con el perfil y la duración de sus pasivos, en particular sus pasivos a largo plazo, y a la manera en que contribuyen al rendimiento a medio y largo plazo de sus</w:t>
      </w:r>
      <w:r>
        <w:rPr>
          <w:spacing w:val="-2"/>
        </w:rPr>
        <w:t> </w:t>
      </w:r>
      <w:r>
        <w:rPr/>
        <w:t>activos.»</w:t>
      </w:r>
    </w:p>
    <w:p>
      <w:pPr>
        <w:pStyle w:val="BodyText"/>
        <w:spacing w:line="249" w:lineRule="auto" w:before="128"/>
        <w:ind w:right="1278"/>
        <w:jc w:val="left"/>
      </w:pPr>
      <w:r>
        <w:rPr/>
        <w:t>Cuatro. Se modifican los apartados 3 y 5 del artículo 206 quedando redactado como sigue:</w:t>
      </w:r>
    </w:p>
    <w:p>
      <w:pPr>
        <w:pStyle w:val="BodyText"/>
        <w:spacing w:line="249" w:lineRule="auto" w:before="172"/>
        <w:ind w:left="1754" w:right="1273"/>
      </w:pPr>
      <w:r>
        <w:rPr/>
        <w:t>«3. La imposición de las sanciones, salvo la consistente en amonestación privada, una vez que sean ejecutivas, se hará constar en el registro administrativo de entidades aseguradoras y reaseguradoras y en el de los altos cargos de entidades aseguradoras y reaseguradoras, indicando el tipo y clase de la infracción y la identidad del infractor. Asimismo, una vez sean ejecutivas, deberán ser objeto de comunicación a la inmediata junta o asamblea general que se celebre con posterioridad.</w:t>
      </w:r>
    </w:p>
    <w:p>
      <w:pPr>
        <w:pStyle w:val="BodyText"/>
        <w:spacing w:line="249" w:lineRule="auto" w:before="5"/>
        <w:ind w:left="1754" w:right="1272"/>
      </w:pPr>
      <w:r>
        <w:rPr/>
        <w:t>Las sanciones de separación del cargo y suspensión, una vez sean ejecutivas,  se harán constar, además, en el Registro Mercantil y, en su caso, en el Registro de Cooperativas.»</w:t>
      </w:r>
    </w:p>
    <w:p>
      <w:pPr>
        <w:pStyle w:val="BodyText"/>
        <w:spacing w:line="249" w:lineRule="auto" w:before="3"/>
        <w:ind w:left="1754" w:right="1272"/>
      </w:pPr>
      <w:r>
        <w:rPr/>
        <w:t>«5. La cancelación de los antecedentes por sanciones en el registro administrativo podrá realizarse de oficio o a instancia de los interesados, siempre que haya transcurrido, sin haber sido sancionado de nuevo, el plazo de un año para las sanciones por infracciones leves, tres años para las sanciones por infracciones graves y cinco años para las sanciones por infracciones muy graves. Este plazo se contará desde el día siguiente a aquel en que haya quedado cumplida la sanción. Lo anterior será aplicable, en su caso, a las sanciones inscritas en el Registro Mercantil y en el Registro de</w:t>
      </w:r>
      <w:r>
        <w:rPr>
          <w:spacing w:val="-6"/>
        </w:rPr>
        <w:t> </w:t>
      </w:r>
      <w:r>
        <w:rPr/>
        <w:t>Cooperativas.»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pPr>
    </w:p>
    <w:p>
      <w:pPr>
        <w:pStyle w:val="BodyText"/>
        <w:spacing w:before="8"/>
        <w:ind w:left="0" w:firstLine="0"/>
        <w:jc w:val="left"/>
      </w:pPr>
    </w:p>
    <w:p>
      <w:pPr>
        <w:pStyle w:val="BodyText"/>
        <w:spacing w:before="1"/>
        <w:ind w:left="2929" w:right="3127" w:firstLine="0"/>
        <w:jc w:val="center"/>
      </w:pPr>
      <w:bookmarkStart w:name="LIBRO TERCERO. Medidas para la adaptació" w:id="355"/>
      <w:bookmarkEnd w:id="355"/>
      <w:r>
        <w:rPr/>
      </w:r>
      <w:bookmarkStart w:name="_bookmark70" w:id="356"/>
      <w:bookmarkEnd w:id="356"/>
      <w:r>
        <w:rPr/>
      </w:r>
      <w:r>
        <w:rPr/>
        <w:t>LIBRO TERCERO</w:t>
      </w:r>
    </w:p>
    <w:p>
      <w:pPr>
        <w:pStyle w:val="Heading1"/>
        <w:spacing w:line="249" w:lineRule="auto"/>
        <w:ind w:right="1610"/>
      </w:pPr>
      <w:r>
        <w:rPr/>
        <w:t>Medidas para la adaptación del derecho español a determinada normativa europea en materia fiscal</w:t>
      </w:r>
    </w:p>
    <w:p>
      <w:pPr>
        <w:pStyle w:val="BodyText"/>
        <w:spacing w:before="0"/>
        <w:ind w:left="0" w:firstLine="0"/>
        <w:jc w:val="left"/>
        <w:rPr>
          <w:b/>
          <w:sz w:val="22"/>
        </w:rPr>
      </w:pPr>
    </w:p>
    <w:p>
      <w:pPr>
        <w:pStyle w:val="BodyText"/>
        <w:spacing w:before="5"/>
        <w:ind w:left="0" w:firstLine="0"/>
        <w:jc w:val="left"/>
        <w:rPr>
          <w:b/>
          <w:sz w:val="27"/>
        </w:rPr>
      </w:pPr>
    </w:p>
    <w:p>
      <w:pPr>
        <w:pStyle w:val="BodyText"/>
        <w:spacing w:before="0"/>
        <w:ind w:left="2930" w:right="3127" w:firstLine="0"/>
        <w:jc w:val="center"/>
      </w:pPr>
      <w:bookmarkStart w:name="TÍTULO I. Transposición de la Directiva " w:id="357"/>
      <w:bookmarkEnd w:id="357"/>
      <w:r>
        <w:rPr/>
      </w:r>
      <w:bookmarkStart w:name="_bookmark71" w:id="358"/>
      <w:bookmarkEnd w:id="358"/>
      <w:r>
        <w:rPr/>
      </w:r>
      <w:r>
        <w:rPr/>
        <w:t>TÍTULO I</w:t>
      </w:r>
    </w:p>
    <w:p>
      <w:pPr>
        <w:pStyle w:val="Heading1"/>
        <w:spacing w:line="249" w:lineRule="auto"/>
        <w:ind w:right="1610" w:hanging="1"/>
      </w:pPr>
      <w:r>
        <w:rPr/>
        <w:t>Transposición de la Directiva (UE) 2018/1910 del Consejo, de 4 de diciembre de 2018, por la que se modifica la Directiva 2006/112/CE en lo que se refiere a la armonización y la simplificación de determinadas normas del régimen del impuesto sobre el valor añadido en la imposición de los intercambios entre los Estados miembros, y la Directiva (UE) 2019/475 del Consejo, de 18 de febrero de 2019, por la que se modifican las Directivas 2006/112/CE y 2008/118/CE en lo que respecta a la inclusión del municipio italiano de Campione d’Italia y las aguas italianas del lago de Lugano en el territorio aduanero de la Unión y en el ámbito de aplicación territorial de la Directiva</w:t>
      </w:r>
      <w:r>
        <w:rPr>
          <w:spacing w:val="-15"/>
        </w:rPr>
        <w:t> </w:t>
      </w:r>
      <w:r>
        <w:rPr/>
        <w:t>2008/118/CE</w:t>
      </w:r>
    </w:p>
    <w:p>
      <w:pPr>
        <w:pStyle w:val="BodyText"/>
        <w:spacing w:before="0"/>
        <w:ind w:left="0" w:firstLine="0"/>
        <w:jc w:val="left"/>
        <w:rPr>
          <w:b/>
          <w:sz w:val="22"/>
        </w:rPr>
      </w:pPr>
    </w:p>
    <w:p>
      <w:pPr>
        <w:pStyle w:val="BodyText"/>
        <w:spacing w:before="1"/>
        <w:ind w:left="0" w:firstLine="0"/>
        <w:jc w:val="left"/>
        <w:rPr>
          <w:b/>
          <w:sz w:val="18"/>
        </w:rPr>
      </w:pPr>
    </w:p>
    <w:p>
      <w:pPr>
        <w:pStyle w:val="BodyText"/>
        <w:spacing w:before="0"/>
        <w:ind w:left="2929" w:right="3127" w:firstLine="0"/>
        <w:jc w:val="center"/>
      </w:pPr>
      <w:bookmarkStart w:name="CAPÍTULO I. Modificación de la Ley 37/19" w:id="359"/>
      <w:bookmarkEnd w:id="359"/>
      <w:r>
        <w:rPr/>
      </w:r>
      <w:bookmarkStart w:name="_bookmark72" w:id="360"/>
      <w:bookmarkEnd w:id="360"/>
      <w:r>
        <w:rPr/>
      </w:r>
      <w:r>
        <w:rPr/>
        <w:t>CAPÍTULO I</w:t>
      </w:r>
    </w:p>
    <w:p>
      <w:pPr>
        <w:pStyle w:val="Heading1"/>
        <w:spacing w:line="249" w:lineRule="auto" w:before="124"/>
        <w:ind w:right="1612"/>
      </w:pPr>
      <w:r>
        <w:rPr/>
        <w:t>Modificación de la Ley 37/1992, de 28 de diciembre, del Impuesto sobre el Valor Añadido</w:t>
      </w:r>
    </w:p>
    <w:p>
      <w:pPr>
        <w:pStyle w:val="BodyText"/>
        <w:spacing w:before="10"/>
        <w:ind w:left="0" w:firstLine="0"/>
        <w:jc w:val="left"/>
        <w:rPr>
          <w:b/>
          <w:sz w:val="19"/>
        </w:rPr>
      </w:pPr>
    </w:p>
    <w:p>
      <w:pPr>
        <w:spacing w:line="249" w:lineRule="auto" w:before="0"/>
        <w:ind w:left="1074" w:right="1278" w:firstLine="0"/>
        <w:jc w:val="left"/>
        <w:rPr>
          <w:i/>
          <w:sz w:val="20"/>
        </w:rPr>
      </w:pPr>
      <w:bookmarkStart w:name="Artículo 214. Modificación de la Ley 37/" w:id="361"/>
      <w:bookmarkEnd w:id="361"/>
      <w:r>
        <w:rPr/>
      </w:r>
      <w:r>
        <w:rPr>
          <w:b/>
          <w:sz w:val="20"/>
        </w:rPr>
        <w:t>Artículo 214. </w:t>
      </w:r>
      <w:r>
        <w:rPr>
          <w:i/>
          <w:sz w:val="20"/>
        </w:rPr>
        <w:t>Modificación de la Ley 37/1992, de 28 de diciembre, del Impuesto sobre el </w:t>
      </w:r>
      <w:r>
        <w:rPr>
          <w:i/>
          <w:sz w:val="20"/>
        </w:rPr>
        <w:t>Valor Añadido.</w:t>
      </w:r>
    </w:p>
    <w:p>
      <w:pPr>
        <w:pStyle w:val="BodyText"/>
        <w:spacing w:line="249" w:lineRule="auto" w:before="109"/>
        <w:ind w:right="1278"/>
        <w:jc w:val="left"/>
      </w:pPr>
      <w:r>
        <w:rPr/>
        <w:t>Se introducen las siguientes modificaciones en la Ley 37/1992, de 28 de diciembre, del Impuesto sobre el Valor Añadido:</w:t>
      </w:r>
    </w:p>
    <w:p>
      <w:pPr>
        <w:pStyle w:val="BodyText"/>
        <w:spacing w:line="249" w:lineRule="auto" w:before="122"/>
        <w:ind w:right="1278"/>
        <w:jc w:val="left"/>
      </w:pPr>
      <w:r>
        <w:rPr/>
        <w:t>Uno. Se modifican las letras a) y b) del número 1.º del apartado dos del artículo 3, que quedan redactadas de la siguiente forma:</w:t>
      </w:r>
    </w:p>
    <w:p>
      <w:pPr>
        <w:pStyle w:val="BodyText"/>
        <w:spacing w:line="249" w:lineRule="auto" w:before="171"/>
        <w:ind w:left="1754" w:right="1272"/>
      </w:pPr>
      <w:r>
        <w:rPr/>
        <w:t>«a) En la República Federal de Alemania, la Isla de Helgoland y el territorio de Büsingen; en el Reino de España, Ceuta y Melilla y en la República Italiana, Livigno, en cuanto territorios no comprendidos en la Unión Aduanera.</w:t>
      </w:r>
    </w:p>
    <w:p>
      <w:pPr>
        <w:pStyle w:val="BodyText"/>
        <w:spacing w:line="249" w:lineRule="auto" w:before="3"/>
        <w:ind w:left="1754" w:right="1271"/>
      </w:pPr>
      <w:r>
        <w:rPr/>
        <w:t>b) En el Reino de España, Canarias; en la República Francesa, los territorios franceses a que se refieren el artículo 349 y el artículo 355, apartado 1, del Tratado de Funcionamiento de la Unión Europea; en la República Helénica, Monte Athos; en el Reino Unido, las Islas del Canal; en la República Italiana, Campione d´Italia y las aguas nacionales del lago de Lugano, y en la República de Finlandia, las islas Aland, en cuanto territorios excluidos de la armonización de los impuestos sobre el volumen de</w:t>
      </w:r>
      <w:r>
        <w:rPr>
          <w:spacing w:val="-2"/>
        </w:rPr>
        <w:t> </w:t>
      </w:r>
      <w:r>
        <w:rPr/>
        <w:t>negocios.»</w:t>
      </w:r>
    </w:p>
    <w:p>
      <w:pPr>
        <w:pStyle w:val="BodyText"/>
        <w:spacing w:line="249" w:lineRule="auto" w:before="126"/>
        <w:ind w:right="1311"/>
        <w:jc w:val="left"/>
      </w:pPr>
      <w:r>
        <w:rPr/>
        <w:t>Dos. Se modifica el párrafo primero del número 3.º del artículo 9, que queda redactado de la siguiente</w:t>
      </w:r>
      <w:r>
        <w:rPr>
          <w:spacing w:val="-3"/>
        </w:rPr>
        <w:t> </w:t>
      </w:r>
      <w:r>
        <w:rPr/>
        <w:t>forma:</w:t>
      </w:r>
    </w:p>
    <w:p>
      <w:pPr>
        <w:pStyle w:val="BodyText"/>
        <w:spacing w:line="249" w:lineRule="auto" w:before="171"/>
        <w:ind w:left="1754" w:right="1272"/>
      </w:pPr>
      <w:r>
        <w:rPr/>
        <w:t>«3.º La transferencia por un sujeto pasivo de un bien corporal de su empresa con destino a otro Estado miembro, para afectarlo a las necesidades de aquella en este último. No tendrán esa consideración las transferencias realizadas en el marco de un acuerdo de ventas de bienes en consigna en los términos previstos en el artículo 9 bis de esta</w:t>
      </w:r>
      <w:r>
        <w:rPr>
          <w:spacing w:val="-4"/>
        </w:rPr>
        <w:t> </w:t>
      </w:r>
      <w:r>
        <w:rPr/>
        <w:t>Ley.»</w:t>
      </w:r>
    </w:p>
    <w:p>
      <w:pPr>
        <w:pStyle w:val="BodyText"/>
        <w:spacing w:before="124"/>
        <w:ind w:left="1222" w:right="1613" w:firstLine="0"/>
        <w:jc w:val="center"/>
      </w:pPr>
      <w:r>
        <w:rPr/>
        <w:t>Tres. Se añade un nuevo artículo 9 bis, que queda redactado de la siguiente forma:</w:t>
      </w:r>
    </w:p>
    <w:p>
      <w:pPr>
        <w:pStyle w:val="BodyText"/>
        <w:spacing w:before="1"/>
        <w:ind w:left="0" w:firstLine="0"/>
        <w:jc w:val="left"/>
        <w:rPr>
          <w:sz w:val="21"/>
        </w:rPr>
      </w:pPr>
    </w:p>
    <w:p>
      <w:pPr>
        <w:spacing w:before="0"/>
        <w:ind w:left="1754" w:right="0" w:firstLine="0"/>
        <w:jc w:val="left"/>
        <w:rPr>
          <w:i/>
          <w:sz w:val="20"/>
        </w:rPr>
      </w:pPr>
      <w:r>
        <w:rPr>
          <w:b/>
          <w:sz w:val="20"/>
        </w:rPr>
        <w:t>«Artículo 9 bis. </w:t>
      </w:r>
      <w:r>
        <w:rPr>
          <w:i/>
          <w:sz w:val="20"/>
        </w:rPr>
        <w:t>Acuerdo de ventas de bienes en consigna.</w:t>
      </w:r>
    </w:p>
    <w:p>
      <w:pPr>
        <w:pStyle w:val="BodyText"/>
        <w:spacing w:line="249" w:lineRule="auto" w:before="118"/>
        <w:ind w:left="1754" w:right="1276"/>
      </w:pPr>
      <w:r>
        <w:rPr/>
        <w:t>Uno. A los efectos de lo dispuesto en esta Ley, se entenderá por acuerdo de ventas de bienes en consigna aquel en el que se cumplan los siguientes requisitos: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ListParagraph"/>
        <w:numPr>
          <w:ilvl w:val="0"/>
          <w:numId w:val="410"/>
        </w:numPr>
        <w:tabs>
          <w:tab w:pos="2336" w:val="left" w:leader="none"/>
        </w:tabs>
        <w:spacing w:line="249" w:lineRule="auto" w:before="126" w:after="0"/>
        <w:ind w:left="1754" w:right="1271" w:firstLine="340"/>
        <w:jc w:val="both"/>
        <w:rPr>
          <w:sz w:val="20"/>
        </w:rPr>
      </w:pPr>
      <w:r>
        <w:rPr>
          <w:sz w:val="20"/>
        </w:rPr>
        <w:t>Que los bienes sean expedidos o transportados a otro Estado miembro, por el vendedor, o por un tercero en su nombre y por su cuenta, con el fin de que esos bienes sean adquiridos en un momento posterior a su llegada por otro empresario o profesional habilitado, de conformidad con un acuerdo previo entre ambas</w:t>
      </w:r>
      <w:r>
        <w:rPr>
          <w:spacing w:val="-36"/>
          <w:sz w:val="20"/>
        </w:rPr>
        <w:t> </w:t>
      </w:r>
      <w:r>
        <w:rPr>
          <w:sz w:val="20"/>
        </w:rPr>
        <w:t>partes.</w:t>
      </w:r>
    </w:p>
    <w:p>
      <w:pPr>
        <w:pStyle w:val="ListParagraph"/>
        <w:numPr>
          <w:ilvl w:val="0"/>
          <w:numId w:val="410"/>
        </w:numPr>
        <w:tabs>
          <w:tab w:pos="2352" w:val="left" w:leader="none"/>
        </w:tabs>
        <w:spacing w:line="249" w:lineRule="auto" w:before="3" w:after="0"/>
        <w:ind w:left="1754" w:right="1273" w:firstLine="340"/>
        <w:jc w:val="both"/>
        <w:rPr>
          <w:sz w:val="20"/>
        </w:rPr>
      </w:pPr>
      <w:r>
        <w:rPr>
          <w:sz w:val="20"/>
        </w:rPr>
        <w:t>Que el vendedor que expida o transporte los bienes no tenga la sede de su actividad económica o un establecimiento permanente en el Estado miembro de llegada de la expedición o transporte de</w:t>
      </w:r>
      <w:r>
        <w:rPr>
          <w:spacing w:val="-9"/>
          <w:sz w:val="20"/>
        </w:rPr>
        <w:t> </w:t>
      </w:r>
      <w:r>
        <w:rPr>
          <w:sz w:val="20"/>
        </w:rPr>
        <w:t>aquellos.</w:t>
      </w:r>
    </w:p>
    <w:p>
      <w:pPr>
        <w:pStyle w:val="ListParagraph"/>
        <w:numPr>
          <w:ilvl w:val="0"/>
          <w:numId w:val="410"/>
        </w:numPr>
        <w:tabs>
          <w:tab w:pos="2319" w:val="left" w:leader="none"/>
        </w:tabs>
        <w:spacing w:line="249" w:lineRule="auto" w:before="3" w:after="0"/>
        <w:ind w:left="1754" w:right="1271" w:firstLine="340"/>
        <w:jc w:val="both"/>
        <w:rPr>
          <w:sz w:val="20"/>
        </w:rPr>
      </w:pPr>
      <w:r>
        <w:rPr>
          <w:sz w:val="20"/>
        </w:rPr>
        <w:t>Que el empresario o profesional que va a adquirir los bienes esté identificado a efectos del Impuesto sobre el Valor Añadido en el Estado miembro de llegada de la expedición o transporte, y ese número de identificación fiscal, así como su nombre y apellidos, razón o denominación social completa, sean conocidos por el vendedor en el momento del inicio de la expedición o</w:t>
      </w:r>
      <w:r>
        <w:rPr>
          <w:spacing w:val="-10"/>
          <w:sz w:val="20"/>
        </w:rPr>
        <w:t> </w:t>
      </w:r>
      <w:r>
        <w:rPr>
          <w:sz w:val="20"/>
        </w:rPr>
        <w:t>transporte.</w:t>
      </w:r>
    </w:p>
    <w:p>
      <w:pPr>
        <w:pStyle w:val="ListParagraph"/>
        <w:numPr>
          <w:ilvl w:val="0"/>
          <w:numId w:val="410"/>
        </w:numPr>
        <w:tabs>
          <w:tab w:pos="2370" w:val="left" w:leader="none"/>
        </w:tabs>
        <w:spacing w:line="249" w:lineRule="auto" w:before="4" w:after="0"/>
        <w:ind w:left="1754" w:right="1274" w:firstLine="340"/>
        <w:jc w:val="both"/>
        <w:rPr>
          <w:sz w:val="20"/>
        </w:rPr>
      </w:pPr>
      <w:r>
        <w:rPr>
          <w:sz w:val="20"/>
        </w:rPr>
        <w:t>Que el vendedor haya incluido el envío de dichos bienes tanto en el libro registro que se determine reglamentariamente como en la declaración recapitulativa a que se refiere el artículo 164, apartado uno, número 5.º, de esta Ley, en la forma que se determine</w:t>
      </w:r>
      <w:r>
        <w:rPr>
          <w:spacing w:val="-3"/>
          <w:sz w:val="20"/>
        </w:rPr>
        <w:t> </w:t>
      </w:r>
      <w:r>
        <w:rPr>
          <w:sz w:val="20"/>
        </w:rPr>
        <w:t>reglamentariamente.</w:t>
      </w:r>
    </w:p>
    <w:p>
      <w:pPr>
        <w:pStyle w:val="BodyText"/>
        <w:spacing w:line="249" w:lineRule="auto" w:before="173"/>
        <w:ind w:left="1754" w:right="1273"/>
      </w:pPr>
      <w:r>
        <w:rPr/>
        <w:t>Dos. Cuando, en el plazo de los doce meses siguientes a la llegada de los bienes al Estado miembro de destino en el marco de un acuerdo de ventas de bienes en consigna, el empresario o profesional mencionado en la letra c) del apartado anterior, o en la letra a´) del segundo párrafo del apartado siguiente, adquiera el poder de disposición de los bienes, se entenderá que en el territorio de aplicación del Impuesto se realiza, según los casos:</w:t>
      </w:r>
    </w:p>
    <w:p>
      <w:pPr>
        <w:pStyle w:val="ListParagraph"/>
        <w:numPr>
          <w:ilvl w:val="0"/>
          <w:numId w:val="411"/>
        </w:numPr>
        <w:tabs>
          <w:tab w:pos="2329" w:val="left" w:leader="none"/>
        </w:tabs>
        <w:spacing w:line="249" w:lineRule="auto" w:before="175" w:after="0"/>
        <w:ind w:left="1754" w:right="1274" w:firstLine="340"/>
        <w:jc w:val="both"/>
        <w:rPr>
          <w:sz w:val="20"/>
        </w:rPr>
      </w:pPr>
      <w:r>
        <w:rPr>
          <w:sz w:val="20"/>
        </w:rPr>
        <w:t>Una entrega de bienes de las previstas en el artículo 68, apartado dos, número 1.º, letra A), primer párrafo, de esta Ley, por el vendedor, a la que resultará aplicable la exención prevista en el artículo 25 de esta Ley,</w:t>
      </w:r>
      <w:r>
        <w:rPr>
          <w:spacing w:val="-15"/>
          <w:sz w:val="20"/>
        </w:rPr>
        <w:t> </w:t>
      </w:r>
      <w:r>
        <w:rPr>
          <w:sz w:val="20"/>
        </w:rPr>
        <w:t>o</w:t>
      </w:r>
    </w:p>
    <w:p>
      <w:pPr>
        <w:pStyle w:val="ListParagraph"/>
        <w:numPr>
          <w:ilvl w:val="0"/>
          <w:numId w:val="411"/>
        </w:numPr>
        <w:tabs>
          <w:tab w:pos="2349" w:val="left" w:leader="none"/>
        </w:tabs>
        <w:spacing w:line="249" w:lineRule="auto" w:before="3" w:after="0"/>
        <w:ind w:left="1754" w:right="1276" w:firstLine="340"/>
        <w:jc w:val="both"/>
        <w:rPr>
          <w:sz w:val="20"/>
        </w:rPr>
      </w:pPr>
      <w:r>
        <w:rPr>
          <w:sz w:val="20"/>
        </w:rPr>
        <w:t>una adquisición intracomunitaria de bienes de las previstas en el artículo 15, apartado</w:t>
      </w:r>
      <w:r>
        <w:rPr>
          <w:spacing w:val="-5"/>
          <w:sz w:val="20"/>
        </w:rPr>
        <w:t> </w:t>
      </w:r>
      <w:r>
        <w:rPr>
          <w:sz w:val="20"/>
        </w:rPr>
        <w:t>uno,</w:t>
      </w:r>
      <w:r>
        <w:rPr>
          <w:spacing w:val="-4"/>
          <w:sz w:val="20"/>
        </w:rPr>
        <w:t> </w:t>
      </w:r>
      <w:r>
        <w:rPr>
          <w:sz w:val="20"/>
        </w:rPr>
        <w:t>letra</w:t>
      </w:r>
      <w:r>
        <w:rPr>
          <w:spacing w:val="-5"/>
          <w:sz w:val="20"/>
        </w:rPr>
        <w:t> </w:t>
      </w:r>
      <w:r>
        <w:rPr>
          <w:sz w:val="20"/>
        </w:rPr>
        <w:t>b),</w:t>
      </w:r>
      <w:r>
        <w:rPr>
          <w:spacing w:val="-4"/>
          <w:sz w:val="20"/>
        </w:rPr>
        <w:t> </w:t>
      </w:r>
      <w:r>
        <w:rPr>
          <w:sz w:val="20"/>
        </w:rPr>
        <w:t>de</w:t>
      </w:r>
      <w:r>
        <w:rPr>
          <w:spacing w:val="-5"/>
          <w:sz w:val="20"/>
        </w:rPr>
        <w:t> </w:t>
      </w:r>
      <w:r>
        <w:rPr>
          <w:sz w:val="20"/>
        </w:rPr>
        <w:t>esta</w:t>
      </w:r>
      <w:r>
        <w:rPr>
          <w:spacing w:val="-4"/>
          <w:sz w:val="20"/>
        </w:rPr>
        <w:t> </w:t>
      </w:r>
      <w:r>
        <w:rPr>
          <w:sz w:val="20"/>
        </w:rPr>
        <w:t>Ley,</w:t>
      </w:r>
      <w:r>
        <w:rPr>
          <w:spacing w:val="-5"/>
          <w:sz w:val="20"/>
        </w:rPr>
        <w:t> </w:t>
      </w:r>
      <w:r>
        <w:rPr>
          <w:sz w:val="20"/>
        </w:rPr>
        <w:t>por</w:t>
      </w:r>
      <w:r>
        <w:rPr>
          <w:spacing w:val="-4"/>
          <w:sz w:val="20"/>
        </w:rPr>
        <w:t> </w:t>
      </w:r>
      <w:r>
        <w:rPr>
          <w:sz w:val="20"/>
        </w:rPr>
        <w:t>el</w:t>
      </w:r>
      <w:r>
        <w:rPr>
          <w:spacing w:val="-4"/>
          <w:sz w:val="20"/>
        </w:rPr>
        <w:t> </w:t>
      </w:r>
      <w:r>
        <w:rPr>
          <w:sz w:val="20"/>
        </w:rPr>
        <w:t>empresario</w:t>
      </w:r>
      <w:r>
        <w:rPr>
          <w:spacing w:val="-5"/>
          <w:sz w:val="20"/>
        </w:rPr>
        <w:t> </w:t>
      </w:r>
      <w:r>
        <w:rPr>
          <w:sz w:val="20"/>
        </w:rPr>
        <w:t>o</w:t>
      </w:r>
      <w:r>
        <w:rPr>
          <w:spacing w:val="-4"/>
          <w:sz w:val="20"/>
        </w:rPr>
        <w:t> </w:t>
      </w:r>
      <w:r>
        <w:rPr>
          <w:sz w:val="20"/>
        </w:rPr>
        <w:t>profesional</w:t>
      </w:r>
      <w:r>
        <w:rPr>
          <w:spacing w:val="-5"/>
          <w:sz w:val="20"/>
        </w:rPr>
        <w:t> </w:t>
      </w:r>
      <w:r>
        <w:rPr>
          <w:sz w:val="20"/>
        </w:rPr>
        <w:t>que</w:t>
      </w:r>
      <w:r>
        <w:rPr>
          <w:spacing w:val="-4"/>
          <w:sz w:val="20"/>
        </w:rPr>
        <w:t> </w:t>
      </w:r>
      <w:r>
        <w:rPr>
          <w:sz w:val="20"/>
        </w:rPr>
        <w:t>los</w:t>
      </w:r>
      <w:r>
        <w:rPr>
          <w:spacing w:val="-5"/>
          <w:sz w:val="20"/>
        </w:rPr>
        <w:t> </w:t>
      </w:r>
      <w:r>
        <w:rPr>
          <w:sz w:val="20"/>
        </w:rPr>
        <w:t>adquiere.</w:t>
      </w:r>
    </w:p>
    <w:p>
      <w:pPr>
        <w:pStyle w:val="BodyText"/>
        <w:spacing w:line="249" w:lineRule="auto" w:before="172"/>
        <w:ind w:left="1754" w:right="1273"/>
      </w:pPr>
      <w:r>
        <w:rPr/>
        <w:t>Tres. Se entenderá que se ha producido una transferencia de bienes a la que se refiere el artículo 9.3.º de esta Ley cuando, en el marco de un acuerdo de ventas de bienes en consigna, dentro del plazo de los doce meses previsto en el apartado anterior, se incumplan cualquiera de las condiciones establecidas en el apartado uno anterior, en particular:</w:t>
      </w:r>
    </w:p>
    <w:p>
      <w:pPr>
        <w:pStyle w:val="ListParagraph"/>
        <w:numPr>
          <w:ilvl w:val="0"/>
          <w:numId w:val="412"/>
        </w:numPr>
        <w:tabs>
          <w:tab w:pos="2332" w:val="left" w:leader="none"/>
        </w:tabs>
        <w:spacing w:line="249" w:lineRule="auto" w:before="174" w:after="0"/>
        <w:ind w:left="1754" w:right="1276" w:firstLine="340"/>
        <w:jc w:val="both"/>
        <w:rPr>
          <w:sz w:val="20"/>
        </w:rPr>
      </w:pPr>
      <w:r>
        <w:rPr>
          <w:sz w:val="20"/>
        </w:rPr>
        <w:t>Cuando los bienes no hubieran sido adquiridos por el empresario o profesional al que iban destinados inicialmente los</w:t>
      </w:r>
      <w:r>
        <w:rPr>
          <w:spacing w:val="-9"/>
          <w:sz w:val="20"/>
        </w:rPr>
        <w:t> </w:t>
      </w:r>
      <w:r>
        <w:rPr>
          <w:sz w:val="20"/>
        </w:rPr>
        <w:t>mismos.</w:t>
      </w:r>
    </w:p>
    <w:p>
      <w:pPr>
        <w:pStyle w:val="ListParagraph"/>
        <w:numPr>
          <w:ilvl w:val="0"/>
          <w:numId w:val="412"/>
        </w:numPr>
        <w:tabs>
          <w:tab w:pos="2343" w:val="left" w:leader="none"/>
        </w:tabs>
        <w:spacing w:line="249" w:lineRule="auto" w:before="1" w:after="0"/>
        <w:ind w:left="1754" w:right="1272" w:firstLine="340"/>
        <w:jc w:val="both"/>
        <w:rPr>
          <w:sz w:val="20"/>
        </w:rPr>
      </w:pPr>
      <w:r>
        <w:rPr>
          <w:sz w:val="20"/>
        </w:rPr>
        <w:t>Cuando los bienes fueran expedidos o transportados a un destino distinto del Estado miembro al que estaban inicialmente destinados según el acuerdo de ventas de bienes en</w:t>
      </w:r>
      <w:r>
        <w:rPr>
          <w:spacing w:val="-4"/>
          <w:sz w:val="20"/>
        </w:rPr>
        <w:t> </w:t>
      </w:r>
      <w:r>
        <w:rPr>
          <w:sz w:val="20"/>
        </w:rPr>
        <w:t>consigna.</w:t>
      </w:r>
    </w:p>
    <w:p>
      <w:pPr>
        <w:pStyle w:val="ListParagraph"/>
        <w:numPr>
          <w:ilvl w:val="0"/>
          <w:numId w:val="412"/>
        </w:numPr>
        <w:tabs>
          <w:tab w:pos="2317" w:val="left" w:leader="none"/>
        </w:tabs>
        <w:spacing w:line="240" w:lineRule="auto" w:before="3" w:after="0"/>
        <w:ind w:left="2316" w:right="0" w:hanging="223"/>
        <w:jc w:val="both"/>
        <w:rPr>
          <w:sz w:val="20"/>
        </w:rPr>
      </w:pPr>
      <w:r>
        <w:rPr>
          <w:sz w:val="20"/>
        </w:rPr>
        <w:t>En el supuesto de destrucción, pérdida o robo de los</w:t>
      </w:r>
      <w:r>
        <w:rPr>
          <w:spacing w:val="-12"/>
          <w:sz w:val="20"/>
        </w:rPr>
        <w:t> </w:t>
      </w:r>
      <w:r>
        <w:rPr>
          <w:sz w:val="20"/>
        </w:rPr>
        <w:t>bienes.</w:t>
      </w:r>
    </w:p>
    <w:p>
      <w:pPr>
        <w:pStyle w:val="BodyText"/>
        <w:spacing w:line="249" w:lineRule="auto" w:before="180"/>
        <w:ind w:left="1754" w:right="1275"/>
      </w:pPr>
      <w:r>
        <w:rPr/>
        <w:t>No obstante, se entenderán cumplidos los requisitos del apartado uno anterior cuando dentro del referido plazo:</w:t>
      </w:r>
    </w:p>
    <w:p>
      <w:pPr>
        <w:pStyle w:val="BodyText"/>
        <w:spacing w:line="249" w:lineRule="auto" w:before="172"/>
        <w:ind w:left="1754" w:right="1273"/>
      </w:pPr>
      <w:r>
        <w:rPr/>
        <w:t>a´) Los bienes sean adquiridos por un empresario o profesional que sustituya al referido en la letra c) del apartado uno anterior, con cumplimiento de los requisitos previstos en dicha letra.</w:t>
      </w:r>
    </w:p>
    <w:p>
      <w:pPr>
        <w:pStyle w:val="BodyText"/>
        <w:spacing w:line="249" w:lineRule="auto"/>
        <w:ind w:left="1754" w:right="1273"/>
      </w:pPr>
      <w:r>
        <w:rPr/>
        <w:t>b´) No se haya transmitido el poder de disposición de los bienes y estos sean devueltos al Estado miembro desde el que se expidieron o transportaron.</w:t>
      </w:r>
    </w:p>
    <w:p>
      <w:pPr>
        <w:pStyle w:val="BodyText"/>
        <w:spacing w:line="249" w:lineRule="auto"/>
        <w:ind w:left="1754" w:right="1274"/>
      </w:pPr>
      <w:r>
        <w:rPr/>
        <w:t>c´) Las circunstancias previstas en las letras a´) y b´) hayan sido incluidas por el vendedor en el libro registro que se determine reglamentariamente.</w:t>
      </w:r>
    </w:p>
    <w:p>
      <w:pPr>
        <w:pStyle w:val="BodyText"/>
        <w:spacing w:line="249" w:lineRule="auto" w:before="172"/>
        <w:ind w:left="1754" w:right="1273"/>
      </w:pPr>
      <w:r>
        <w:rPr/>
        <w:t>Cuatro. Se entenderá que se ha producido una transferencia de bienes a la que se refiere el artículo 9.3.º de esta Ley, en el marco de un acuerdo de ventas de bienes en consigna y cumpliéndose las condiciones previstas en el apartado uno anterior, al día siguiente de la expiración del plazo de 12 meses desde la llegada de los</w:t>
      </w:r>
      <w:r>
        <w:rPr>
          <w:spacing w:val="9"/>
        </w:rPr>
        <w:t> </w:t>
      </w:r>
      <w:r>
        <w:rPr/>
        <w:t>bienes</w:t>
      </w:r>
      <w:r>
        <w:rPr>
          <w:spacing w:val="10"/>
        </w:rPr>
        <w:t> </w:t>
      </w:r>
      <w:r>
        <w:rPr/>
        <w:t>al</w:t>
      </w:r>
      <w:r>
        <w:rPr>
          <w:spacing w:val="10"/>
        </w:rPr>
        <w:t> </w:t>
      </w:r>
      <w:r>
        <w:rPr/>
        <w:t>Estado</w:t>
      </w:r>
      <w:r>
        <w:rPr>
          <w:spacing w:val="10"/>
        </w:rPr>
        <w:t> </w:t>
      </w:r>
      <w:r>
        <w:rPr/>
        <w:t>miembro</w:t>
      </w:r>
      <w:r>
        <w:rPr>
          <w:spacing w:val="10"/>
        </w:rPr>
        <w:t> </w:t>
      </w:r>
      <w:r>
        <w:rPr/>
        <w:t>de</w:t>
      </w:r>
      <w:r>
        <w:rPr>
          <w:spacing w:val="10"/>
        </w:rPr>
        <w:t> </w:t>
      </w:r>
      <w:r>
        <w:rPr/>
        <w:t>destino</w:t>
      </w:r>
      <w:r>
        <w:rPr>
          <w:spacing w:val="10"/>
        </w:rPr>
        <w:t> </w:t>
      </w:r>
      <w:r>
        <w:rPr/>
        <w:t>sin</w:t>
      </w:r>
      <w:r>
        <w:rPr>
          <w:spacing w:val="10"/>
        </w:rPr>
        <w:t> </w:t>
      </w:r>
      <w:r>
        <w:rPr/>
        <w:t>que</w:t>
      </w:r>
      <w:r>
        <w:rPr>
          <w:spacing w:val="10"/>
        </w:rPr>
        <w:t> </w:t>
      </w:r>
      <w:r>
        <w:rPr/>
        <w:t>el</w:t>
      </w:r>
      <w:r>
        <w:rPr>
          <w:spacing w:val="10"/>
        </w:rPr>
        <w:t> </w:t>
      </w:r>
      <w:r>
        <w:rPr/>
        <w:t>empresario</w:t>
      </w:r>
      <w:r>
        <w:rPr>
          <w:spacing w:val="10"/>
        </w:rPr>
        <w:t> </w:t>
      </w:r>
      <w:r>
        <w:rPr/>
        <w:t>o</w:t>
      </w:r>
      <w:r>
        <w:rPr>
          <w:spacing w:val="10"/>
        </w:rPr>
        <w:t> </w:t>
      </w:r>
      <w:r>
        <w:rPr/>
        <w:t>profesional</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4" w:hanging="1"/>
      </w:pPr>
      <w:r>
        <w:rPr/>
        <w:t>mencionado en la letra c) del apartado uno o en la letra a’) del segundo párrafo del apartado tres del artículo 9 bis haya adquirido el poder de disposición de los bienes.</w:t>
      </w:r>
    </w:p>
    <w:p>
      <w:pPr>
        <w:pStyle w:val="BodyText"/>
        <w:spacing w:line="249" w:lineRule="auto"/>
        <w:ind w:left="1754" w:right="1273"/>
      </w:pPr>
      <w:r>
        <w:rPr/>
        <w:t>Cinco. Los empresarios o profesionales que suscriban un acuerdo de ventas de bienes en consigna y quienes sustituyan a aquel a quien estaban inicialmente destinados los bienes deberán llevar un libro registro de estas operaciones en las condiciones que se establezcan reglamentariamente.»</w:t>
      </w:r>
    </w:p>
    <w:p>
      <w:pPr>
        <w:pStyle w:val="BodyText"/>
        <w:spacing w:line="249" w:lineRule="auto" w:before="123"/>
        <w:ind w:right="1278"/>
        <w:jc w:val="left"/>
      </w:pPr>
      <w:r>
        <w:rPr/>
        <w:t>Cuatro. Se modifica el apartado uno del artículo 15, que queda redactado de la siguiente forma:</w:t>
      </w:r>
    </w:p>
    <w:p>
      <w:pPr>
        <w:pStyle w:val="BodyText"/>
        <w:spacing w:before="172"/>
        <w:ind w:left="2094" w:firstLine="0"/>
        <w:jc w:val="left"/>
      </w:pPr>
      <w:r>
        <w:rPr/>
        <w:t>«Uno. Se entenderá por adquisición intracomunitaria de bienes:</w:t>
      </w:r>
    </w:p>
    <w:p>
      <w:pPr>
        <w:pStyle w:val="ListParagraph"/>
        <w:numPr>
          <w:ilvl w:val="0"/>
          <w:numId w:val="413"/>
        </w:numPr>
        <w:tabs>
          <w:tab w:pos="2395" w:val="left" w:leader="none"/>
        </w:tabs>
        <w:spacing w:line="249" w:lineRule="auto" w:before="180" w:after="0"/>
        <w:ind w:left="1754" w:right="1271" w:firstLine="340"/>
        <w:jc w:val="both"/>
        <w:rPr>
          <w:sz w:val="20"/>
        </w:rPr>
      </w:pPr>
      <w:r>
        <w:rPr>
          <w:sz w:val="20"/>
        </w:rPr>
        <w:t>La obtención del poder de disposición sobre bienes muebles corporales expedidos o transportados al territorio de aplicación del Impuesto, con destino al adquirente, desde otro Estado miembro, por el transmitente, el propio adquirente o  un tercero en nombre y por cuenta de cualquiera de los</w:t>
      </w:r>
      <w:r>
        <w:rPr>
          <w:spacing w:val="-14"/>
          <w:sz w:val="20"/>
        </w:rPr>
        <w:t> </w:t>
      </w:r>
      <w:r>
        <w:rPr>
          <w:sz w:val="20"/>
        </w:rPr>
        <w:t>anteriores.</w:t>
      </w:r>
    </w:p>
    <w:p>
      <w:pPr>
        <w:pStyle w:val="ListParagraph"/>
        <w:numPr>
          <w:ilvl w:val="0"/>
          <w:numId w:val="413"/>
        </w:numPr>
        <w:tabs>
          <w:tab w:pos="2343" w:val="left" w:leader="none"/>
        </w:tabs>
        <w:spacing w:line="249" w:lineRule="auto" w:before="3" w:after="0"/>
        <w:ind w:left="1754" w:right="1272" w:firstLine="340"/>
        <w:jc w:val="both"/>
        <w:rPr>
          <w:sz w:val="20"/>
        </w:rPr>
      </w:pPr>
      <w:r>
        <w:rPr>
          <w:sz w:val="20"/>
        </w:rPr>
        <w:t>La obtención del poder de disposición sobre bienes muebles corporales en el marco de un acuerdo de ventas de bienes en consigna en los términos previstos en el artículo 9 bis, apartado dos, de esta</w:t>
      </w:r>
      <w:r>
        <w:rPr>
          <w:spacing w:val="-12"/>
          <w:sz w:val="20"/>
        </w:rPr>
        <w:t> </w:t>
      </w:r>
      <w:r>
        <w:rPr>
          <w:sz w:val="20"/>
        </w:rPr>
        <w:t>Ley.»</w:t>
      </w:r>
    </w:p>
    <w:p>
      <w:pPr>
        <w:pStyle w:val="BodyText"/>
        <w:spacing w:line="249" w:lineRule="auto" w:before="123"/>
        <w:ind w:right="1278"/>
        <w:jc w:val="left"/>
      </w:pPr>
      <w:r>
        <w:rPr/>
        <w:t>Cinco. Se modifica el apartado uno, y se añade un apartado cuatro, al artículo 25, que quedan redactados de la siguiente forma:</w:t>
      </w:r>
    </w:p>
    <w:p>
      <w:pPr>
        <w:pStyle w:val="BodyText"/>
        <w:spacing w:line="249" w:lineRule="auto" w:before="171"/>
        <w:ind w:left="1754" w:right="1272"/>
      </w:pPr>
      <w:r>
        <w:rPr/>
        <w:t>«Uno. Las entregas de bienes definidas en el artículo 8 de esta Ley, expedidos o transportados, por el vendedor, por el adquirente o por un tercero en nombre y por cuenta de cualquiera de los anteriores, al territorio de otro Estado miembro, siempre que el adquirente sea un empresario o profesional o una persona jurídica que no actúe como tal, que disponga de un número de identificación a efectos del Impuesto sobre el Valor Añadido asignado por un Estado miembro distinto del Reino de España, que haya comunicado dicho número de identificación fiscal al vendedor.</w:t>
      </w:r>
    </w:p>
    <w:p>
      <w:pPr>
        <w:pStyle w:val="BodyText"/>
        <w:spacing w:line="249" w:lineRule="auto" w:before="6"/>
        <w:ind w:left="1754" w:right="1273"/>
      </w:pPr>
      <w:r>
        <w:rPr/>
        <w:t>La aplicación de esta exención quedará condicionada a que el vendedor haya incluido dichas operaciones en la declaración recapitulativa de operaciones intracomunitarias prevista en el artículo 164, apartado uno, número 5.º, de esta Ley, en las condiciones que se establezcan reglamentariamente.</w:t>
      </w:r>
    </w:p>
    <w:p>
      <w:pPr>
        <w:pStyle w:val="BodyText"/>
        <w:spacing w:line="249" w:lineRule="auto" w:before="3"/>
        <w:ind w:left="1754" w:right="1271"/>
      </w:pPr>
      <w:r>
        <w:rPr/>
        <w:t>La exención descrita en este apartado no se aplicará a las entregas de bienes efectuadas para aquellas personas cuyas adquisiciones intracomunitarias de bienes no estén sujetas al Impuesto en el Estado miembro de destino en virtud de los criterios contenidos en el artículo 14, apartados uno y dos, de esta Ley.</w:t>
      </w:r>
    </w:p>
    <w:p>
      <w:pPr>
        <w:pStyle w:val="BodyText"/>
        <w:spacing w:line="249" w:lineRule="auto" w:before="4"/>
        <w:ind w:left="1754" w:right="1273"/>
      </w:pPr>
      <w:r>
        <w:rPr/>
        <w:t>Tampoco se aplicará esta exención a las entregas de bienes acogidas al régimen especial de bienes usados, objetos de arte, antigüedades y objetos de colección, regulado en el capítulo IV del título IX de esta Ley.»</w:t>
      </w:r>
    </w:p>
    <w:p>
      <w:pPr>
        <w:pStyle w:val="BodyText"/>
        <w:spacing w:line="249" w:lineRule="auto" w:before="172"/>
        <w:ind w:left="1754" w:right="1273"/>
      </w:pPr>
      <w:r>
        <w:rPr/>
        <w:t>«Cuatro. Las entregas de bienes efectuadas en el marco de un acuerdo de ventas de bienes en consigna en las condiciones previstas en el artículo 9 bis, apartado dos, de esta</w:t>
      </w:r>
      <w:r>
        <w:rPr>
          <w:spacing w:val="-5"/>
        </w:rPr>
        <w:t> </w:t>
      </w:r>
      <w:r>
        <w:rPr/>
        <w:t>Ley.»</w:t>
      </w:r>
    </w:p>
    <w:p>
      <w:pPr>
        <w:pStyle w:val="BodyText"/>
        <w:spacing w:line="249" w:lineRule="auto" w:before="123"/>
        <w:ind w:right="1273"/>
        <w:jc w:val="left"/>
      </w:pPr>
      <w:r>
        <w:rPr/>
        <w:t>Seis. Se modifica el número 1.º del apartado dos del artículo 68, que queda redactado de la siguiente forma:</w:t>
      </w:r>
    </w:p>
    <w:p>
      <w:pPr>
        <w:pStyle w:val="BodyText"/>
        <w:spacing w:line="249" w:lineRule="auto" w:before="171"/>
        <w:ind w:left="1754" w:right="1271"/>
      </w:pPr>
      <w:r>
        <w:rPr/>
        <w:t>«1.º A) Las entregas de bienes muebles corporales que deban ser objeto de expedición o transporte para su puesta a disposición del adquirente, cuando la expedición o transporte se inicien en el referido territorio, sin perjuicio de lo dispuesto en el apartado cuatro de este artículo.</w:t>
      </w:r>
    </w:p>
    <w:p>
      <w:pPr>
        <w:pStyle w:val="BodyText"/>
        <w:spacing w:line="249" w:lineRule="auto" w:before="4"/>
        <w:ind w:left="1754" w:right="1273"/>
      </w:pPr>
      <w:r>
        <w:rPr/>
        <w:t>No obstante, lo dispuesto en el párrafo anterior, cuando el lugar de iniciación de la expedición o del transporte de los bienes que hayan de ser objeto de importación esté situado en un país tercero, las entregas de los mismos efectuadas por el importador y, en su caso, por sucesivos adquirentes se entenderán realizadas en el territorio de aplicación del</w:t>
      </w:r>
      <w:r>
        <w:rPr>
          <w:spacing w:val="-4"/>
        </w:rPr>
        <w:t> </w:t>
      </w:r>
      <w:r>
        <w:rPr/>
        <w:t>Impuesto.</w:t>
      </w:r>
    </w:p>
    <w:p>
      <w:pPr>
        <w:pStyle w:val="ListParagraph"/>
        <w:numPr>
          <w:ilvl w:val="0"/>
          <w:numId w:val="414"/>
        </w:numPr>
        <w:tabs>
          <w:tab w:pos="2396" w:val="left" w:leader="none"/>
        </w:tabs>
        <w:spacing w:line="249" w:lineRule="auto" w:before="4" w:after="0"/>
        <w:ind w:left="1754" w:right="1271" w:firstLine="340"/>
        <w:jc w:val="both"/>
        <w:rPr>
          <w:sz w:val="20"/>
        </w:rPr>
      </w:pPr>
      <w:r>
        <w:rPr>
          <w:sz w:val="20"/>
        </w:rPr>
        <w:t>A los efectos de lo dispuesto en el primer párrafo de la letra A) anterior, tratándose</w:t>
      </w:r>
      <w:r>
        <w:rPr>
          <w:spacing w:val="32"/>
          <w:sz w:val="20"/>
        </w:rPr>
        <w:t> </w:t>
      </w:r>
      <w:r>
        <w:rPr>
          <w:sz w:val="20"/>
        </w:rPr>
        <w:t>de</w:t>
      </w:r>
      <w:r>
        <w:rPr>
          <w:spacing w:val="32"/>
          <w:sz w:val="20"/>
        </w:rPr>
        <w:t> </w:t>
      </w:r>
      <w:r>
        <w:rPr>
          <w:sz w:val="20"/>
        </w:rPr>
        <w:t>bienes</w:t>
      </w:r>
      <w:r>
        <w:rPr>
          <w:spacing w:val="32"/>
          <w:sz w:val="20"/>
        </w:rPr>
        <w:t> </w:t>
      </w:r>
      <w:r>
        <w:rPr>
          <w:sz w:val="20"/>
        </w:rPr>
        <w:t>objeto</w:t>
      </w:r>
      <w:r>
        <w:rPr>
          <w:spacing w:val="32"/>
          <w:sz w:val="20"/>
        </w:rPr>
        <w:t> </w:t>
      </w:r>
      <w:r>
        <w:rPr>
          <w:sz w:val="20"/>
        </w:rPr>
        <w:t>de</w:t>
      </w:r>
      <w:r>
        <w:rPr>
          <w:spacing w:val="32"/>
          <w:sz w:val="20"/>
        </w:rPr>
        <w:t> </w:t>
      </w:r>
      <w:r>
        <w:rPr>
          <w:sz w:val="20"/>
        </w:rPr>
        <w:t>entregas</w:t>
      </w:r>
      <w:r>
        <w:rPr>
          <w:spacing w:val="32"/>
          <w:sz w:val="20"/>
        </w:rPr>
        <w:t> </w:t>
      </w:r>
      <w:r>
        <w:rPr>
          <w:sz w:val="20"/>
        </w:rPr>
        <w:t>sucesivas,</w:t>
      </w:r>
      <w:r>
        <w:rPr>
          <w:spacing w:val="32"/>
          <w:sz w:val="20"/>
        </w:rPr>
        <w:t> </w:t>
      </w:r>
      <w:r>
        <w:rPr>
          <w:sz w:val="20"/>
        </w:rPr>
        <w:t>enviados</w:t>
      </w:r>
      <w:r>
        <w:rPr>
          <w:spacing w:val="32"/>
          <w:sz w:val="20"/>
        </w:rPr>
        <w:t> </w:t>
      </w:r>
      <w:r>
        <w:rPr>
          <w:sz w:val="20"/>
        </w:rPr>
        <w:t>o</w:t>
      </w:r>
      <w:r>
        <w:rPr>
          <w:spacing w:val="32"/>
          <w:sz w:val="20"/>
        </w:rPr>
        <w:t> </w:t>
      </w:r>
      <w:r>
        <w:rPr>
          <w:sz w:val="20"/>
        </w:rPr>
        <w:t>transportados</w:t>
      </w:r>
      <w:r>
        <w:rPr>
          <w:spacing w:val="32"/>
          <w:sz w:val="20"/>
        </w:rPr>
        <w:t> </w:t>
      </w:r>
      <w:r>
        <w:rPr>
          <w:sz w:val="20"/>
        </w:rPr>
        <w:t>con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2" w:firstLine="0"/>
      </w:pPr>
      <w:r>
        <w:rPr/>
        <w:t>destino a otro Estado miembro directamente desde el primer proveedor al adquirente final de la cadena, la expedición o transporte se entenderá vinculada únicamente a la entrega de bienes efectuada a favor del intermediario.</w:t>
      </w:r>
    </w:p>
    <w:p>
      <w:pPr>
        <w:pStyle w:val="BodyText"/>
        <w:spacing w:line="249" w:lineRule="auto"/>
        <w:ind w:left="1754" w:right="1273"/>
      </w:pPr>
      <w:r>
        <w:rPr/>
        <w:t>No obstante, la expedición o el transporte se entenderá vinculada únicamente a la entrega efectuada por el intermediario cuando hubiera comunicado a su proveedor un número de identificación fiscal a efectos del Impuesto sobre el Valor Añadido suministrado por el Reino de</w:t>
      </w:r>
      <w:r>
        <w:rPr>
          <w:spacing w:val="-5"/>
        </w:rPr>
        <w:t> </w:t>
      </w:r>
      <w:r>
        <w:rPr/>
        <w:t>España.</w:t>
      </w:r>
    </w:p>
    <w:p>
      <w:pPr>
        <w:pStyle w:val="BodyText"/>
        <w:spacing w:line="249" w:lineRule="auto" w:before="3"/>
        <w:ind w:left="1754" w:right="1275"/>
      </w:pPr>
      <w:r>
        <w:rPr/>
        <w:t>A los efectos de los dos párrafos anteriores, se entenderá por intermediario un empresario o profesional distinto del primer proveedor, que expida o transporte los bienes directamente, o por un tercero en su nombre y por su cuenta.»</w:t>
      </w:r>
    </w:p>
    <w:p>
      <w:pPr>
        <w:pStyle w:val="BodyText"/>
        <w:spacing w:line="249" w:lineRule="auto" w:before="123"/>
        <w:ind w:right="1278"/>
        <w:jc w:val="left"/>
      </w:pPr>
      <w:r>
        <w:rPr/>
        <w:t>Siete. Se modifica el número 8.º del apartado uno del artículo 75, que queda redactado de la siguiente forma:</w:t>
      </w:r>
    </w:p>
    <w:p>
      <w:pPr>
        <w:pStyle w:val="BodyText"/>
        <w:spacing w:line="249" w:lineRule="auto" w:before="172"/>
        <w:ind w:left="1754" w:right="1274"/>
      </w:pPr>
      <w:r>
        <w:rPr/>
        <w:t>«8.º En las entregas de bienes comprendidas en el artículo 25 de esta Ley, distintas de las señaladas en el número anterior, el devengo del Impuesto se producirá el día 15 del mes siguiente a aquel:</w:t>
      </w:r>
    </w:p>
    <w:p>
      <w:pPr>
        <w:pStyle w:val="ListParagraph"/>
        <w:numPr>
          <w:ilvl w:val="1"/>
          <w:numId w:val="414"/>
        </w:numPr>
        <w:tabs>
          <w:tab w:pos="2348" w:val="left" w:leader="none"/>
        </w:tabs>
        <w:spacing w:line="249" w:lineRule="auto" w:before="172" w:after="0"/>
        <w:ind w:left="1754" w:right="1272" w:firstLine="340"/>
        <w:jc w:val="both"/>
        <w:rPr>
          <w:sz w:val="20"/>
        </w:rPr>
      </w:pPr>
      <w:r>
        <w:rPr>
          <w:sz w:val="20"/>
        </w:rPr>
        <w:t>En el que se inicie la expedición o el transporte de los bienes con destino al adquirente.</w:t>
      </w:r>
    </w:p>
    <w:p>
      <w:pPr>
        <w:pStyle w:val="ListParagraph"/>
        <w:numPr>
          <w:ilvl w:val="1"/>
          <w:numId w:val="414"/>
        </w:numPr>
        <w:tabs>
          <w:tab w:pos="2344" w:val="left" w:leader="none"/>
        </w:tabs>
        <w:spacing w:line="249" w:lineRule="auto" w:before="2" w:after="0"/>
        <w:ind w:left="1754" w:right="1275" w:firstLine="340"/>
        <w:jc w:val="both"/>
        <w:rPr>
          <w:sz w:val="20"/>
        </w:rPr>
      </w:pPr>
      <w:r>
        <w:rPr>
          <w:sz w:val="20"/>
        </w:rPr>
        <w:t>En el que los bienes se pongan a disposición del adquirente, en las entregas de bienes efectuadas en las condiciones señaladas en el artículo 9 bis, apartado dos, de esta</w:t>
      </w:r>
      <w:r>
        <w:rPr>
          <w:spacing w:val="-3"/>
          <w:sz w:val="20"/>
        </w:rPr>
        <w:t> </w:t>
      </w:r>
      <w:r>
        <w:rPr>
          <w:sz w:val="20"/>
        </w:rPr>
        <w:t>Ley.</w:t>
      </w:r>
    </w:p>
    <w:p>
      <w:pPr>
        <w:pStyle w:val="BodyText"/>
        <w:spacing w:line="249" w:lineRule="auto" w:before="172"/>
        <w:ind w:left="1754" w:right="1273"/>
      </w:pPr>
      <w:r>
        <w:rPr/>
        <w:t>A efectos de las letras a) y b) anteriores, si con anterioridad a la citada fecha se hubiera expedido factura por dichas operaciones, el devengo del Impuesto tendrá lugar en la fecha de expedición de la misma.</w:t>
      </w:r>
    </w:p>
    <w:p>
      <w:pPr>
        <w:pStyle w:val="ListParagraph"/>
        <w:numPr>
          <w:ilvl w:val="1"/>
          <w:numId w:val="414"/>
        </w:numPr>
        <w:tabs>
          <w:tab w:pos="2319" w:val="left" w:leader="none"/>
        </w:tabs>
        <w:spacing w:line="249" w:lineRule="auto" w:before="3" w:after="0"/>
        <w:ind w:left="1754" w:right="1273" w:firstLine="340"/>
        <w:jc w:val="both"/>
        <w:rPr>
          <w:sz w:val="20"/>
        </w:rPr>
      </w:pPr>
      <w:r>
        <w:rPr>
          <w:sz w:val="20"/>
        </w:rPr>
        <w:t>En el momento en que se produzca el incumplimiento de las condiciones a que se refiere el apartado tres del artículo 9 bis de esta</w:t>
      </w:r>
      <w:r>
        <w:rPr>
          <w:spacing w:val="-13"/>
          <w:sz w:val="20"/>
        </w:rPr>
        <w:t> </w:t>
      </w:r>
      <w:r>
        <w:rPr>
          <w:sz w:val="20"/>
        </w:rPr>
        <w:t>Ley.</w:t>
      </w:r>
    </w:p>
    <w:p>
      <w:pPr>
        <w:pStyle w:val="ListParagraph"/>
        <w:numPr>
          <w:ilvl w:val="1"/>
          <w:numId w:val="414"/>
        </w:numPr>
        <w:tabs>
          <w:tab w:pos="2359" w:val="left" w:leader="none"/>
        </w:tabs>
        <w:spacing w:line="249" w:lineRule="auto" w:before="1" w:after="0"/>
        <w:ind w:left="1754" w:right="1273" w:firstLine="340"/>
        <w:jc w:val="both"/>
        <w:rPr>
          <w:sz w:val="20"/>
        </w:rPr>
      </w:pPr>
      <w:r>
        <w:rPr>
          <w:sz w:val="20"/>
        </w:rPr>
        <w:t>Al día siguiente de la expiración del plazo de 12 meses a que se refiere el apartado cuatro del artículo 9 bis de esta</w:t>
      </w:r>
      <w:r>
        <w:rPr>
          <w:spacing w:val="-11"/>
          <w:sz w:val="20"/>
        </w:rPr>
        <w:t> </w:t>
      </w:r>
      <w:r>
        <w:rPr>
          <w:sz w:val="20"/>
        </w:rPr>
        <w:t>Ley.»</w:t>
      </w:r>
    </w:p>
    <w:p>
      <w:pPr>
        <w:pStyle w:val="BodyText"/>
        <w:spacing w:line="249" w:lineRule="auto" w:before="122"/>
        <w:ind w:right="1278"/>
        <w:jc w:val="left"/>
      </w:pPr>
      <w:r>
        <w:rPr/>
        <w:t>Ocho. Se modifica la letra c´) del número 2.º del apartado uno del artículo 84, que queda redactada de la siguiente forma:</w:t>
      </w:r>
    </w:p>
    <w:p>
      <w:pPr>
        <w:pStyle w:val="BodyText"/>
        <w:spacing w:line="249" w:lineRule="auto" w:before="172"/>
        <w:ind w:left="1754" w:right="1274"/>
      </w:pPr>
      <w:r>
        <w:rPr/>
        <w:t>«c’) Cuando se trate de entregas de bienes que estén exentas del Impuesto por aplicación de lo previsto en los artículos 21, números 1.º y 2.º, o 25 de esta Ley, así como de entregas de bienes referidas en este último artículo que estén sujetas y no exentas del Impuesto.»</w:t>
      </w:r>
    </w:p>
    <w:p>
      <w:pPr>
        <w:pStyle w:val="BodyText"/>
        <w:spacing w:line="249" w:lineRule="auto" w:before="123"/>
        <w:ind w:right="1647"/>
        <w:jc w:val="left"/>
      </w:pPr>
      <w:r>
        <w:rPr/>
        <w:t>Nueve. Se modifica el número 5.º del apartado uno del artículo 164, que queda redactado de la siguiente</w:t>
      </w:r>
      <w:r>
        <w:rPr>
          <w:spacing w:val="-3"/>
        </w:rPr>
        <w:t> </w:t>
      </w:r>
      <w:r>
        <w:rPr/>
        <w:t>forma:</w:t>
      </w:r>
    </w:p>
    <w:p>
      <w:pPr>
        <w:pStyle w:val="BodyText"/>
        <w:spacing w:line="249" w:lineRule="auto" w:before="172"/>
        <w:ind w:left="1754" w:right="1273"/>
      </w:pPr>
      <w:r>
        <w:rPr/>
        <w:t>«5.º Presentar periódicamente, o a requerimiento de la Administración, información relativa a sus operaciones económicas con terceras personas y, en particular, una declaración recapitulativa de operaciones intracomunitarias.»</w:t>
      </w:r>
    </w:p>
    <w:p>
      <w:pPr>
        <w:pStyle w:val="BodyText"/>
        <w:spacing w:before="3"/>
        <w:ind w:left="0" w:firstLine="0"/>
        <w:jc w:val="left"/>
        <w:rPr>
          <w:sz w:val="30"/>
        </w:rPr>
      </w:pPr>
    </w:p>
    <w:p>
      <w:pPr>
        <w:pStyle w:val="BodyText"/>
        <w:spacing w:before="0"/>
        <w:ind w:left="2929" w:right="3127" w:firstLine="0"/>
        <w:jc w:val="center"/>
      </w:pPr>
      <w:bookmarkStart w:name="CAPÍTULO II. Modificación de la Ley 38/1" w:id="362"/>
      <w:bookmarkEnd w:id="362"/>
      <w:r>
        <w:rPr/>
      </w:r>
      <w:bookmarkStart w:name="_bookmark73" w:id="363"/>
      <w:bookmarkEnd w:id="363"/>
      <w:r>
        <w:rPr/>
      </w:r>
      <w:r>
        <w:rPr/>
        <w:t>CAPÍTULO II</w:t>
      </w:r>
    </w:p>
    <w:p>
      <w:pPr>
        <w:pStyle w:val="Heading1"/>
        <w:spacing w:before="124"/>
        <w:ind w:right="1610"/>
      </w:pPr>
      <w:r>
        <w:rPr/>
        <w:t>Modificación de la Ley 38/1992, de 28 de diciembre, de Impuestos Especiales</w:t>
      </w:r>
    </w:p>
    <w:p>
      <w:pPr>
        <w:pStyle w:val="BodyText"/>
        <w:spacing w:before="6"/>
        <w:ind w:left="0" w:firstLine="0"/>
        <w:jc w:val="left"/>
        <w:rPr>
          <w:b/>
        </w:rPr>
      </w:pPr>
    </w:p>
    <w:p>
      <w:pPr>
        <w:spacing w:before="0"/>
        <w:ind w:left="1074" w:right="0" w:firstLine="0"/>
        <w:jc w:val="left"/>
        <w:rPr>
          <w:i/>
          <w:sz w:val="20"/>
        </w:rPr>
      </w:pPr>
      <w:bookmarkStart w:name="Artículo 215. Modificación de la Ley 38/" w:id="364"/>
      <w:bookmarkEnd w:id="364"/>
      <w:r>
        <w:rPr/>
      </w:r>
      <w:r>
        <w:rPr>
          <w:b/>
          <w:sz w:val="20"/>
        </w:rPr>
        <w:t>Artículo 215. </w:t>
      </w:r>
      <w:r>
        <w:rPr>
          <w:i/>
          <w:sz w:val="20"/>
        </w:rPr>
        <w:t>Modificación de la Ley 38/1992, de 28 de diciembre, de Impuestos Especiales.</w:t>
      </w:r>
    </w:p>
    <w:p>
      <w:pPr>
        <w:pStyle w:val="BodyText"/>
        <w:spacing w:line="249" w:lineRule="auto" w:before="118"/>
        <w:ind w:right="1278"/>
        <w:jc w:val="left"/>
      </w:pPr>
      <w:r>
        <w:rPr/>
        <w:t>Se modifican los apartados 7 y 30 del artículo 4 de la Ley 38/1992, de 28 de diciembre, de Impuestos Especiales, que quedan redactados de la siguiente forma:</w:t>
      </w:r>
    </w:p>
    <w:p>
      <w:pPr>
        <w:pStyle w:val="BodyText"/>
        <w:spacing w:line="249" w:lineRule="auto" w:before="172"/>
        <w:ind w:left="1754" w:right="1272"/>
      </w:pPr>
      <w:r>
        <w:rPr/>
        <w:t>«7. “Comunidad” y “Territorio de la Comunidad”: Los territorios de los Estados miembros, tal como están definidos para cada Estado miembro en el artículo 299 del Tratado Constitutivo de la Comunidad Europea, con excepción de los territorios nacionales siguientes:</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ListParagraph"/>
        <w:numPr>
          <w:ilvl w:val="0"/>
          <w:numId w:val="415"/>
        </w:numPr>
        <w:tabs>
          <w:tab w:pos="2282" w:val="left" w:leader="none"/>
        </w:tabs>
        <w:spacing w:line="249" w:lineRule="auto" w:before="126" w:after="0"/>
        <w:ind w:left="1754" w:right="1271" w:firstLine="340"/>
        <w:jc w:val="left"/>
        <w:rPr>
          <w:sz w:val="20"/>
        </w:rPr>
      </w:pPr>
      <w:r>
        <w:rPr>
          <w:sz w:val="20"/>
        </w:rPr>
        <w:t>En la República Federal de Alemania: La Isla de Helgoland y el territorio de Büsingen.</w:t>
      </w:r>
    </w:p>
    <w:p>
      <w:pPr>
        <w:pStyle w:val="ListParagraph"/>
        <w:numPr>
          <w:ilvl w:val="0"/>
          <w:numId w:val="415"/>
        </w:numPr>
        <w:tabs>
          <w:tab w:pos="2251" w:val="left" w:leader="none"/>
        </w:tabs>
        <w:spacing w:line="240" w:lineRule="auto" w:before="2" w:after="0"/>
        <w:ind w:left="2250" w:right="0" w:hanging="157"/>
        <w:jc w:val="left"/>
        <w:rPr>
          <w:sz w:val="20"/>
        </w:rPr>
      </w:pPr>
      <w:r>
        <w:rPr>
          <w:sz w:val="20"/>
        </w:rPr>
        <w:t>En la República Francesa: Los departamentos franceses de</w:t>
      </w:r>
      <w:r>
        <w:rPr>
          <w:spacing w:val="-11"/>
          <w:sz w:val="20"/>
        </w:rPr>
        <w:t> </w:t>
      </w:r>
      <w:r>
        <w:rPr>
          <w:sz w:val="20"/>
        </w:rPr>
        <w:t>ultramar.</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En la República Italiana:</w:t>
      </w:r>
      <w:r>
        <w:rPr>
          <w:spacing w:val="-3"/>
          <w:sz w:val="20"/>
        </w:rPr>
        <w:t> </w:t>
      </w:r>
      <w:r>
        <w:rPr>
          <w:sz w:val="20"/>
        </w:rPr>
        <w:t>Livigno.</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En la República de Finlandia: Las Islas</w:t>
      </w:r>
      <w:r>
        <w:rPr>
          <w:spacing w:val="-5"/>
          <w:sz w:val="20"/>
        </w:rPr>
        <w:t> </w:t>
      </w:r>
      <w:r>
        <w:rPr>
          <w:sz w:val="20"/>
        </w:rPr>
        <w:t>Aland.</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En el Reino Unido: Islas del</w:t>
      </w:r>
      <w:r>
        <w:rPr>
          <w:spacing w:val="-6"/>
          <w:sz w:val="20"/>
        </w:rPr>
        <w:t> </w:t>
      </w:r>
      <w:r>
        <w:rPr>
          <w:sz w:val="20"/>
        </w:rPr>
        <w:t>Canal.</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En el Reino de España: Islas Canarias, Ceuta y</w:t>
      </w:r>
      <w:r>
        <w:rPr>
          <w:spacing w:val="-8"/>
          <w:sz w:val="20"/>
        </w:rPr>
        <w:t> </w:t>
      </w:r>
      <w:r>
        <w:rPr>
          <w:sz w:val="20"/>
        </w:rPr>
        <w:t>Melilla.»</w:t>
      </w:r>
    </w:p>
    <w:p>
      <w:pPr>
        <w:pStyle w:val="BodyText"/>
        <w:spacing w:before="180"/>
        <w:ind w:left="2094" w:firstLine="0"/>
        <w:jc w:val="left"/>
      </w:pPr>
      <w:r>
        <w:rPr/>
        <w:t>«30. “Territorio</w:t>
      </w:r>
      <w:r>
        <w:rPr>
          <w:spacing w:val="-4"/>
        </w:rPr>
        <w:t> </w:t>
      </w:r>
      <w:r>
        <w:rPr/>
        <w:t>tercero”:</w:t>
      </w:r>
    </w:p>
    <w:p>
      <w:pPr>
        <w:pStyle w:val="ListParagraph"/>
        <w:numPr>
          <w:ilvl w:val="0"/>
          <w:numId w:val="416"/>
        </w:numPr>
        <w:tabs>
          <w:tab w:pos="2337" w:val="left" w:leader="none"/>
        </w:tabs>
        <w:spacing w:line="249" w:lineRule="auto" w:before="180" w:after="0"/>
        <w:ind w:left="1754" w:right="1273" w:firstLine="340"/>
        <w:jc w:val="both"/>
        <w:rPr>
          <w:sz w:val="20"/>
        </w:rPr>
      </w:pPr>
      <w:r>
        <w:rPr>
          <w:sz w:val="20"/>
        </w:rPr>
        <w:t>Los territorios comprendidos en el territorio aduanero de la Comunidad que se citan a</w:t>
      </w:r>
      <w:r>
        <w:rPr>
          <w:spacing w:val="-1"/>
          <w:sz w:val="20"/>
        </w:rPr>
        <w:t> </w:t>
      </w:r>
      <w:r>
        <w:rPr>
          <w:sz w:val="20"/>
        </w:rPr>
        <w:t>continuación:</w:t>
      </w:r>
    </w:p>
    <w:p>
      <w:pPr>
        <w:pStyle w:val="ListParagraph"/>
        <w:numPr>
          <w:ilvl w:val="0"/>
          <w:numId w:val="415"/>
        </w:numPr>
        <w:tabs>
          <w:tab w:pos="2251" w:val="left" w:leader="none"/>
        </w:tabs>
        <w:spacing w:line="240" w:lineRule="auto" w:before="172" w:after="0"/>
        <w:ind w:left="2250" w:right="0" w:hanging="157"/>
        <w:jc w:val="left"/>
        <w:rPr>
          <w:sz w:val="20"/>
        </w:rPr>
      </w:pPr>
      <w:r>
        <w:rPr>
          <w:sz w:val="20"/>
        </w:rPr>
        <w:t>Islas</w:t>
      </w:r>
      <w:r>
        <w:rPr>
          <w:spacing w:val="-1"/>
          <w:sz w:val="20"/>
        </w:rPr>
        <w:t> </w:t>
      </w:r>
      <w:r>
        <w:rPr>
          <w:sz w:val="20"/>
        </w:rPr>
        <w:t>Canarias.</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Departamentos franceses de</w:t>
      </w:r>
      <w:r>
        <w:rPr>
          <w:spacing w:val="-3"/>
          <w:sz w:val="20"/>
        </w:rPr>
        <w:t> </w:t>
      </w:r>
      <w:r>
        <w:rPr>
          <w:sz w:val="20"/>
        </w:rPr>
        <w:t>Ultramar.</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Islas Aland.</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Islas del</w:t>
      </w:r>
      <w:r>
        <w:rPr>
          <w:spacing w:val="-2"/>
          <w:sz w:val="20"/>
        </w:rPr>
        <w:t> </w:t>
      </w:r>
      <w:r>
        <w:rPr>
          <w:sz w:val="20"/>
        </w:rPr>
        <w:t>Canal.</w:t>
      </w:r>
    </w:p>
    <w:p>
      <w:pPr>
        <w:pStyle w:val="ListParagraph"/>
        <w:numPr>
          <w:ilvl w:val="0"/>
          <w:numId w:val="416"/>
        </w:numPr>
        <w:tabs>
          <w:tab w:pos="2329" w:val="left" w:leader="none"/>
        </w:tabs>
        <w:spacing w:line="240" w:lineRule="auto" w:before="180" w:after="0"/>
        <w:ind w:left="2328" w:right="0" w:hanging="235"/>
        <w:jc w:val="left"/>
        <w:rPr>
          <w:sz w:val="20"/>
        </w:rPr>
      </w:pPr>
      <w:r>
        <w:rPr>
          <w:sz w:val="20"/>
        </w:rPr>
        <w:t>Los territorios a los que se refiere el artículo 299, apartado 4, del</w:t>
      </w:r>
      <w:r>
        <w:rPr>
          <w:spacing w:val="-18"/>
          <w:sz w:val="20"/>
        </w:rPr>
        <w:t> </w:t>
      </w:r>
      <w:r>
        <w:rPr>
          <w:sz w:val="20"/>
        </w:rPr>
        <w:t>Tratado.</w:t>
      </w:r>
    </w:p>
    <w:p>
      <w:pPr>
        <w:pStyle w:val="ListParagraph"/>
        <w:numPr>
          <w:ilvl w:val="0"/>
          <w:numId w:val="416"/>
        </w:numPr>
        <w:tabs>
          <w:tab w:pos="2373" w:val="left" w:leader="none"/>
        </w:tabs>
        <w:spacing w:line="249" w:lineRule="auto" w:before="10" w:after="0"/>
        <w:ind w:left="1754" w:right="1270" w:firstLine="340"/>
        <w:jc w:val="both"/>
        <w:rPr>
          <w:sz w:val="20"/>
        </w:rPr>
      </w:pPr>
      <w:r>
        <w:rPr>
          <w:sz w:val="20"/>
        </w:rPr>
        <w:t>Los siguientes territorios no comprendidos en el territorio aduanero de la Comunidad:</w:t>
      </w:r>
    </w:p>
    <w:p>
      <w:pPr>
        <w:pStyle w:val="ListParagraph"/>
        <w:numPr>
          <w:ilvl w:val="0"/>
          <w:numId w:val="415"/>
        </w:numPr>
        <w:tabs>
          <w:tab w:pos="2251" w:val="left" w:leader="none"/>
        </w:tabs>
        <w:spacing w:line="240" w:lineRule="auto" w:before="172" w:after="0"/>
        <w:ind w:left="2250" w:right="0" w:hanging="157"/>
        <w:jc w:val="left"/>
        <w:rPr>
          <w:sz w:val="20"/>
        </w:rPr>
      </w:pPr>
      <w:r>
        <w:rPr>
          <w:sz w:val="20"/>
        </w:rPr>
        <w:t>Isla de</w:t>
      </w:r>
      <w:r>
        <w:rPr>
          <w:spacing w:val="-2"/>
          <w:sz w:val="20"/>
        </w:rPr>
        <w:t> </w:t>
      </w:r>
      <w:r>
        <w:rPr>
          <w:sz w:val="20"/>
        </w:rPr>
        <w:t>Helgoland.</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Territorio de</w:t>
      </w:r>
      <w:r>
        <w:rPr>
          <w:spacing w:val="-2"/>
          <w:sz w:val="20"/>
        </w:rPr>
        <w:t> </w:t>
      </w:r>
      <w:r>
        <w:rPr>
          <w:sz w:val="20"/>
        </w:rPr>
        <w:t>Büsingen.</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Ceuta.</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Melilla.</w:t>
      </w:r>
    </w:p>
    <w:p>
      <w:pPr>
        <w:pStyle w:val="ListParagraph"/>
        <w:numPr>
          <w:ilvl w:val="0"/>
          <w:numId w:val="415"/>
        </w:numPr>
        <w:tabs>
          <w:tab w:pos="2251" w:val="left" w:leader="none"/>
        </w:tabs>
        <w:spacing w:line="240" w:lineRule="auto" w:before="10" w:after="0"/>
        <w:ind w:left="2250" w:right="0" w:hanging="157"/>
        <w:jc w:val="left"/>
        <w:rPr>
          <w:sz w:val="20"/>
        </w:rPr>
      </w:pPr>
      <w:r>
        <w:rPr>
          <w:sz w:val="20"/>
        </w:rPr>
        <w:t>Livigno.»</w:t>
      </w:r>
    </w:p>
    <w:p>
      <w:pPr>
        <w:pStyle w:val="BodyText"/>
        <w:spacing w:before="11"/>
        <w:ind w:left="0" w:firstLine="0"/>
        <w:jc w:val="left"/>
        <w:rPr>
          <w:sz w:val="30"/>
        </w:rPr>
      </w:pPr>
    </w:p>
    <w:p>
      <w:pPr>
        <w:pStyle w:val="BodyText"/>
        <w:spacing w:before="0"/>
        <w:ind w:left="2929" w:right="3127" w:firstLine="0"/>
        <w:jc w:val="center"/>
      </w:pPr>
      <w:bookmarkStart w:name="CAPÍTULO III. Modificación del Reglament" w:id="365"/>
      <w:bookmarkEnd w:id="365"/>
      <w:r>
        <w:rPr/>
      </w:r>
      <w:bookmarkStart w:name="_bookmark74" w:id="366"/>
      <w:bookmarkEnd w:id="366"/>
      <w:r>
        <w:rPr/>
      </w:r>
      <w:r>
        <w:rPr/>
        <w:t>CAPÍTULO III</w:t>
      </w:r>
    </w:p>
    <w:p>
      <w:pPr>
        <w:pStyle w:val="Heading1"/>
        <w:spacing w:line="249" w:lineRule="auto"/>
        <w:ind w:left="1538" w:right="1738"/>
      </w:pPr>
      <w:r>
        <w:rPr/>
        <w:t>Modificación del Reglamento del Impuesto sobre el Valor Añadido, aprobado por el Real Decreto 1624/1992, de 29 de diciembre</w:t>
      </w:r>
    </w:p>
    <w:p>
      <w:pPr>
        <w:pStyle w:val="BodyText"/>
        <w:spacing w:before="10"/>
        <w:ind w:left="0" w:firstLine="0"/>
        <w:jc w:val="left"/>
        <w:rPr>
          <w:b/>
          <w:sz w:val="19"/>
        </w:rPr>
      </w:pPr>
    </w:p>
    <w:p>
      <w:pPr>
        <w:spacing w:line="249" w:lineRule="auto" w:before="0"/>
        <w:ind w:left="1074" w:right="1278" w:firstLine="0"/>
        <w:jc w:val="left"/>
        <w:rPr>
          <w:i/>
          <w:sz w:val="20"/>
        </w:rPr>
      </w:pPr>
      <w:bookmarkStart w:name="Artículo 216. Modificación del Reglament" w:id="367"/>
      <w:bookmarkEnd w:id="367"/>
      <w:r>
        <w:rPr/>
      </w:r>
      <w:r>
        <w:rPr>
          <w:b/>
          <w:sz w:val="20"/>
        </w:rPr>
        <w:t>Artículo 216. </w:t>
      </w:r>
      <w:r>
        <w:rPr>
          <w:i/>
          <w:sz w:val="20"/>
        </w:rPr>
        <w:t>Modificación del Reglamento del Impuesto sobre el Valor Añadido, aprobado </w:t>
      </w:r>
      <w:r>
        <w:rPr>
          <w:i/>
          <w:sz w:val="20"/>
        </w:rPr>
        <w:t>por el Real Decreto 1624/1992, de 29 de diciembre.</w:t>
      </w:r>
    </w:p>
    <w:p>
      <w:pPr>
        <w:pStyle w:val="BodyText"/>
        <w:spacing w:line="249" w:lineRule="auto" w:before="109"/>
        <w:ind w:right="1278"/>
        <w:jc w:val="left"/>
      </w:pPr>
      <w:r>
        <w:rPr/>
        <w:t>Se introducen las siguientes modificaciones en el Reglamento del Impuesto sobre el Valor Añadido, aprobado por el Real Decreto 1624/1992, de 29 de</w:t>
      </w:r>
      <w:r>
        <w:rPr>
          <w:spacing w:val="-21"/>
        </w:rPr>
        <w:t> </w:t>
      </w:r>
      <w:r>
        <w:rPr/>
        <w:t>diciembre:</w:t>
      </w:r>
    </w:p>
    <w:p>
      <w:pPr>
        <w:pStyle w:val="BodyText"/>
        <w:spacing w:line="249" w:lineRule="auto" w:before="122"/>
        <w:ind w:right="1311"/>
        <w:jc w:val="left"/>
      </w:pPr>
      <w:r>
        <w:rPr/>
        <w:t>Uno. Se modifican los apartados 2 y 3, y el número 1.º del apartado 4, del artículo 13, que quedan redactados de la siguiente</w:t>
      </w:r>
      <w:r>
        <w:rPr>
          <w:spacing w:val="-5"/>
        </w:rPr>
        <w:t> </w:t>
      </w:r>
      <w:r>
        <w:rPr/>
        <w:t>forma:</w:t>
      </w:r>
    </w:p>
    <w:p>
      <w:pPr>
        <w:pStyle w:val="BodyText"/>
        <w:spacing w:line="249" w:lineRule="auto" w:before="172"/>
        <w:ind w:left="1754" w:right="1272"/>
      </w:pPr>
      <w:r>
        <w:rPr/>
        <w:t>«2. La expedición o transporte de los bienes al Estado miembro de destino se justificará por cualquier medio de prueba admitido en derecho y, en particular, mediante los elementos de prueba establecidos en cada caso, por el artículo 45 bis del Reglamento de Ejecución (UE) n.º 282/2011 del Consejo, de 15 de marzo de 2011, por el que se establecen disposiciones de aplicación de la Directiva 2006/112/CE relativa al sistema común del impuesto sobre el valor añadido, según haya sido realizado por el vendedor, por el comprador o por cuenta de cualquiera de ellos.</w:t>
      </w:r>
    </w:p>
    <w:p>
      <w:pPr>
        <w:pStyle w:val="BodyText"/>
        <w:spacing w:line="249" w:lineRule="auto" w:before="6"/>
        <w:ind w:left="1754" w:right="1274"/>
      </w:pPr>
      <w:r>
        <w:rPr/>
        <w:t>3. La condición del adquirente se acreditará mediante el número de identificación a efectos del Impuesto sobre el Valor Añadido que suministre al vendedor.»</w:t>
      </w:r>
    </w:p>
    <w:p>
      <w:pPr>
        <w:pStyle w:val="BodyText"/>
        <w:spacing w:line="249" w:lineRule="auto" w:before="172"/>
        <w:ind w:left="1754" w:right="1274"/>
      </w:pPr>
      <w:r>
        <w:rPr/>
        <w:t>«1.º La expedición o transporte de los bienes al Estado miembro de destino en los mismos términos del apartado 2</w:t>
      </w:r>
      <w:r>
        <w:rPr>
          <w:spacing w:val="-6"/>
        </w:rPr>
        <w:t> </w:t>
      </w:r>
      <w:r>
        <w:rPr/>
        <w:t>anterior.»</w:t>
      </w:r>
    </w:p>
    <w:p>
      <w:pPr>
        <w:pStyle w:val="BodyText"/>
        <w:spacing w:line="249" w:lineRule="auto" w:before="122"/>
        <w:ind w:right="1647"/>
        <w:jc w:val="left"/>
      </w:pPr>
      <w:r>
        <w:rPr/>
        <w:t>Dos. Se añade un número 3.º al apartado 1 y se modifican los apartados 2 y 3 del artículo 66, que quedan redactados de la siguiente</w:t>
      </w:r>
      <w:r>
        <w:rPr>
          <w:spacing w:val="-9"/>
        </w:rPr>
        <w:t> </w:t>
      </w:r>
      <w:r>
        <w:rPr/>
        <w:t>forma:</w:t>
      </w:r>
    </w:p>
    <w:p>
      <w:pPr>
        <w:pStyle w:val="BodyText"/>
        <w:spacing w:line="249" w:lineRule="auto" w:before="171"/>
        <w:ind w:left="1754" w:right="1274"/>
      </w:pPr>
      <w:r>
        <w:rPr/>
        <w:t>«3.º El envío o recepción de los bienes comprendidos en un acuerdo de ventas de bienes en consigna a que se refiere el artículo 9 bis de la Ley del</w:t>
      </w:r>
      <w:r>
        <w:rPr>
          <w:spacing w:val="-29"/>
        </w:rPr>
        <w:t> </w:t>
      </w:r>
      <w:r>
        <w:rPr/>
        <w:t>Impuesto.»</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before="126"/>
        <w:ind w:left="2094" w:firstLine="0"/>
        <w:jc w:val="left"/>
      </w:pPr>
      <w:r>
        <w:rPr/>
        <w:t>«2. En el mencionado Libro Registro deberán constar los siguientes datos:</w:t>
      </w:r>
    </w:p>
    <w:p>
      <w:pPr>
        <w:pStyle w:val="ListParagraph"/>
        <w:numPr>
          <w:ilvl w:val="0"/>
          <w:numId w:val="417"/>
        </w:numPr>
        <w:tabs>
          <w:tab w:pos="2415" w:val="left" w:leader="none"/>
        </w:tabs>
        <w:spacing w:line="249" w:lineRule="auto" w:before="180" w:after="0"/>
        <w:ind w:left="1754" w:right="1274" w:firstLine="340"/>
        <w:jc w:val="left"/>
        <w:rPr>
          <w:sz w:val="20"/>
        </w:rPr>
      </w:pPr>
      <w:r>
        <w:rPr>
          <w:sz w:val="20"/>
        </w:rPr>
        <w:t>En relación con las operaciones referidas en los números 1.º y 2.º del apartado</w:t>
      </w:r>
      <w:r>
        <w:rPr>
          <w:spacing w:val="-2"/>
          <w:sz w:val="20"/>
        </w:rPr>
        <w:t> </w:t>
      </w:r>
      <w:r>
        <w:rPr>
          <w:sz w:val="20"/>
        </w:rPr>
        <w:t>anterior:</w:t>
      </w:r>
    </w:p>
    <w:p>
      <w:pPr>
        <w:pStyle w:val="ListParagraph"/>
        <w:numPr>
          <w:ilvl w:val="0"/>
          <w:numId w:val="418"/>
        </w:numPr>
        <w:tabs>
          <w:tab w:pos="2263" w:val="left" w:leader="none"/>
        </w:tabs>
        <w:spacing w:line="240" w:lineRule="auto" w:before="172" w:after="0"/>
        <w:ind w:left="2262" w:right="0" w:hanging="169"/>
        <w:jc w:val="left"/>
        <w:rPr>
          <w:sz w:val="20"/>
        </w:rPr>
      </w:pPr>
      <w:r>
        <w:rPr>
          <w:sz w:val="20"/>
        </w:rPr>
        <w:t>º Operación y fecha de la</w:t>
      </w:r>
      <w:r>
        <w:rPr>
          <w:spacing w:val="-4"/>
          <w:sz w:val="20"/>
        </w:rPr>
        <w:t> </w:t>
      </w:r>
      <w:r>
        <w:rPr>
          <w:sz w:val="20"/>
        </w:rPr>
        <w:t>misma.</w:t>
      </w:r>
    </w:p>
    <w:p>
      <w:pPr>
        <w:pStyle w:val="ListParagraph"/>
        <w:numPr>
          <w:ilvl w:val="0"/>
          <w:numId w:val="418"/>
        </w:numPr>
        <w:tabs>
          <w:tab w:pos="2263" w:val="left" w:leader="none"/>
        </w:tabs>
        <w:spacing w:line="249" w:lineRule="auto" w:before="10" w:after="0"/>
        <w:ind w:left="1754" w:right="1275" w:firstLine="340"/>
        <w:jc w:val="left"/>
        <w:rPr>
          <w:sz w:val="20"/>
        </w:rPr>
      </w:pPr>
      <w:r>
        <w:rPr>
          <w:sz w:val="20"/>
        </w:rPr>
        <w:t>º Descripción de los bienes objeto de la operación con referencia, en su caso, a su factura de adquisición o título de</w:t>
      </w:r>
      <w:r>
        <w:rPr>
          <w:spacing w:val="-7"/>
          <w:sz w:val="20"/>
        </w:rPr>
        <w:t> </w:t>
      </w:r>
      <w:r>
        <w:rPr>
          <w:sz w:val="20"/>
        </w:rPr>
        <w:t>posesión.</w:t>
      </w:r>
    </w:p>
    <w:p>
      <w:pPr>
        <w:pStyle w:val="ListParagraph"/>
        <w:numPr>
          <w:ilvl w:val="0"/>
          <w:numId w:val="418"/>
        </w:numPr>
        <w:tabs>
          <w:tab w:pos="2263" w:val="left" w:leader="none"/>
        </w:tabs>
        <w:spacing w:line="249" w:lineRule="auto" w:before="2" w:after="0"/>
        <w:ind w:left="2094" w:right="1273" w:firstLine="0"/>
        <w:jc w:val="left"/>
        <w:rPr>
          <w:sz w:val="20"/>
        </w:rPr>
      </w:pPr>
      <w:r>
        <w:rPr>
          <w:sz w:val="20"/>
        </w:rPr>
        <w:t>º Otras facturas o documentación relativas a las operaciones de que se trate. 4.º Identificación del destinatario o remitente, indicando su número</w:t>
      </w:r>
      <w:r>
        <w:rPr>
          <w:spacing w:val="42"/>
          <w:sz w:val="20"/>
        </w:rPr>
        <w:t> </w:t>
      </w:r>
      <w:r>
        <w:rPr>
          <w:sz w:val="20"/>
        </w:rPr>
        <w:t>de</w:t>
      </w:r>
    </w:p>
    <w:p>
      <w:pPr>
        <w:pStyle w:val="BodyText"/>
        <w:spacing w:before="1"/>
        <w:ind w:left="1754" w:firstLine="0"/>
        <w:jc w:val="left"/>
      </w:pPr>
      <w:r>
        <w:rPr/>
        <w:t>identificación a efectos del Impuesto sobre el Valor Añadido, razón social y domicilio.</w:t>
      </w:r>
    </w:p>
    <w:p>
      <w:pPr>
        <w:pStyle w:val="ListParagraph"/>
        <w:numPr>
          <w:ilvl w:val="0"/>
          <w:numId w:val="419"/>
        </w:numPr>
        <w:tabs>
          <w:tab w:pos="2263" w:val="left" w:leader="none"/>
        </w:tabs>
        <w:spacing w:line="240" w:lineRule="auto" w:before="10" w:after="0"/>
        <w:ind w:left="2262" w:right="0" w:hanging="169"/>
        <w:jc w:val="left"/>
        <w:rPr>
          <w:sz w:val="20"/>
        </w:rPr>
      </w:pPr>
      <w:r>
        <w:rPr>
          <w:sz w:val="20"/>
        </w:rPr>
        <w:t>º Estado miembro de origen o destino de los</w:t>
      </w:r>
      <w:r>
        <w:rPr>
          <w:spacing w:val="-10"/>
          <w:sz w:val="20"/>
        </w:rPr>
        <w:t> </w:t>
      </w:r>
      <w:r>
        <w:rPr>
          <w:sz w:val="20"/>
        </w:rPr>
        <w:t>bienes.</w:t>
      </w:r>
    </w:p>
    <w:p>
      <w:pPr>
        <w:pStyle w:val="ListParagraph"/>
        <w:numPr>
          <w:ilvl w:val="0"/>
          <w:numId w:val="419"/>
        </w:numPr>
        <w:tabs>
          <w:tab w:pos="2263" w:val="left" w:leader="none"/>
        </w:tabs>
        <w:spacing w:line="249" w:lineRule="auto" w:before="10" w:after="0"/>
        <w:ind w:left="1754" w:right="1273" w:firstLine="340"/>
        <w:jc w:val="left"/>
        <w:rPr>
          <w:sz w:val="20"/>
        </w:rPr>
      </w:pPr>
      <w:r>
        <w:rPr>
          <w:sz w:val="20"/>
        </w:rPr>
        <w:t>º Plazo que, en su caso, se haya fijado para la realización de las operaciones mencionadas.</w:t>
      </w:r>
    </w:p>
    <w:p>
      <w:pPr>
        <w:pStyle w:val="ListParagraph"/>
        <w:numPr>
          <w:ilvl w:val="0"/>
          <w:numId w:val="417"/>
        </w:numPr>
        <w:tabs>
          <w:tab w:pos="2404" w:val="left" w:leader="none"/>
        </w:tabs>
        <w:spacing w:line="249" w:lineRule="auto" w:before="172" w:after="0"/>
        <w:ind w:left="1754" w:right="1275" w:firstLine="340"/>
        <w:jc w:val="left"/>
        <w:rPr>
          <w:sz w:val="20"/>
        </w:rPr>
      </w:pPr>
      <w:r>
        <w:rPr>
          <w:sz w:val="20"/>
        </w:rPr>
        <w:t>En relación con las operaciones referidas en el número 3.º del apartado anterior:</w:t>
      </w:r>
    </w:p>
    <w:p>
      <w:pPr>
        <w:pStyle w:val="ListParagraph"/>
        <w:numPr>
          <w:ilvl w:val="0"/>
          <w:numId w:val="420"/>
        </w:numPr>
        <w:tabs>
          <w:tab w:pos="2329" w:val="left" w:leader="none"/>
        </w:tabs>
        <w:spacing w:line="240" w:lineRule="auto" w:before="172" w:after="0"/>
        <w:ind w:left="2328" w:right="0" w:hanging="235"/>
        <w:jc w:val="left"/>
        <w:rPr>
          <w:sz w:val="20"/>
        </w:rPr>
      </w:pPr>
      <w:r>
        <w:rPr>
          <w:sz w:val="20"/>
        </w:rPr>
        <w:t>El vendedor deberá hacer constar los siguientes</w:t>
      </w:r>
      <w:r>
        <w:rPr>
          <w:spacing w:val="-5"/>
          <w:sz w:val="20"/>
        </w:rPr>
        <w:t> </w:t>
      </w:r>
      <w:r>
        <w:rPr>
          <w:sz w:val="20"/>
        </w:rPr>
        <w:t>datos:</w:t>
      </w:r>
    </w:p>
    <w:p>
      <w:pPr>
        <w:pStyle w:val="ListParagraph"/>
        <w:numPr>
          <w:ilvl w:val="0"/>
          <w:numId w:val="421"/>
        </w:numPr>
        <w:tabs>
          <w:tab w:pos="2263" w:val="left" w:leader="none"/>
        </w:tabs>
        <w:spacing w:line="249" w:lineRule="auto" w:before="180" w:after="0"/>
        <w:ind w:left="1754" w:right="1274" w:firstLine="340"/>
        <w:jc w:val="both"/>
        <w:rPr>
          <w:sz w:val="20"/>
        </w:rPr>
      </w:pPr>
      <w:r>
        <w:rPr>
          <w:sz w:val="20"/>
        </w:rPr>
        <w:t>º El Estado miembro a partir del cual los bienes han sido expedidos o transportados y la fecha de expedición o transporte de los</w:t>
      </w:r>
      <w:r>
        <w:rPr>
          <w:spacing w:val="-11"/>
          <w:sz w:val="20"/>
        </w:rPr>
        <w:t> </w:t>
      </w:r>
      <w:r>
        <w:rPr>
          <w:sz w:val="20"/>
        </w:rPr>
        <w:t>bienes.</w:t>
      </w:r>
    </w:p>
    <w:p>
      <w:pPr>
        <w:pStyle w:val="ListParagraph"/>
        <w:numPr>
          <w:ilvl w:val="0"/>
          <w:numId w:val="421"/>
        </w:numPr>
        <w:tabs>
          <w:tab w:pos="2263" w:val="left" w:leader="none"/>
        </w:tabs>
        <w:spacing w:line="249" w:lineRule="auto" w:before="2" w:after="0"/>
        <w:ind w:left="1754" w:right="1273" w:firstLine="340"/>
        <w:jc w:val="both"/>
        <w:rPr>
          <w:sz w:val="20"/>
        </w:rPr>
      </w:pPr>
      <w:r>
        <w:rPr>
          <w:sz w:val="20"/>
        </w:rPr>
        <w:t>º El número de identificación a efectos del Impuesto sobre el Valor Añadido del empresario o profesional al que van destinados los bienes, asignado por el Estado miembro al que se expiden o transportan los</w:t>
      </w:r>
      <w:r>
        <w:rPr>
          <w:spacing w:val="-8"/>
          <w:sz w:val="20"/>
        </w:rPr>
        <w:t> </w:t>
      </w:r>
      <w:r>
        <w:rPr>
          <w:sz w:val="20"/>
        </w:rPr>
        <w:t>bienes.</w:t>
      </w:r>
    </w:p>
    <w:p>
      <w:pPr>
        <w:pStyle w:val="ListParagraph"/>
        <w:numPr>
          <w:ilvl w:val="0"/>
          <w:numId w:val="421"/>
        </w:numPr>
        <w:tabs>
          <w:tab w:pos="2263" w:val="left" w:leader="none"/>
        </w:tabs>
        <w:spacing w:line="249" w:lineRule="auto" w:before="2" w:after="0"/>
        <w:ind w:left="1754" w:right="1273" w:firstLine="340"/>
        <w:jc w:val="both"/>
        <w:rPr>
          <w:sz w:val="20"/>
        </w:rPr>
      </w:pPr>
      <w:r>
        <w:rPr>
          <w:sz w:val="20"/>
        </w:rPr>
        <w:t>º El Estado miembro al que se expiden o transportan los bienes, el número de identificación a efectos del Impuesto sobre el Valor Añadido del depositario de los bienes cuando este es distinto del empresario o profesional mencionado en el número 2.º anterior, la dirección del almacén en el que se almacenan los bienes tras su llegada y la fecha de llegada de los bienes al</w:t>
      </w:r>
      <w:r>
        <w:rPr>
          <w:spacing w:val="-14"/>
          <w:sz w:val="20"/>
        </w:rPr>
        <w:t> </w:t>
      </w:r>
      <w:r>
        <w:rPr>
          <w:sz w:val="20"/>
        </w:rPr>
        <w:t>almacén.</w:t>
      </w:r>
    </w:p>
    <w:p>
      <w:pPr>
        <w:pStyle w:val="ListParagraph"/>
        <w:numPr>
          <w:ilvl w:val="0"/>
          <w:numId w:val="421"/>
        </w:numPr>
        <w:tabs>
          <w:tab w:pos="2263" w:val="left" w:leader="none"/>
        </w:tabs>
        <w:spacing w:line="249" w:lineRule="auto" w:before="4" w:after="0"/>
        <w:ind w:left="1754" w:right="1275" w:firstLine="340"/>
        <w:jc w:val="both"/>
        <w:rPr>
          <w:sz w:val="20"/>
        </w:rPr>
      </w:pPr>
      <w:r>
        <w:rPr>
          <w:sz w:val="20"/>
        </w:rPr>
        <w:t>º El valor, la descripción y la cantidad de los bienes que han llegado al almacén.</w:t>
      </w:r>
    </w:p>
    <w:p>
      <w:pPr>
        <w:pStyle w:val="ListParagraph"/>
        <w:numPr>
          <w:ilvl w:val="0"/>
          <w:numId w:val="421"/>
        </w:numPr>
        <w:tabs>
          <w:tab w:pos="2263" w:val="left" w:leader="none"/>
        </w:tabs>
        <w:spacing w:line="249" w:lineRule="auto" w:before="2" w:after="0"/>
        <w:ind w:left="1754" w:right="1273" w:firstLine="340"/>
        <w:jc w:val="both"/>
        <w:rPr>
          <w:sz w:val="20"/>
        </w:rPr>
      </w:pPr>
      <w:r>
        <w:rPr>
          <w:sz w:val="20"/>
        </w:rPr>
        <w:t>º El número de identificación a efectos del Impuesto sobre el Valor Añadido del empresario o profesional a que se refiere el apartado tres, segundo párrafo, letra a´), del artículo 9 bis de la Ley del Impuesto, que sustituye al empresario o profesional al que inicialmente fueron destinados los</w:t>
      </w:r>
      <w:r>
        <w:rPr>
          <w:spacing w:val="-7"/>
          <w:sz w:val="20"/>
        </w:rPr>
        <w:t> </w:t>
      </w:r>
      <w:r>
        <w:rPr>
          <w:sz w:val="20"/>
        </w:rPr>
        <w:t>bienes.</w:t>
      </w:r>
    </w:p>
    <w:p>
      <w:pPr>
        <w:pStyle w:val="ListParagraph"/>
        <w:numPr>
          <w:ilvl w:val="0"/>
          <w:numId w:val="421"/>
        </w:numPr>
        <w:tabs>
          <w:tab w:pos="2263" w:val="left" w:leader="none"/>
        </w:tabs>
        <w:spacing w:line="249" w:lineRule="auto" w:before="3" w:after="0"/>
        <w:ind w:left="1754" w:right="1273" w:firstLine="340"/>
        <w:jc w:val="both"/>
        <w:rPr>
          <w:sz w:val="20"/>
        </w:rPr>
      </w:pPr>
      <w:r>
        <w:rPr>
          <w:sz w:val="20"/>
        </w:rPr>
        <w:t>º Descripción, base imponible determinada conforme a los artículos 78 y 79 de la Ley del Impuesto, cantidad y precio unitario de los bienes entregados en las condiciones señaladas en el primer guion del apartado dos del artículo 9 bis de la Ley del Impuesto, fecha de dicha entrega y el número de identificación a efectos del Impuesto sobre el Valor Añadido del empresario o profesional</w:t>
      </w:r>
      <w:r>
        <w:rPr>
          <w:spacing w:val="-16"/>
          <w:sz w:val="20"/>
        </w:rPr>
        <w:t> </w:t>
      </w:r>
      <w:r>
        <w:rPr>
          <w:sz w:val="20"/>
        </w:rPr>
        <w:t>adquirente.</w:t>
      </w:r>
    </w:p>
    <w:p>
      <w:pPr>
        <w:pStyle w:val="ListParagraph"/>
        <w:numPr>
          <w:ilvl w:val="0"/>
          <w:numId w:val="421"/>
        </w:numPr>
        <w:tabs>
          <w:tab w:pos="2263" w:val="left" w:leader="none"/>
        </w:tabs>
        <w:spacing w:line="249" w:lineRule="auto" w:before="4" w:after="0"/>
        <w:ind w:left="1754" w:right="1271" w:firstLine="340"/>
        <w:jc w:val="both"/>
        <w:rPr>
          <w:sz w:val="20"/>
        </w:rPr>
      </w:pPr>
      <w:r>
        <w:rPr>
          <w:sz w:val="20"/>
        </w:rPr>
        <w:t>º Descripción, base imponible determinada conforme a los artículos 78 y 79 de la Ley del Impuesto, cantidad y precio unitario de los bienes transferidos en las condiciones señaladas en el primer párrafo del apartado tres del artículo 9 bis de la Ley del Impuesto, fecha en que tuvieron lugar las condiciones que motivaron dicha transferencia de bienes y el motivo por el que se ha</w:t>
      </w:r>
      <w:r>
        <w:rPr>
          <w:spacing w:val="-13"/>
          <w:sz w:val="20"/>
        </w:rPr>
        <w:t> </w:t>
      </w:r>
      <w:r>
        <w:rPr>
          <w:sz w:val="20"/>
        </w:rPr>
        <w:t>producido.</w:t>
      </w:r>
    </w:p>
    <w:p>
      <w:pPr>
        <w:pStyle w:val="ListParagraph"/>
        <w:numPr>
          <w:ilvl w:val="0"/>
          <w:numId w:val="421"/>
        </w:numPr>
        <w:tabs>
          <w:tab w:pos="2263" w:val="left" w:leader="none"/>
        </w:tabs>
        <w:spacing w:line="249" w:lineRule="auto" w:before="4" w:after="0"/>
        <w:ind w:left="1754" w:right="1274" w:firstLine="340"/>
        <w:jc w:val="both"/>
        <w:rPr>
          <w:sz w:val="20"/>
        </w:rPr>
      </w:pPr>
      <w:r>
        <w:rPr>
          <w:sz w:val="20"/>
        </w:rPr>
        <w:t>º Descripción, cantidad y valor de los bienes devueltos en las condiciones señaladas en el apartado tres, segundo párrafo, letra b´), del artículo 9 bis de la Ley del Impuesto, así como la fecha de la</w:t>
      </w:r>
      <w:r>
        <w:rPr>
          <w:spacing w:val="-8"/>
          <w:sz w:val="20"/>
        </w:rPr>
        <w:t> </w:t>
      </w:r>
      <w:r>
        <w:rPr>
          <w:sz w:val="20"/>
        </w:rPr>
        <w:t>devolución.</w:t>
      </w:r>
    </w:p>
    <w:p>
      <w:pPr>
        <w:pStyle w:val="ListParagraph"/>
        <w:numPr>
          <w:ilvl w:val="0"/>
          <w:numId w:val="420"/>
        </w:numPr>
        <w:tabs>
          <w:tab w:pos="2379" w:val="left" w:leader="none"/>
        </w:tabs>
        <w:spacing w:line="249" w:lineRule="auto" w:before="173" w:after="0"/>
        <w:ind w:left="1754" w:right="1276" w:firstLine="340"/>
        <w:jc w:val="left"/>
        <w:rPr>
          <w:sz w:val="20"/>
        </w:rPr>
      </w:pPr>
      <w:r>
        <w:rPr>
          <w:sz w:val="20"/>
        </w:rPr>
        <w:t>El empresario o profesional a quien van destinados los bienes y quienes sustituyan a aquel deberán hacer constar los siguientes</w:t>
      </w:r>
      <w:r>
        <w:rPr>
          <w:spacing w:val="-9"/>
          <w:sz w:val="20"/>
        </w:rPr>
        <w:t> </w:t>
      </w:r>
      <w:r>
        <w:rPr>
          <w:sz w:val="20"/>
        </w:rPr>
        <w:t>datos:</w:t>
      </w:r>
    </w:p>
    <w:p>
      <w:pPr>
        <w:pStyle w:val="ListParagraph"/>
        <w:numPr>
          <w:ilvl w:val="0"/>
          <w:numId w:val="422"/>
        </w:numPr>
        <w:tabs>
          <w:tab w:pos="2263" w:val="left" w:leader="none"/>
        </w:tabs>
        <w:spacing w:line="249" w:lineRule="auto" w:before="171" w:after="0"/>
        <w:ind w:left="1754" w:right="1273" w:firstLine="340"/>
        <w:jc w:val="both"/>
        <w:rPr>
          <w:sz w:val="20"/>
        </w:rPr>
      </w:pPr>
      <w:r>
        <w:rPr>
          <w:sz w:val="20"/>
        </w:rPr>
        <w:t>º El número de identificación a efectos del Impuesto sobre el Valor Añadido del vendedor que transmita los bienes en el marco de un acuerdo de ventas de bienes en</w:t>
      </w:r>
      <w:r>
        <w:rPr>
          <w:spacing w:val="-1"/>
          <w:sz w:val="20"/>
        </w:rPr>
        <w:t> </w:t>
      </w:r>
      <w:r>
        <w:rPr>
          <w:sz w:val="20"/>
        </w:rPr>
        <w:t>consigna.</w:t>
      </w:r>
    </w:p>
    <w:p>
      <w:pPr>
        <w:pStyle w:val="ListParagraph"/>
        <w:numPr>
          <w:ilvl w:val="0"/>
          <w:numId w:val="422"/>
        </w:numPr>
        <w:tabs>
          <w:tab w:pos="2263" w:val="left" w:leader="none"/>
        </w:tabs>
        <w:spacing w:line="249" w:lineRule="auto" w:before="3" w:after="0"/>
        <w:ind w:left="1754" w:right="1275" w:firstLine="340"/>
        <w:jc w:val="both"/>
        <w:rPr>
          <w:sz w:val="20"/>
        </w:rPr>
      </w:pPr>
      <w:r>
        <w:rPr>
          <w:sz w:val="20"/>
        </w:rPr>
        <w:t>º La descripción y cantidad de los bienes enviados para ser puestos a su disposición.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22"/>
        </w:numPr>
        <w:tabs>
          <w:tab w:pos="2263" w:val="left" w:leader="none"/>
        </w:tabs>
        <w:spacing w:line="249" w:lineRule="auto" w:before="127" w:after="0"/>
        <w:ind w:left="1754" w:right="1276" w:firstLine="340"/>
        <w:jc w:val="both"/>
        <w:rPr>
          <w:sz w:val="20"/>
        </w:rPr>
      </w:pPr>
      <w:r>
        <w:rPr>
          <w:sz w:val="20"/>
        </w:rPr>
        <w:t>º La fecha de llegada al almacén de los bienes enviados para ser puestos a su disposición.</w:t>
      </w:r>
    </w:p>
    <w:p>
      <w:pPr>
        <w:pStyle w:val="ListParagraph"/>
        <w:numPr>
          <w:ilvl w:val="0"/>
          <w:numId w:val="422"/>
        </w:numPr>
        <w:tabs>
          <w:tab w:pos="2263" w:val="left" w:leader="none"/>
        </w:tabs>
        <w:spacing w:line="249" w:lineRule="auto" w:before="1" w:after="0"/>
        <w:ind w:left="1754" w:right="1274" w:firstLine="340"/>
        <w:jc w:val="both"/>
        <w:rPr>
          <w:sz w:val="20"/>
        </w:rPr>
      </w:pPr>
      <w:r>
        <w:rPr>
          <w:sz w:val="20"/>
        </w:rPr>
        <w:t>º Descripción, base imponible determinada conforme a los artículos 78 y 79 de la Ley del Impuesto, cantidad y precio unitario de los bienes adquiridos y fecha en que se realiza la adquisición intracomunitaria de bienes prevista en el segundo guion del apartado dos del artículo 9 bis de la Ley del</w:t>
      </w:r>
      <w:r>
        <w:rPr>
          <w:spacing w:val="-17"/>
          <w:sz w:val="20"/>
        </w:rPr>
        <w:t> </w:t>
      </w:r>
      <w:r>
        <w:rPr>
          <w:sz w:val="20"/>
        </w:rPr>
        <w:t>Impuesto.</w:t>
      </w:r>
    </w:p>
    <w:p>
      <w:pPr>
        <w:pStyle w:val="ListParagraph"/>
        <w:numPr>
          <w:ilvl w:val="0"/>
          <w:numId w:val="422"/>
        </w:numPr>
        <w:tabs>
          <w:tab w:pos="2263" w:val="left" w:leader="none"/>
        </w:tabs>
        <w:spacing w:line="249" w:lineRule="auto" w:before="4" w:after="0"/>
        <w:ind w:left="1754" w:right="1273" w:firstLine="340"/>
        <w:jc w:val="both"/>
        <w:rPr>
          <w:sz w:val="20"/>
        </w:rPr>
      </w:pPr>
      <w:r>
        <w:rPr>
          <w:sz w:val="20"/>
        </w:rPr>
        <w:t>º Descripción y cantidad de los bienes que son retirados del almacén por el vendedor y dejan de estar a su disposición, así como la fecha en que aquellos se retiran.</w:t>
      </w:r>
    </w:p>
    <w:p>
      <w:pPr>
        <w:pStyle w:val="ListParagraph"/>
        <w:numPr>
          <w:ilvl w:val="0"/>
          <w:numId w:val="422"/>
        </w:numPr>
        <w:tabs>
          <w:tab w:pos="2263" w:val="left" w:leader="none"/>
        </w:tabs>
        <w:spacing w:line="249" w:lineRule="auto" w:before="2" w:after="0"/>
        <w:ind w:left="1754" w:right="1275" w:firstLine="340"/>
        <w:jc w:val="both"/>
        <w:rPr>
          <w:sz w:val="20"/>
        </w:rPr>
      </w:pPr>
      <w:r>
        <w:rPr>
          <w:sz w:val="20"/>
        </w:rPr>
        <w:t>º Descripción y cantidad de los bienes destruidos o desaparecidos del almacén y la fecha en que se produce o se descubre la destrucción, pérdida o robo de los bienes.</w:t>
      </w:r>
    </w:p>
    <w:p>
      <w:pPr>
        <w:pStyle w:val="BodyText"/>
        <w:spacing w:line="249" w:lineRule="auto" w:before="173"/>
        <w:ind w:left="1754" w:right="1273"/>
      </w:pPr>
      <w:r>
        <w:rPr/>
        <w:t>No obstante, este empresario o profesional solo deberá anotar los datos citados en los números 1.º, 2.º y 4.º anteriores, cuando los bienes se expidan o transporten para su depósito a un empresario o profesional distinto de él mismo.</w:t>
      </w:r>
    </w:p>
    <w:p>
      <w:pPr>
        <w:pStyle w:val="BodyText"/>
        <w:spacing w:line="249" w:lineRule="auto"/>
        <w:ind w:left="1754" w:right="1271"/>
      </w:pPr>
      <w:r>
        <w:rPr/>
        <w:t>3. En el caso de las personas y entidades a que se refiere el artículo 62.6 de este Reglamento, la llevanza de este libro registro deberá realizarse a través de la Sede electrónica de la Agencia Estatal de Administración Tributaria, mediante el suministro electrónico de la información del detalle de cada una de las operaciones que se deben anotar en el mismo.</w:t>
      </w:r>
    </w:p>
    <w:p>
      <w:pPr>
        <w:pStyle w:val="BodyText"/>
        <w:spacing w:line="249" w:lineRule="auto" w:before="4"/>
        <w:ind w:left="1754" w:right="1273"/>
      </w:pPr>
      <w:r>
        <w:rPr/>
        <w:t>La persona titular del Ministerio de Hacienda determinará la identificación de estos registros mediante Orden</w:t>
      </w:r>
      <w:r>
        <w:rPr>
          <w:spacing w:val="-2"/>
        </w:rPr>
        <w:t> </w:t>
      </w:r>
      <w:r>
        <w:rPr/>
        <w:t>ministerial.»</w:t>
      </w:r>
    </w:p>
    <w:p>
      <w:pPr>
        <w:pStyle w:val="BodyText"/>
        <w:spacing w:before="122"/>
        <w:ind w:left="1414" w:firstLine="0"/>
        <w:jc w:val="left"/>
      </w:pPr>
      <w:r>
        <w:rPr/>
        <w:t>Tres. Se modifica el artículo 79, que queda redactado de la siguiente forma:</w:t>
      </w:r>
    </w:p>
    <w:p>
      <w:pPr>
        <w:pStyle w:val="BodyText"/>
        <w:spacing w:before="1"/>
        <w:ind w:left="0" w:firstLine="0"/>
        <w:jc w:val="left"/>
        <w:rPr>
          <w:sz w:val="21"/>
        </w:rPr>
      </w:pPr>
    </w:p>
    <w:p>
      <w:pPr>
        <w:spacing w:before="0"/>
        <w:ind w:left="1754" w:right="0" w:firstLine="0"/>
        <w:jc w:val="both"/>
        <w:rPr>
          <w:i/>
          <w:sz w:val="20"/>
        </w:rPr>
      </w:pPr>
      <w:r>
        <w:rPr>
          <w:b/>
          <w:sz w:val="20"/>
        </w:rPr>
        <w:t>«Artículo 79. </w:t>
      </w:r>
      <w:r>
        <w:rPr>
          <w:i/>
          <w:sz w:val="20"/>
        </w:rPr>
        <w:t>Obligación de presentar la declaración recapitulativa.</w:t>
      </w:r>
    </w:p>
    <w:p>
      <w:pPr>
        <w:pStyle w:val="BodyText"/>
        <w:spacing w:line="249" w:lineRule="auto" w:before="117"/>
        <w:ind w:left="1754" w:right="1272"/>
      </w:pPr>
      <w:r>
        <w:rPr/>
        <w:t>1. Estarán obligados a presentar la declaración recapitulativa los empresarios y profesionales, incluso cuando tengan dicha condición con arreglo a lo dispuesto en el apartado cuatro del artículo 5 de la Ley del Impuesto, que realicen cualquiera de las siguientes operaciones:</w:t>
      </w:r>
    </w:p>
    <w:p>
      <w:pPr>
        <w:pStyle w:val="ListParagraph"/>
        <w:numPr>
          <w:ilvl w:val="0"/>
          <w:numId w:val="423"/>
        </w:numPr>
        <w:tabs>
          <w:tab w:pos="2263" w:val="left" w:leader="none"/>
        </w:tabs>
        <w:spacing w:line="249" w:lineRule="auto" w:before="174" w:after="0"/>
        <w:ind w:left="1754" w:right="1275" w:firstLine="340"/>
        <w:jc w:val="both"/>
        <w:rPr>
          <w:sz w:val="20"/>
        </w:rPr>
      </w:pPr>
      <w:r>
        <w:rPr>
          <w:sz w:val="20"/>
        </w:rPr>
        <w:t>º Las entregas de bienes destinados a otro Estado miembro que se encuentren exentas en virtud de lo dispuesto en los apartados uno, dos, tres y cuatro del artículo 25 de la Ley del</w:t>
      </w:r>
      <w:r>
        <w:rPr>
          <w:spacing w:val="-6"/>
          <w:sz w:val="20"/>
        </w:rPr>
        <w:t> </w:t>
      </w:r>
      <w:r>
        <w:rPr>
          <w:sz w:val="20"/>
        </w:rPr>
        <w:t>Impuesto.</w:t>
      </w:r>
    </w:p>
    <w:p>
      <w:pPr>
        <w:pStyle w:val="BodyText"/>
        <w:spacing w:line="249" w:lineRule="auto"/>
        <w:ind w:left="1754" w:right="1273"/>
      </w:pPr>
      <w:r>
        <w:rPr/>
        <w:t>Se incluirán entre estas operaciones las transferencias de bienes comprendidas en el número 3.º del artículo 9 de la Ley del Impuesto y, en particular, las entregas ulteriores de bienes cuya importación hubiera estado exenta de acuerdo con lo dispuesto en el número 12.º del artículo 27 de la Ley del Impuesto.</w:t>
      </w:r>
    </w:p>
    <w:p>
      <w:pPr>
        <w:pStyle w:val="BodyText"/>
        <w:spacing w:line="249" w:lineRule="auto" w:before="4"/>
        <w:ind w:left="1754" w:right="1274"/>
      </w:pPr>
      <w:r>
        <w:rPr/>
        <w:t>Quedarán excluidas de las entregas de bienes a que se refiere este número las siguientes:</w:t>
      </w:r>
    </w:p>
    <w:p>
      <w:pPr>
        <w:pStyle w:val="ListParagraph"/>
        <w:numPr>
          <w:ilvl w:val="0"/>
          <w:numId w:val="424"/>
        </w:numPr>
        <w:tabs>
          <w:tab w:pos="2365" w:val="left" w:leader="none"/>
        </w:tabs>
        <w:spacing w:line="249" w:lineRule="auto" w:before="171" w:after="0"/>
        <w:ind w:left="1754" w:right="1271" w:firstLine="340"/>
        <w:jc w:val="both"/>
        <w:rPr>
          <w:sz w:val="20"/>
        </w:rPr>
      </w:pPr>
      <w:r>
        <w:rPr>
          <w:sz w:val="20"/>
        </w:rPr>
        <w:t>Las que tengan por objeto medios de transporte nuevos realizadas a título ocasional por las personas comprendidas en la letra e) del apartado uno del artículo 5 de la Ley del</w:t>
      </w:r>
      <w:r>
        <w:rPr>
          <w:spacing w:val="-6"/>
          <w:sz w:val="20"/>
        </w:rPr>
        <w:t> </w:t>
      </w:r>
      <w:r>
        <w:rPr>
          <w:sz w:val="20"/>
        </w:rPr>
        <w:t>Impuesto.</w:t>
      </w:r>
    </w:p>
    <w:p>
      <w:pPr>
        <w:pStyle w:val="ListParagraph"/>
        <w:numPr>
          <w:ilvl w:val="0"/>
          <w:numId w:val="424"/>
        </w:numPr>
        <w:tabs>
          <w:tab w:pos="2370" w:val="left" w:leader="none"/>
        </w:tabs>
        <w:spacing w:line="249" w:lineRule="auto" w:before="3" w:after="0"/>
        <w:ind w:left="1754" w:right="1273" w:firstLine="340"/>
        <w:jc w:val="both"/>
        <w:rPr>
          <w:sz w:val="20"/>
        </w:rPr>
      </w:pPr>
      <w:r>
        <w:rPr>
          <w:sz w:val="20"/>
        </w:rPr>
        <w:t>Las realizadas por sujetos pasivos del Impuesto para destinatarios que no tengan atribuido un número de identificación a efectos del citado tributo en cualquier otro Estado miembro de la</w:t>
      </w:r>
      <w:r>
        <w:rPr>
          <w:spacing w:val="-4"/>
          <w:sz w:val="20"/>
        </w:rPr>
        <w:t> </w:t>
      </w:r>
      <w:r>
        <w:rPr>
          <w:sz w:val="20"/>
        </w:rPr>
        <w:t>Comunidad.</w:t>
      </w:r>
    </w:p>
    <w:p>
      <w:pPr>
        <w:pStyle w:val="ListParagraph"/>
        <w:numPr>
          <w:ilvl w:val="0"/>
          <w:numId w:val="423"/>
        </w:numPr>
        <w:tabs>
          <w:tab w:pos="2263" w:val="left" w:leader="none"/>
        </w:tabs>
        <w:spacing w:line="249" w:lineRule="auto" w:before="172" w:after="0"/>
        <w:ind w:left="1754" w:right="1273" w:firstLine="340"/>
        <w:jc w:val="both"/>
        <w:rPr>
          <w:sz w:val="20"/>
        </w:rPr>
      </w:pPr>
      <w:r>
        <w:rPr>
          <w:sz w:val="20"/>
        </w:rPr>
        <w:t>º Las adquisiciones intracomunitarias de bienes sujetas al Impuesto realizadas por personas o entidades identificadas a efectos del mismo en el territorio de aplicación del</w:t>
      </w:r>
      <w:r>
        <w:rPr>
          <w:spacing w:val="-3"/>
          <w:sz w:val="20"/>
        </w:rPr>
        <w:t> </w:t>
      </w:r>
      <w:r>
        <w:rPr>
          <w:sz w:val="20"/>
        </w:rPr>
        <w:t>Impuesto.</w:t>
      </w:r>
    </w:p>
    <w:p>
      <w:pPr>
        <w:pStyle w:val="BodyText"/>
        <w:spacing w:line="249" w:lineRule="auto" w:before="3"/>
        <w:ind w:left="1754" w:right="1273"/>
      </w:pPr>
      <w:r>
        <w:rPr/>
        <w:t>Se incluirán entre estas operaciones las transferencias de bienes desde otro Estado miembro a que se refiere el número 2.º del artículo 16 de la Ley del Impuesto y, en particular, las adquisiciones intracomunitarias de bienes que hayan sido previamente importados en otro Estado miembro donde dicha importación haya estado exenta del Impuesto en condiciones análogas a las establecidas por el apartado 12.º del artículo 27 de la Ley del Impuesto.</w:t>
      </w:r>
    </w:p>
    <w:p>
      <w:pPr>
        <w:pStyle w:val="ListParagraph"/>
        <w:numPr>
          <w:ilvl w:val="0"/>
          <w:numId w:val="423"/>
        </w:numPr>
        <w:tabs>
          <w:tab w:pos="2263" w:val="left" w:leader="none"/>
        </w:tabs>
        <w:spacing w:line="240" w:lineRule="auto" w:before="5" w:after="0"/>
        <w:ind w:left="2262" w:right="0" w:hanging="169"/>
        <w:jc w:val="both"/>
        <w:rPr>
          <w:sz w:val="20"/>
        </w:rPr>
      </w:pPr>
      <w:r>
        <w:rPr>
          <w:sz w:val="20"/>
        </w:rPr>
        <w:t>º Las prestaciones intracomunitarias de</w:t>
      </w:r>
      <w:r>
        <w:rPr>
          <w:spacing w:val="-7"/>
          <w:sz w:val="20"/>
        </w:rPr>
        <w:t> </w:t>
      </w:r>
      <w:r>
        <w:rPr>
          <w:sz w:val="20"/>
        </w:rPr>
        <w:t>servicios.</w:t>
      </w:r>
    </w:p>
    <w:p>
      <w:pPr>
        <w:spacing w:after="0" w:line="240"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4"/>
      </w:pPr>
      <w:r>
        <w:rPr/>
        <w:t>A efectos de este Reglamento, se considerarán prestaciones intracomunitarias  de servicios las prestaciones de servicios en las que concurran los siguientes requisitos:</w:t>
      </w:r>
    </w:p>
    <w:p>
      <w:pPr>
        <w:pStyle w:val="ListParagraph"/>
        <w:numPr>
          <w:ilvl w:val="0"/>
          <w:numId w:val="425"/>
        </w:numPr>
        <w:tabs>
          <w:tab w:pos="2366" w:val="left" w:leader="none"/>
        </w:tabs>
        <w:spacing w:line="249" w:lineRule="auto" w:before="173" w:after="0"/>
        <w:ind w:left="1754" w:right="1274" w:firstLine="340"/>
        <w:jc w:val="both"/>
        <w:rPr>
          <w:sz w:val="20"/>
        </w:rPr>
      </w:pPr>
      <w:r>
        <w:rPr>
          <w:sz w:val="20"/>
        </w:rPr>
        <w:t>Que, conforme a las reglas de localización aplicables a las mismas, no se entiendan prestadas en el territorio de aplicación del</w:t>
      </w:r>
      <w:r>
        <w:rPr>
          <w:spacing w:val="-13"/>
          <w:sz w:val="20"/>
        </w:rPr>
        <w:t> </w:t>
      </w:r>
      <w:r>
        <w:rPr>
          <w:sz w:val="20"/>
        </w:rPr>
        <w:t>Impuesto.</w:t>
      </w:r>
    </w:p>
    <w:p>
      <w:pPr>
        <w:pStyle w:val="ListParagraph"/>
        <w:numPr>
          <w:ilvl w:val="0"/>
          <w:numId w:val="425"/>
        </w:numPr>
        <w:tabs>
          <w:tab w:pos="2329" w:val="left" w:leader="none"/>
        </w:tabs>
        <w:spacing w:line="240" w:lineRule="auto" w:before="1" w:after="0"/>
        <w:ind w:left="2328" w:right="0" w:hanging="235"/>
        <w:jc w:val="both"/>
        <w:rPr>
          <w:sz w:val="20"/>
        </w:rPr>
      </w:pPr>
      <w:r>
        <w:rPr>
          <w:sz w:val="20"/>
        </w:rPr>
        <w:t>Que estén sujetas y no exentas en otro Estado</w:t>
      </w:r>
      <w:r>
        <w:rPr>
          <w:spacing w:val="-7"/>
          <w:sz w:val="20"/>
        </w:rPr>
        <w:t> </w:t>
      </w:r>
      <w:r>
        <w:rPr>
          <w:sz w:val="20"/>
        </w:rPr>
        <w:t>miembro.</w:t>
      </w:r>
    </w:p>
    <w:p>
      <w:pPr>
        <w:pStyle w:val="ListParagraph"/>
        <w:numPr>
          <w:ilvl w:val="0"/>
          <w:numId w:val="425"/>
        </w:numPr>
        <w:tabs>
          <w:tab w:pos="2363" w:val="left" w:leader="none"/>
        </w:tabs>
        <w:spacing w:line="249" w:lineRule="auto" w:before="10" w:after="0"/>
        <w:ind w:left="1754" w:right="1272" w:firstLine="340"/>
        <w:jc w:val="both"/>
        <w:rPr>
          <w:sz w:val="20"/>
        </w:rPr>
      </w:pPr>
      <w:r>
        <w:rPr>
          <w:sz w:val="20"/>
        </w:rPr>
        <w:t>Que su destinatario sea un empresario o profesional actuando como tal y radique en dicho Estado miembro la sede de su actividad económica, o tenga en el mismo un establecimiento permanente o, en su defecto, el lugar de su domicilio o residencia habitual, o que dicho destinatario sea una persona jurídica que no actúe como empresario o profesional, pero tenga asignado un número de identificación a efectos del Impuesto suministrado por ese Estado</w:t>
      </w:r>
      <w:r>
        <w:rPr>
          <w:spacing w:val="-6"/>
          <w:sz w:val="20"/>
        </w:rPr>
        <w:t> </w:t>
      </w:r>
      <w:r>
        <w:rPr>
          <w:sz w:val="20"/>
        </w:rPr>
        <w:t>miembro.</w:t>
      </w:r>
    </w:p>
    <w:p>
      <w:pPr>
        <w:pStyle w:val="ListParagraph"/>
        <w:numPr>
          <w:ilvl w:val="0"/>
          <w:numId w:val="425"/>
        </w:numPr>
        <w:tabs>
          <w:tab w:pos="2328" w:val="left" w:leader="none"/>
        </w:tabs>
        <w:spacing w:line="240" w:lineRule="auto" w:before="5" w:after="0"/>
        <w:ind w:left="2327" w:right="0" w:hanging="234"/>
        <w:jc w:val="both"/>
        <w:rPr>
          <w:sz w:val="20"/>
        </w:rPr>
      </w:pPr>
      <w:r>
        <w:rPr>
          <w:sz w:val="20"/>
        </w:rPr>
        <w:t>Que el sujeto pasivo sea dicho</w:t>
      </w:r>
      <w:r>
        <w:rPr>
          <w:spacing w:val="-5"/>
          <w:sz w:val="20"/>
        </w:rPr>
        <w:t> </w:t>
      </w:r>
      <w:r>
        <w:rPr>
          <w:sz w:val="20"/>
        </w:rPr>
        <w:t>destinatario.</w:t>
      </w:r>
    </w:p>
    <w:p>
      <w:pPr>
        <w:pStyle w:val="ListParagraph"/>
        <w:numPr>
          <w:ilvl w:val="0"/>
          <w:numId w:val="423"/>
        </w:numPr>
        <w:tabs>
          <w:tab w:pos="2263" w:val="left" w:leader="none"/>
        </w:tabs>
        <w:spacing w:line="240" w:lineRule="auto" w:before="180" w:after="0"/>
        <w:ind w:left="2262" w:right="0" w:hanging="169"/>
        <w:jc w:val="left"/>
        <w:rPr>
          <w:sz w:val="20"/>
        </w:rPr>
      </w:pPr>
      <w:r>
        <w:rPr>
          <w:sz w:val="20"/>
        </w:rPr>
        <w:t>º Las adquisiciones intracomunitarias de</w:t>
      </w:r>
      <w:r>
        <w:rPr>
          <w:spacing w:val="-7"/>
          <w:sz w:val="20"/>
        </w:rPr>
        <w:t> </w:t>
      </w:r>
      <w:r>
        <w:rPr>
          <w:sz w:val="20"/>
        </w:rPr>
        <w:t>servicios.</w:t>
      </w:r>
    </w:p>
    <w:p>
      <w:pPr>
        <w:pStyle w:val="BodyText"/>
        <w:spacing w:line="249" w:lineRule="auto" w:before="181"/>
        <w:ind w:left="1754" w:right="1272"/>
      </w:pPr>
      <w:r>
        <w:rPr/>
        <w:t>A efectos de este Reglamento, se considerarán adquisiciones intracomunitarias de servicios las prestaciones de servicios sujetas y no exentas en el territorio de aplicación del Impuesto que sean prestadas por un empresario o profesional cuya sede de actividad económica o establecimiento permanente desde el que las preste o, en su defecto, el lugar de su domicilio o residencia habitual, se encuentre en la Comunidad pero fuera del territorio de aplicación del Impuesto.</w:t>
      </w:r>
    </w:p>
    <w:p>
      <w:pPr>
        <w:pStyle w:val="ListParagraph"/>
        <w:numPr>
          <w:ilvl w:val="0"/>
          <w:numId w:val="423"/>
        </w:numPr>
        <w:tabs>
          <w:tab w:pos="2263" w:val="left" w:leader="none"/>
        </w:tabs>
        <w:spacing w:line="249" w:lineRule="auto" w:before="4" w:after="0"/>
        <w:ind w:left="1754" w:right="1272" w:firstLine="340"/>
        <w:jc w:val="both"/>
        <w:rPr>
          <w:sz w:val="20"/>
        </w:rPr>
      </w:pPr>
      <w:r>
        <w:rPr>
          <w:sz w:val="20"/>
        </w:rPr>
        <w:t>º Las entregas subsiguientes a las adquisiciones intracomunitarias de bienes a que se refiere el apartado tres del artículo 26 de la Ley del Impuesto, realizadas en otro Estado miembro utilizando un número de identificación a efectos de Impuesto sobre el Valor Añadido asignado por la Administración tributaria</w:t>
      </w:r>
      <w:r>
        <w:rPr>
          <w:spacing w:val="-11"/>
          <w:sz w:val="20"/>
        </w:rPr>
        <w:t> </w:t>
      </w:r>
      <w:r>
        <w:rPr>
          <w:sz w:val="20"/>
        </w:rPr>
        <w:t>española.</w:t>
      </w:r>
    </w:p>
    <w:p>
      <w:pPr>
        <w:pStyle w:val="ListParagraph"/>
        <w:numPr>
          <w:ilvl w:val="0"/>
          <w:numId w:val="426"/>
        </w:numPr>
        <w:tabs>
          <w:tab w:pos="2332" w:val="left" w:leader="none"/>
        </w:tabs>
        <w:spacing w:line="249" w:lineRule="auto" w:before="174" w:after="0"/>
        <w:ind w:left="1754" w:right="1272" w:firstLine="340"/>
        <w:jc w:val="both"/>
        <w:rPr>
          <w:sz w:val="20"/>
        </w:rPr>
      </w:pPr>
      <w:r>
        <w:rPr>
          <w:sz w:val="20"/>
        </w:rPr>
        <w:t>También estará obligado a presentar la declaración recapitulativa el vendedor que expida o transporte bienes a otro Estado miembro en el marco de un acuerdo de ventas de bienes en consigna a que se refiere el artículo 9 bis de la Ley del Impuesto.»</w:t>
      </w:r>
    </w:p>
    <w:p>
      <w:pPr>
        <w:pStyle w:val="BodyText"/>
        <w:spacing w:line="249" w:lineRule="auto" w:before="123"/>
        <w:ind w:right="1278"/>
        <w:jc w:val="left"/>
      </w:pPr>
      <w:r>
        <w:rPr/>
        <w:t>Cuatro. Se añade un número 4.º al apartado 1 y se modifican los apartados 2 y 3 del artículo 80, que quedan redactados de la siguiente forma:</w:t>
      </w:r>
    </w:p>
    <w:p>
      <w:pPr>
        <w:pStyle w:val="BodyText"/>
        <w:spacing w:line="249" w:lineRule="auto" w:before="172"/>
        <w:ind w:left="1754" w:right="1273"/>
      </w:pPr>
      <w:r>
        <w:rPr/>
        <w:t>«4.º En el caso de envíos de bienes en el marco de un acuerdo de ventas de bienes en consigna a que se refiere el artículo 9 bis de la Ley del Impuesto, el vendedor deberá consignar:</w:t>
      </w:r>
    </w:p>
    <w:p>
      <w:pPr>
        <w:pStyle w:val="ListParagraph"/>
        <w:numPr>
          <w:ilvl w:val="0"/>
          <w:numId w:val="427"/>
        </w:numPr>
        <w:tabs>
          <w:tab w:pos="2340" w:val="left" w:leader="none"/>
        </w:tabs>
        <w:spacing w:line="249" w:lineRule="auto" w:before="172" w:after="0"/>
        <w:ind w:left="1754" w:right="1272" w:firstLine="340"/>
        <w:jc w:val="both"/>
        <w:rPr>
          <w:sz w:val="20"/>
        </w:rPr>
      </w:pPr>
      <w:r>
        <w:rPr>
          <w:sz w:val="20"/>
        </w:rPr>
        <w:t>El número de identificación a efectos del Impuesto sobre el Valor Añadido del empresario o profesional al que van destinados los bienes asignado por el Estado miembro al que se expiden o transportan los</w:t>
      </w:r>
      <w:r>
        <w:rPr>
          <w:spacing w:val="-8"/>
          <w:sz w:val="20"/>
        </w:rPr>
        <w:t> </w:t>
      </w:r>
      <w:r>
        <w:rPr>
          <w:sz w:val="20"/>
        </w:rPr>
        <w:t>bienes.</w:t>
      </w:r>
    </w:p>
    <w:p>
      <w:pPr>
        <w:pStyle w:val="ListParagraph"/>
        <w:numPr>
          <w:ilvl w:val="0"/>
          <w:numId w:val="427"/>
        </w:numPr>
        <w:tabs>
          <w:tab w:pos="2340" w:val="left" w:leader="none"/>
        </w:tabs>
        <w:spacing w:line="249" w:lineRule="auto" w:before="3" w:after="0"/>
        <w:ind w:left="1754" w:right="1272" w:firstLine="340"/>
        <w:jc w:val="both"/>
        <w:rPr>
          <w:sz w:val="20"/>
        </w:rPr>
      </w:pPr>
      <w:r>
        <w:rPr>
          <w:sz w:val="20"/>
        </w:rPr>
        <w:t>El número de identificación a efectos del Impuesto sobre el Valor Añadido del empresario o profesional a que se refiere el apartado tres, segundo párrafo, letra a´), del artículo 9 bis de la Ley del Impuesto que sustituye al empresario o profesional al que inicialmente fueron destinados los bienes en el marco de un acuerdo de ventas de bienes en</w:t>
      </w:r>
      <w:r>
        <w:rPr>
          <w:spacing w:val="-4"/>
          <w:sz w:val="20"/>
        </w:rPr>
        <w:t> </w:t>
      </w:r>
      <w:r>
        <w:rPr>
          <w:sz w:val="20"/>
        </w:rPr>
        <w:t>consigna.</w:t>
      </w:r>
    </w:p>
    <w:p>
      <w:pPr>
        <w:pStyle w:val="ListParagraph"/>
        <w:numPr>
          <w:ilvl w:val="0"/>
          <w:numId w:val="427"/>
        </w:numPr>
        <w:tabs>
          <w:tab w:pos="2324" w:val="left" w:leader="none"/>
        </w:tabs>
        <w:spacing w:line="249" w:lineRule="auto" w:before="4" w:after="0"/>
        <w:ind w:left="1754" w:right="1274" w:firstLine="340"/>
        <w:jc w:val="both"/>
        <w:rPr>
          <w:sz w:val="20"/>
        </w:rPr>
      </w:pPr>
      <w:r>
        <w:rPr>
          <w:sz w:val="20"/>
        </w:rPr>
        <w:t>El importe inicial estimado del valor de los bienes expedidos o transportados a otro Estado miembro en el marco de un acuerdo de ventas de bienes en</w:t>
      </w:r>
      <w:r>
        <w:rPr>
          <w:spacing w:val="-27"/>
          <w:sz w:val="20"/>
        </w:rPr>
        <w:t> </w:t>
      </w:r>
      <w:r>
        <w:rPr>
          <w:sz w:val="20"/>
        </w:rPr>
        <w:t>consigna.»</w:t>
      </w:r>
    </w:p>
    <w:p>
      <w:pPr>
        <w:pStyle w:val="BodyText"/>
        <w:spacing w:line="249" w:lineRule="auto" w:before="172"/>
        <w:ind w:left="1754" w:right="1273"/>
      </w:pPr>
      <w:r>
        <w:rPr/>
        <w:t>«2. Los datos contenidos en la declaración recapitulativa deberán rectificarse cuando se haya incurrido en errores o se hayan producido alteraciones derivadas de las circunstancias a que se refiere el artículo 80 de la Ley del Impuesto.</w:t>
      </w:r>
    </w:p>
    <w:p>
      <w:pPr>
        <w:pStyle w:val="BodyText"/>
        <w:spacing w:line="249" w:lineRule="auto"/>
        <w:ind w:left="1754" w:right="1275"/>
      </w:pPr>
      <w:r>
        <w:rPr/>
        <w:t>En el caso previsto en el número 4.º del apartado anterior, el vendedor deberá comunicar cualquier modificación de la información presentada.</w:t>
      </w:r>
    </w:p>
    <w:p>
      <w:pPr>
        <w:pStyle w:val="ListParagraph"/>
        <w:numPr>
          <w:ilvl w:val="0"/>
          <w:numId w:val="426"/>
        </w:numPr>
        <w:tabs>
          <w:tab w:pos="2423" w:val="left" w:leader="none"/>
        </w:tabs>
        <w:spacing w:line="249" w:lineRule="auto" w:before="2" w:after="0"/>
        <w:ind w:left="1754" w:right="1274" w:firstLine="340"/>
        <w:jc w:val="both"/>
        <w:rPr>
          <w:sz w:val="20"/>
        </w:rPr>
      </w:pPr>
      <w:r>
        <w:rPr>
          <w:sz w:val="20"/>
        </w:rPr>
        <w:t>Las operaciones deberán consignarse en la declaración recapitulativa correspondiente al período de declaración en el que se hayan</w:t>
      </w:r>
      <w:r>
        <w:rPr>
          <w:spacing w:val="-21"/>
          <w:sz w:val="20"/>
        </w:rPr>
        <w:t> </w:t>
      </w:r>
      <w:r>
        <w:rPr>
          <w:sz w:val="20"/>
        </w:rPr>
        <w:t>devengado.</w:t>
      </w:r>
    </w:p>
    <w:p>
      <w:pPr>
        <w:pStyle w:val="BodyText"/>
        <w:spacing w:line="249" w:lineRule="auto" w:before="1"/>
        <w:ind w:left="1754" w:right="1275"/>
      </w:pPr>
      <w:r>
        <w:rPr/>
        <w:t>En el supuesto del número 4.º del apartado 1 anterior la información mencionada se consignará en la declaración recapitulativa correspondiente:</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ListParagraph"/>
        <w:numPr>
          <w:ilvl w:val="0"/>
          <w:numId w:val="415"/>
        </w:numPr>
        <w:tabs>
          <w:tab w:pos="2251" w:val="left" w:leader="none"/>
        </w:tabs>
        <w:spacing w:line="249" w:lineRule="auto" w:before="126" w:after="0"/>
        <w:ind w:left="1754" w:right="1272" w:firstLine="340"/>
        <w:jc w:val="both"/>
        <w:rPr>
          <w:sz w:val="20"/>
        </w:rPr>
      </w:pPr>
      <w:r>
        <w:rPr>
          <w:sz w:val="20"/>
        </w:rPr>
        <w:t>Al periodo de declaración relativo a la fecha de la expedición o transporte de los bienes, en el supuesto previsto en la letra</w:t>
      </w:r>
      <w:r>
        <w:rPr>
          <w:spacing w:val="-10"/>
          <w:sz w:val="20"/>
        </w:rPr>
        <w:t> </w:t>
      </w:r>
      <w:r>
        <w:rPr>
          <w:sz w:val="20"/>
        </w:rPr>
        <w:t>a);</w:t>
      </w:r>
    </w:p>
    <w:p>
      <w:pPr>
        <w:pStyle w:val="ListParagraph"/>
        <w:numPr>
          <w:ilvl w:val="0"/>
          <w:numId w:val="415"/>
        </w:numPr>
        <w:tabs>
          <w:tab w:pos="2256" w:val="left" w:leader="none"/>
        </w:tabs>
        <w:spacing w:line="249" w:lineRule="auto" w:before="2" w:after="0"/>
        <w:ind w:left="1754" w:right="1273" w:firstLine="340"/>
        <w:jc w:val="both"/>
        <w:rPr>
          <w:sz w:val="20"/>
        </w:rPr>
      </w:pPr>
      <w:r>
        <w:rPr>
          <w:sz w:val="20"/>
        </w:rPr>
        <w:t>al período de declaración en el que se hayan anotado en el libro registro al que se refiere el artículo 66.B), letra a), de este Reglamento los datos identificativos del empresario o profesional que sustituye al empresario o profesional al que inicialmente fueron destinados los bienes en el marco de un acuerdo de ventas de bienes en consigna, en el supuesto previsto en la letra</w:t>
      </w:r>
      <w:r>
        <w:rPr>
          <w:spacing w:val="-13"/>
          <w:sz w:val="20"/>
        </w:rPr>
        <w:t> </w:t>
      </w:r>
      <w:r>
        <w:rPr>
          <w:sz w:val="20"/>
        </w:rPr>
        <w:t>b).</w:t>
      </w:r>
    </w:p>
    <w:p>
      <w:pPr>
        <w:pStyle w:val="BodyText"/>
        <w:spacing w:line="249" w:lineRule="auto" w:before="174"/>
        <w:ind w:left="1754" w:right="1273"/>
      </w:pPr>
      <w:r>
        <w:rPr/>
        <w:t>En los supuestos a que se refiere el primer párrafo del apartado 2 anterior, la rectificación se anotará en la declaración recapitulativa del período de declaración en el que haya sido notificada al destinatario de los bienes o servicios.»</w:t>
      </w:r>
    </w:p>
    <w:p>
      <w:pPr>
        <w:pStyle w:val="BodyText"/>
        <w:spacing w:before="122"/>
        <w:ind w:left="1414" w:firstLine="0"/>
        <w:jc w:val="left"/>
      </w:pPr>
      <w:r>
        <w:rPr/>
        <w:t>Cinco. Se suprimen los apartados 4 y 5 del artículo 81.</w:t>
      </w:r>
    </w:p>
    <w:p>
      <w:pPr>
        <w:pStyle w:val="BodyText"/>
        <w:spacing w:before="0"/>
        <w:ind w:left="0" w:firstLine="0"/>
        <w:jc w:val="left"/>
        <w:rPr>
          <w:sz w:val="26"/>
        </w:rPr>
      </w:pPr>
    </w:p>
    <w:p>
      <w:pPr>
        <w:pStyle w:val="BodyText"/>
        <w:spacing w:before="171"/>
        <w:ind w:left="2930" w:right="3127" w:firstLine="0"/>
        <w:jc w:val="center"/>
      </w:pPr>
      <w:bookmarkStart w:name="TÍTULO II. Transposición de la Directiva" w:id="368"/>
      <w:bookmarkEnd w:id="368"/>
      <w:r>
        <w:rPr/>
      </w:r>
      <w:bookmarkStart w:name="_bookmark75" w:id="369"/>
      <w:bookmarkEnd w:id="369"/>
      <w:r>
        <w:rPr/>
      </w:r>
      <w:r>
        <w:rPr/>
        <w:t>TÍTULO II</w:t>
      </w:r>
    </w:p>
    <w:p>
      <w:pPr>
        <w:pStyle w:val="Heading1"/>
        <w:spacing w:line="249" w:lineRule="auto"/>
        <w:ind w:right="1612" w:hanging="2"/>
      </w:pPr>
      <w:r>
        <w:rPr/>
        <w:t>Transposición de la Directiva (UE) 2017/1852 del Consejo, de 10 de octubre de 2017, relativa a los mecanismos de resolución de litigios fiscales en la Unión Europea, armonizando así el marco de resolución de procedimientos  amistosos y reforzando la seguridad</w:t>
      </w:r>
      <w:r>
        <w:rPr>
          <w:spacing w:val="-8"/>
        </w:rPr>
        <w:t> </w:t>
      </w:r>
      <w:r>
        <w:rPr/>
        <w:t>jurídica</w:t>
      </w:r>
    </w:p>
    <w:p>
      <w:pPr>
        <w:pStyle w:val="BodyText"/>
        <w:spacing w:before="0"/>
        <w:ind w:left="0" w:firstLine="0"/>
        <w:jc w:val="left"/>
        <w:rPr>
          <w:b/>
          <w:sz w:val="22"/>
        </w:rPr>
      </w:pPr>
    </w:p>
    <w:p>
      <w:pPr>
        <w:pStyle w:val="BodyText"/>
        <w:spacing w:before="8"/>
        <w:ind w:left="0" w:firstLine="0"/>
        <w:jc w:val="left"/>
        <w:rPr>
          <w:b/>
          <w:sz w:val="17"/>
        </w:rPr>
      </w:pPr>
    </w:p>
    <w:p>
      <w:pPr>
        <w:pStyle w:val="BodyText"/>
        <w:spacing w:before="1"/>
        <w:ind w:left="2929" w:right="3127" w:firstLine="0"/>
        <w:jc w:val="center"/>
      </w:pPr>
      <w:bookmarkStart w:name="CAPÍTULO I. Modificación del texto refun" w:id="370"/>
      <w:bookmarkEnd w:id="370"/>
      <w:r>
        <w:rPr/>
      </w:r>
      <w:bookmarkStart w:name="_bookmark76" w:id="371"/>
      <w:bookmarkEnd w:id="371"/>
      <w:r>
        <w:rPr/>
      </w:r>
      <w:r>
        <w:rPr/>
        <w:t>CAPÍTULO I</w:t>
      </w:r>
    </w:p>
    <w:p>
      <w:pPr>
        <w:pStyle w:val="Heading1"/>
        <w:spacing w:line="249" w:lineRule="auto"/>
        <w:ind w:right="1610"/>
      </w:pPr>
      <w:r>
        <w:rPr/>
        <w:t>Modificación del texto refundido de la Ley del Impuesto sobre la Renta de no Residentes, aprobado por el Real Decreto Legislativo 5/2004, de 5 de marzo</w:t>
      </w:r>
    </w:p>
    <w:p>
      <w:pPr>
        <w:pStyle w:val="BodyText"/>
        <w:spacing w:before="10"/>
        <w:ind w:left="0" w:firstLine="0"/>
        <w:jc w:val="left"/>
        <w:rPr>
          <w:b/>
          <w:sz w:val="19"/>
        </w:rPr>
      </w:pPr>
    </w:p>
    <w:p>
      <w:pPr>
        <w:spacing w:line="249" w:lineRule="auto" w:before="0"/>
        <w:ind w:left="1074" w:right="1272" w:hanging="1"/>
        <w:jc w:val="both"/>
        <w:rPr>
          <w:i/>
          <w:sz w:val="20"/>
        </w:rPr>
      </w:pPr>
      <w:bookmarkStart w:name="Artículo 217. Modificación del texto ref" w:id="372"/>
      <w:bookmarkEnd w:id="372"/>
      <w:r>
        <w:rPr/>
      </w:r>
      <w:r>
        <w:rPr>
          <w:b/>
          <w:sz w:val="20"/>
        </w:rPr>
        <w:t>Artículo 217. </w:t>
      </w:r>
      <w:r>
        <w:rPr>
          <w:i/>
          <w:sz w:val="20"/>
        </w:rPr>
        <w:t>Modificación del texto refundido de la Ley del Impuesto sobre la Renta de no </w:t>
      </w:r>
      <w:r>
        <w:rPr>
          <w:i/>
          <w:sz w:val="20"/>
        </w:rPr>
        <w:t>Residentes, aprobado por el Real Decreto Legislativo 5/2004, de 5 de marzo.</w:t>
      </w:r>
    </w:p>
    <w:p>
      <w:pPr>
        <w:pStyle w:val="BodyText"/>
        <w:spacing w:line="249" w:lineRule="auto" w:before="109"/>
        <w:ind w:right="1273"/>
      </w:pPr>
      <w:r>
        <w:rPr/>
        <w:t>Se modifica la disposición adicional primera del texto refundido de la Ley del Impuesto sobre la Renta de no Residentes, aprobado por el Real Decreto Legislativo 5/2004, de 5 de marzo, que queda redactada de la siguiente forma:</w:t>
      </w:r>
    </w:p>
    <w:p>
      <w:pPr>
        <w:pStyle w:val="BodyText"/>
        <w:spacing w:before="5"/>
        <w:ind w:left="0" w:firstLine="0"/>
        <w:jc w:val="left"/>
      </w:pPr>
    </w:p>
    <w:p>
      <w:pPr>
        <w:spacing w:before="0"/>
        <w:ind w:left="1754" w:right="0" w:firstLine="0"/>
        <w:jc w:val="both"/>
        <w:rPr>
          <w:i/>
          <w:sz w:val="20"/>
        </w:rPr>
      </w:pPr>
      <w:r>
        <w:rPr>
          <w:b/>
          <w:sz w:val="20"/>
        </w:rPr>
        <w:t>«Disposición adicional primera. </w:t>
      </w:r>
      <w:r>
        <w:rPr>
          <w:i/>
          <w:sz w:val="20"/>
        </w:rPr>
        <w:t>Procedimientos amistosos.</w:t>
      </w:r>
    </w:p>
    <w:p>
      <w:pPr>
        <w:pStyle w:val="ListParagraph"/>
        <w:numPr>
          <w:ilvl w:val="0"/>
          <w:numId w:val="428"/>
        </w:numPr>
        <w:tabs>
          <w:tab w:pos="2321" w:val="left" w:leader="none"/>
        </w:tabs>
        <w:spacing w:line="249" w:lineRule="auto" w:before="118" w:after="0"/>
        <w:ind w:left="1754" w:right="1274" w:firstLine="340"/>
        <w:jc w:val="both"/>
        <w:rPr>
          <w:sz w:val="20"/>
        </w:rPr>
      </w:pPr>
      <w:r>
        <w:rPr>
          <w:sz w:val="20"/>
        </w:rPr>
        <w:t>Los conflictos que pudieran surgir con Administraciones de otros Estados en la aplicación de los convenios y tratados internacionales se resolverán de acuerdo con los procedimientos amistosos previstos en los propios convenios o tratados sin perjuicio del derecho a interponer los recursos o reclamaciones que pudieran resultar procedentes.</w:t>
      </w:r>
    </w:p>
    <w:p>
      <w:pPr>
        <w:pStyle w:val="ListParagraph"/>
        <w:numPr>
          <w:ilvl w:val="0"/>
          <w:numId w:val="428"/>
        </w:numPr>
        <w:tabs>
          <w:tab w:pos="2323" w:val="left" w:leader="none"/>
        </w:tabs>
        <w:spacing w:line="249" w:lineRule="auto" w:before="4" w:after="0"/>
        <w:ind w:left="1754" w:right="1274" w:firstLine="340"/>
        <w:jc w:val="both"/>
        <w:rPr>
          <w:sz w:val="20"/>
        </w:rPr>
      </w:pPr>
      <w:r>
        <w:rPr>
          <w:sz w:val="20"/>
        </w:rPr>
        <w:t>Lo establecido en esta disposición adicional resulta igualmente de aplicación a los mecanismos de resolución de aquellos litigios con otros Estados miembros de la Unión Europea que se deriven de los convenios y tratados internacionales por los que se dispone la eliminación de la doble imposición de la renta y, en su caso, del patrimonio a que se refiere la Directiva (UE) 2017/1852 del Consejo, de 10 de octubre de 2017, relativa a los mecanismos de resolución de litigios fiscales en la Unión</w:t>
      </w:r>
      <w:r>
        <w:rPr>
          <w:spacing w:val="-2"/>
          <w:sz w:val="20"/>
        </w:rPr>
        <w:t> </w:t>
      </w:r>
      <w:r>
        <w:rPr>
          <w:sz w:val="20"/>
        </w:rPr>
        <w:t>Europea.</w:t>
      </w:r>
    </w:p>
    <w:p>
      <w:pPr>
        <w:pStyle w:val="ListParagraph"/>
        <w:numPr>
          <w:ilvl w:val="0"/>
          <w:numId w:val="428"/>
        </w:numPr>
        <w:tabs>
          <w:tab w:pos="2374" w:val="left" w:leader="none"/>
        </w:tabs>
        <w:spacing w:line="249" w:lineRule="auto" w:before="6" w:after="0"/>
        <w:ind w:left="1754" w:right="1274" w:firstLine="340"/>
        <w:jc w:val="both"/>
        <w:rPr>
          <w:sz w:val="20"/>
        </w:rPr>
      </w:pPr>
      <w:r>
        <w:rPr>
          <w:sz w:val="20"/>
        </w:rPr>
        <w:t>La aplicación del acuerdo alcanzado entre ambas Administraciones en el ámbito de un procedimiento amistoso se realizará una vez que el acuerdo adquiera firmeza.</w:t>
      </w:r>
    </w:p>
    <w:p>
      <w:pPr>
        <w:pStyle w:val="BodyText"/>
        <w:spacing w:line="249" w:lineRule="auto"/>
        <w:ind w:left="1754" w:right="1272"/>
      </w:pPr>
      <w:r>
        <w:rPr/>
        <w:t>A estos efectos, se considerará que el acuerdo adquiere firmeza en la fecha de recepción de la última notificación de las autoridades competentes comunicando a las autoridades competentes del resto de los Estados afectados la aceptación por parte de las personas interesadas del contenido del mismo y su renuncia al derecho a recurrir respecto de los elementos de la obligación tributaria que hayan sido objeto del procedimiento amistoso, en su caso. En el supuesto de que los recursos ya se hubieran iniciado, el acuerdo únicamente adquirirá firmeza una vez que la persona afectada</w:t>
      </w:r>
      <w:r>
        <w:rPr>
          <w:spacing w:val="31"/>
        </w:rPr>
        <w:t> </w:t>
      </w:r>
      <w:r>
        <w:rPr/>
        <w:t>aporte</w:t>
      </w:r>
      <w:r>
        <w:rPr>
          <w:spacing w:val="31"/>
        </w:rPr>
        <w:t> </w:t>
      </w:r>
      <w:r>
        <w:rPr/>
        <w:t>pruebas</w:t>
      </w:r>
      <w:r>
        <w:rPr>
          <w:spacing w:val="32"/>
        </w:rPr>
        <w:t> </w:t>
      </w:r>
      <w:r>
        <w:rPr/>
        <w:t>a</w:t>
      </w:r>
      <w:r>
        <w:rPr>
          <w:spacing w:val="31"/>
        </w:rPr>
        <w:t> </w:t>
      </w:r>
      <w:r>
        <w:rPr/>
        <w:t>las</w:t>
      </w:r>
      <w:r>
        <w:rPr>
          <w:spacing w:val="32"/>
        </w:rPr>
        <w:t> </w:t>
      </w:r>
      <w:r>
        <w:rPr/>
        <w:t>autoridades</w:t>
      </w:r>
      <w:r>
        <w:rPr>
          <w:spacing w:val="31"/>
        </w:rPr>
        <w:t> </w:t>
      </w:r>
      <w:r>
        <w:rPr/>
        <w:t>competentes</w:t>
      </w:r>
      <w:r>
        <w:rPr>
          <w:spacing w:val="31"/>
        </w:rPr>
        <w:t> </w:t>
      </w:r>
      <w:r>
        <w:rPr/>
        <w:t>de</w:t>
      </w:r>
      <w:r>
        <w:rPr>
          <w:spacing w:val="32"/>
        </w:rPr>
        <w:t> </w:t>
      </w:r>
      <w:r>
        <w:rPr/>
        <w:t>los</w:t>
      </w:r>
      <w:r>
        <w:rPr>
          <w:spacing w:val="31"/>
        </w:rPr>
        <w:t> </w:t>
      </w:r>
      <w:r>
        <w:rPr/>
        <w:t>Estados</w:t>
      </w:r>
      <w:r>
        <w:rPr>
          <w:spacing w:val="32"/>
        </w:rPr>
        <w:t> </w:t>
      </w:r>
      <w:r>
        <w:rPr/>
        <w:t>miembros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3" w:hanging="1"/>
      </w:pPr>
      <w:r>
        <w:rPr/>
        <w:t>afectados de que se han tomado medidas para poner fin a dichos procedimientos respecto de los elementos de la obligación tributaria que hayan sido objeto del procedimiento amistoso.</w:t>
      </w:r>
    </w:p>
    <w:p>
      <w:pPr>
        <w:pStyle w:val="ListParagraph"/>
        <w:numPr>
          <w:ilvl w:val="0"/>
          <w:numId w:val="428"/>
        </w:numPr>
        <w:tabs>
          <w:tab w:pos="2340" w:val="left" w:leader="none"/>
        </w:tabs>
        <w:spacing w:line="249" w:lineRule="auto" w:before="2" w:after="0"/>
        <w:ind w:left="1754" w:right="1275" w:firstLine="340"/>
        <w:jc w:val="both"/>
        <w:rPr>
          <w:sz w:val="20"/>
        </w:rPr>
      </w:pPr>
      <w:r>
        <w:rPr>
          <w:sz w:val="20"/>
        </w:rPr>
        <w:t>A estos efectos, reglamentariamente se establecerá el procedimiento para la resolución de estos procedimientos amistosos, así como para la aplicación del acuerdo</w:t>
      </w:r>
      <w:r>
        <w:rPr>
          <w:spacing w:val="-2"/>
          <w:sz w:val="20"/>
        </w:rPr>
        <w:t> </w:t>
      </w:r>
      <w:r>
        <w:rPr>
          <w:sz w:val="20"/>
        </w:rPr>
        <w:t>resultante.</w:t>
      </w:r>
    </w:p>
    <w:p>
      <w:pPr>
        <w:pStyle w:val="ListParagraph"/>
        <w:numPr>
          <w:ilvl w:val="0"/>
          <w:numId w:val="428"/>
        </w:numPr>
        <w:tabs>
          <w:tab w:pos="2318" w:val="left" w:leader="none"/>
        </w:tabs>
        <w:spacing w:line="249" w:lineRule="auto" w:before="3" w:after="0"/>
        <w:ind w:left="1754" w:right="1274" w:firstLine="340"/>
        <w:jc w:val="both"/>
        <w:rPr>
          <w:sz w:val="20"/>
        </w:rPr>
      </w:pPr>
      <w:r>
        <w:rPr>
          <w:sz w:val="20"/>
        </w:rPr>
        <w:t>No podrá interponerse recurso alguno contra los citados acuerdos, sin perjuicio de los recursos previstos contra el acto o actos administrativos que se dicten en aplicación de dichos</w:t>
      </w:r>
      <w:r>
        <w:rPr>
          <w:spacing w:val="-4"/>
          <w:sz w:val="20"/>
        </w:rPr>
        <w:t> </w:t>
      </w:r>
      <w:r>
        <w:rPr>
          <w:sz w:val="20"/>
        </w:rPr>
        <w:t>acuerdos.</w:t>
      </w:r>
    </w:p>
    <w:p>
      <w:pPr>
        <w:pStyle w:val="ListParagraph"/>
        <w:numPr>
          <w:ilvl w:val="0"/>
          <w:numId w:val="428"/>
        </w:numPr>
        <w:tabs>
          <w:tab w:pos="2403" w:val="left" w:leader="none"/>
        </w:tabs>
        <w:spacing w:line="249" w:lineRule="auto" w:before="2" w:after="0"/>
        <w:ind w:left="1754" w:right="1274" w:firstLine="340"/>
        <w:jc w:val="both"/>
        <w:rPr>
          <w:sz w:val="20"/>
        </w:rPr>
      </w:pPr>
      <w:r>
        <w:rPr>
          <w:sz w:val="20"/>
        </w:rPr>
        <w:t>1.º En los procedimientos amistosos, el ingreso de la deuda quedará suspendido automáticamente a instancias del interesado cuando se garantice su importe y los recargos que pudieran proceder en el momento de la solicitud de la suspensión, en los términos que reglamentariamente se</w:t>
      </w:r>
      <w:r>
        <w:rPr>
          <w:spacing w:val="-7"/>
          <w:sz w:val="20"/>
        </w:rPr>
        <w:t> </w:t>
      </w:r>
      <w:r>
        <w:rPr>
          <w:sz w:val="20"/>
        </w:rPr>
        <w:t>establezcan.</w:t>
      </w:r>
    </w:p>
    <w:p>
      <w:pPr>
        <w:pStyle w:val="BodyText"/>
        <w:spacing w:line="249" w:lineRule="auto" w:before="3"/>
        <w:ind w:left="1754" w:right="1273"/>
      </w:pPr>
      <w:r>
        <w:rPr/>
        <w:t>No se podrá suspender el ingreso de la deuda, de acuerdo con lo previsto en el párrafo anterior, mientras se pueda solicitar la suspensión en vía administrativa o jurisdiccional.</w:t>
      </w:r>
    </w:p>
    <w:p>
      <w:pPr>
        <w:pStyle w:val="ListParagraph"/>
        <w:numPr>
          <w:ilvl w:val="0"/>
          <w:numId w:val="429"/>
        </w:numPr>
        <w:tabs>
          <w:tab w:pos="2263" w:val="left" w:leader="none"/>
        </w:tabs>
        <w:spacing w:line="249" w:lineRule="auto" w:before="3" w:after="0"/>
        <w:ind w:left="1754" w:right="1274" w:firstLine="340"/>
        <w:jc w:val="both"/>
        <w:rPr>
          <w:sz w:val="20"/>
        </w:rPr>
      </w:pPr>
      <w:r>
        <w:rPr>
          <w:sz w:val="20"/>
        </w:rPr>
        <w:t>º Las garantías admisibles para obtener la suspensión automática a la que se refiere el número anterior serán exclusivamente las</w:t>
      </w:r>
      <w:r>
        <w:rPr>
          <w:spacing w:val="-10"/>
          <w:sz w:val="20"/>
        </w:rPr>
        <w:t> </w:t>
      </w:r>
      <w:r>
        <w:rPr>
          <w:sz w:val="20"/>
        </w:rPr>
        <w:t>siguientes:</w:t>
      </w:r>
    </w:p>
    <w:p>
      <w:pPr>
        <w:pStyle w:val="ListParagraph"/>
        <w:numPr>
          <w:ilvl w:val="0"/>
          <w:numId w:val="430"/>
        </w:numPr>
        <w:tabs>
          <w:tab w:pos="2328" w:val="left" w:leader="none"/>
        </w:tabs>
        <w:spacing w:line="240" w:lineRule="auto" w:before="171" w:after="0"/>
        <w:ind w:left="2327" w:right="0" w:hanging="234"/>
        <w:jc w:val="left"/>
        <w:rPr>
          <w:sz w:val="20"/>
        </w:rPr>
      </w:pPr>
      <w:r>
        <w:rPr>
          <w:sz w:val="20"/>
        </w:rPr>
        <w:t>Depósito de dinero o valores</w:t>
      </w:r>
      <w:r>
        <w:rPr>
          <w:spacing w:val="-6"/>
          <w:sz w:val="20"/>
        </w:rPr>
        <w:t> </w:t>
      </w:r>
      <w:r>
        <w:rPr>
          <w:sz w:val="20"/>
        </w:rPr>
        <w:t>públicos.</w:t>
      </w:r>
    </w:p>
    <w:p>
      <w:pPr>
        <w:pStyle w:val="ListParagraph"/>
        <w:numPr>
          <w:ilvl w:val="0"/>
          <w:numId w:val="430"/>
        </w:numPr>
        <w:tabs>
          <w:tab w:pos="2329" w:val="left" w:leader="none"/>
        </w:tabs>
        <w:spacing w:line="249" w:lineRule="auto" w:before="10" w:after="0"/>
        <w:ind w:left="1754" w:right="1272" w:firstLine="340"/>
        <w:jc w:val="both"/>
        <w:rPr>
          <w:sz w:val="20"/>
        </w:rPr>
      </w:pPr>
      <w:r>
        <w:rPr>
          <w:sz w:val="20"/>
        </w:rPr>
        <w:t>Aval o fianza de carácter solidario de entidad de crédito o sociedad de garantía recíproca o certificado de seguro de</w:t>
      </w:r>
      <w:r>
        <w:rPr>
          <w:spacing w:val="-4"/>
          <w:sz w:val="20"/>
        </w:rPr>
        <w:t> </w:t>
      </w:r>
      <w:r>
        <w:rPr>
          <w:sz w:val="20"/>
        </w:rPr>
        <w:t>caución.</w:t>
      </w:r>
    </w:p>
    <w:p>
      <w:pPr>
        <w:pStyle w:val="ListParagraph"/>
        <w:numPr>
          <w:ilvl w:val="0"/>
          <w:numId w:val="429"/>
        </w:numPr>
        <w:tabs>
          <w:tab w:pos="2263" w:val="left" w:leader="none"/>
        </w:tabs>
        <w:spacing w:line="249" w:lineRule="auto" w:before="172" w:after="0"/>
        <w:ind w:left="1754" w:right="1273" w:firstLine="340"/>
        <w:jc w:val="both"/>
        <w:rPr>
          <w:sz w:val="20"/>
        </w:rPr>
      </w:pPr>
      <w:r>
        <w:rPr>
          <w:sz w:val="20"/>
        </w:rPr>
        <w:t>º Si los procedimientos amistosos no se refieren a la totalidad de la deuda, la suspensión prevista en este apartado se limitará al importe afectado por los procedimientos</w:t>
      </w:r>
      <w:r>
        <w:rPr>
          <w:spacing w:val="-2"/>
          <w:sz w:val="20"/>
        </w:rPr>
        <w:t> </w:t>
      </w:r>
      <w:r>
        <w:rPr>
          <w:sz w:val="20"/>
        </w:rPr>
        <w:t>amistosos.</w:t>
      </w:r>
    </w:p>
    <w:p>
      <w:pPr>
        <w:pStyle w:val="ListParagraph"/>
        <w:numPr>
          <w:ilvl w:val="0"/>
          <w:numId w:val="431"/>
        </w:numPr>
        <w:tabs>
          <w:tab w:pos="2359" w:val="left" w:leader="none"/>
        </w:tabs>
        <w:spacing w:line="249" w:lineRule="auto" w:before="173" w:after="0"/>
        <w:ind w:left="1754" w:right="1272" w:firstLine="340"/>
        <w:jc w:val="both"/>
        <w:rPr>
          <w:sz w:val="20"/>
        </w:rPr>
      </w:pPr>
      <w:r>
        <w:rPr>
          <w:sz w:val="20"/>
        </w:rPr>
        <w:t>En el caso de que, de conformidad con lo dispuesto en el apartado 1, se simultanee un procedimiento amistoso previsto en los convenios o tratados internacionales con un procedimiento de revisión de los regulados en el título V de Ley 58/2003, de 17 de diciembre, General Tributaria, se suspenderá el procedimiento de revisión, exclusivamente respecto de los elementos de la obligación tributaria que sean objeto del procedimiento amistoso, hasta la finalización de este</w:t>
      </w:r>
      <w:r>
        <w:rPr>
          <w:spacing w:val="-25"/>
          <w:sz w:val="20"/>
        </w:rPr>
        <w:t> </w:t>
      </w:r>
      <w:r>
        <w:rPr>
          <w:sz w:val="20"/>
        </w:rPr>
        <w:t>último.</w:t>
      </w:r>
    </w:p>
    <w:p>
      <w:pPr>
        <w:pStyle w:val="ListParagraph"/>
        <w:numPr>
          <w:ilvl w:val="0"/>
          <w:numId w:val="431"/>
        </w:numPr>
        <w:tabs>
          <w:tab w:pos="2323" w:val="left" w:leader="none"/>
        </w:tabs>
        <w:spacing w:line="249" w:lineRule="auto" w:before="5" w:after="0"/>
        <w:ind w:left="1754" w:right="1273" w:firstLine="340"/>
        <w:jc w:val="both"/>
        <w:rPr>
          <w:sz w:val="20"/>
        </w:rPr>
      </w:pPr>
      <w:r>
        <w:rPr>
          <w:sz w:val="20"/>
        </w:rPr>
        <w:t>En los casos en los que la existencia de sanciones excluya el acceso a la fase arbitral del procedimiento amistoso, lo establecido en el apartado 7 no será de aplicación cuando se hubiese recurrido en vía administrativa la imposición de sanciones. En este caso, se impedirá el acceso a la comisión arbitral del procedimiento amistoso hasta que recaiga resolución firme en vía administrativa o judicial en relación con la</w:t>
      </w:r>
      <w:r>
        <w:rPr>
          <w:spacing w:val="-4"/>
          <w:sz w:val="20"/>
        </w:rPr>
        <w:t> </w:t>
      </w:r>
      <w:r>
        <w:rPr>
          <w:sz w:val="20"/>
        </w:rPr>
        <w:t>sanción.</w:t>
      </w:r>
    </w:p>
    <w:p>
      <w:pPr>
        <w:pStyle w:val="ListParagraph"/>
        <w:numPr>
          <w:ilvl w:val="0"/>
          <w:numId w:val="431"/>
        </w:numPr>
        <w:tabs>
          <w:tab w:pos="2368" w:val="left" w:leader="none"/>
        </w:tabs>
        <w:spacing w:line="249" w:lineRule="auto" w:before="5" w:after="0"/>
        <w:ind w:left="1754" w:right="1272" w:firstLine="340"/>
        <w:jc w:val="both"/>
        <w:rPr>
          <w:sz w:val="20"/>
        </w:rPr>
      </w:pPr>
      <w:r>
        <w:rPr>
          <w:sz w:val="20"/>
        </w:rPr>
        <w:t>En los procedimientos tramitados al amparo del Convenio 90/436/CEE, la interposición de cualquier recurso o reclamación en vía administrativa o en vía contencioso-administrativa contra las sanciones impuestas a que se refiere el apartado 10 suspenderá la tramitación del procedimiento amistoso desde la interposición del primer recurso que proceda hasta que recaiga resolución firme en vía administrativa o judicial en relación con la</w:t>
      </w:r>
      <w:r>
        <w:rPr>
          <w:spacing w:val="-8"/>
          <w:sz w:val="20"/>
        </w:rPr>
        <w:t> </w:t>
      </w:r>
      <w:r>
        <w:rPr>
          <w:sz w:val="20"/>
        </w:rPr>
        <w:t>sanción.</w:t>
      </w:r>
    </w:p>
    <w:p>
      <w:pPr>
        <w:pStyle w:val="BodyText"/>
        <w:spacing w:line="249" w:lineRule="auto" w:before="4"/>
        <w:ind w:left="1754" w:right="1273"/>
      </w:pPr>
      <w:r>
        <w:rPr/>
        <w:t>No se admitirá el inicio o será causa de terminación del procedimiento amistoso previsto en el párrafo anterior si las empresas de las que se trate han sido objeto de una sanción, en los términos establecidos en el apartado 10 de esta disposición, con carácter firme.</w:t>
      </w:r>
    </w:p>
    <w:p>
      <w:pPr>
        <w:pStyle w:val="ListParagraph"/>
        <w:numPr>
          <w:ilvl w:val="0"/>
          <w:numId w:val="431"/>
        </w:numPr>
        <w:tabs>
          <w:tab w:pos="2445" w:val="left" w:leader="none"/>
        </w:tabs>
        <w:spacing w:line="249" w:lineRule="auto" w:before="4" w:after="0"/>
        <w:ind w:left="1754" w:right="1274" w:firstLine="340"/>
        <w:jc w:val="both"/>
        <w:rPr>
          <w:sz w:val="20"/>
        </w:rPr>
      </w:pPr>
      <w:r>
        <w:rPr>
          <w:sz w:val="20"/>
        </w:rPr>
        <w:t>A efectos de lo previsto en los apartados 8 y 9, tendrán la consideración de sanciones:</w:t>
      </w:r>
    </w:p>
    <w:p>
      <w:pPr>
        <w:pStyle w:val="ListParagraph"/>
        <w:numPr>
          <w:ilvl w:val="0"/>
          <w:numId w:val="432"/>
        </w:numPr>
        <w:tabs>
          <w:tab w:pos="2369" w:val="left" w:leader="none"/>
        </w:tabs>
        <w:spacing w:line="249" w:lineRule="auto" w:before="171" w:after="0"/>
        <w:ind w:left="1754" w:right="1275" w:firstLine="340"/>
        <w:jc w:val="both"/>
        <w:rPr>
          <w:sz w:val="20"/>
        </w:rPr>
      </w:pPr>
      <w:r>
        <w:rPr>
          <w:sz w:val="20"/>
        </w:rPr>
        <w:t>las penas por delitos contra la Hacienda Pública a los que se refieren los artículos 305 y 305 bis del Código</w:t>
      </w:r>
      <w:r>
        <w:rPr>
          <w:spacing w:val="-8"/>
          <w:sz w:val="20"/>
        </w:rPr>
        <w:t> </w:t>
      </w:r>
      <w:r>
        <w:rPr>
          <w:sz w:val="20"/>
        </w:rPr>
        <w:t>Penal;</w:t>
      </w:r>
    </w:p>
    <w:p>
      <w:pPr>
        <w:pStyle w:val="ListParagraph"/>
        <w:numPr>
          <w:ilvl w:val="0"/>
          <w:numId w:val="432"/>
        </w:numPr>
        <w:tabs>
          <w:tab w:pos="2332" w:val="left" w:leader="none"/>
        </w:tabs>
        <w:spacing w:line="249" w:lineRule="auto" w:before="2" w:after="0"/>
        <w:ind w:left="1754" w:right="1273" w:firstLine="340"/>
        <w:jc w:val="both"/>
        <w:rPr>
          <w:sz w:val="20"/>
        </w:rPr>
      </w:pPr>
      <w:r>
        <w:rPr>
          <w:sz w:val="20"/>
        </w:rPr>
        <w:t>las sanciones por las infracciones a las que se refieren los artículos 191, 192 y 193 de la Ley 58/2003, de 17 de diciembre, General Tributaria, siempre que concurra algún criterio de calificación a los que se refiere el artículo 184 de dicha</w:t>
      </w:r>
      <w:r>
        <w:rPr>
          <w:spacing w:val="-24"/>
          <w:sz w:val="20"/>
        </w:rPr>
        <w:t> </w:t>
      </w:r>
      <w:r>
        <w:rPr>
          <w:sz w:val="20"/>
        </w:rPr>
        <w:t>Ley;</w:t>
      </w:r>
    </w:p>
    <w:p>
      <w:pPr>
        <w:pStyle w:val="ListParagraph"/>
        <w:numPr>
          <w:ilvl w:val="0"/>
          <w:numId w:val="432"/>
        </w:numPr>
        <w:tabs>
          <w:tab w:pos="2345" w:val="left" w:leader="none"/>
        </w:tabs>
        <w:spacing w:line="249" w:lineRule="auto" w:before="3" w:after="0"/>
        <w:ind w:left="1754" w:right="1272" w:firstLine="340"/>
        <w:jc w:val="both"/>
        <w:rPr>
          <w:sz w:val="20"/>
        </w:rPr>
      </w:pPr>
      <w:r>
        <w:rPr>
          <w:sz w:val="20"/>
        </w:rPr>
        <w:t>las sanciones por las infracciones establecidas en el artículo 18.13.2.º de la Ley</w:t>
      </w:r>
      <w:r>
        <w:rPr>
          <w:spacing w:val="42"/>
          <w:sz w:val="20"/>
        </w:rPr>
        <w:t> </w:t>
      </w:r>
      <w:r>
        <w:rPr>
          <w:sz w:val="20"/>
        </w:rPr>
        <w:t>27/2014,</w:t>
      </w:r>
      <w:r>
        <w:rPr>
          <w:spacing w:val="42"/>
          <w:sz w:val="20"/>
        </w:rPr>
        <w:t> </w:t>
      </w:r>
      <w:r>
        <w:rPr>
          <w:sz w:val="20"/>
        </w:rPr>
        <w:t>de</w:t>
      </w:r>
      <w:r>
        <w:rPr>
          <w:spacing w:val="42"/>
          <w:sz w:val="20"/>
        </w:rPr>
        <w:t> </w:t>
      </w:r>
      <w:r>
        <w:rPr>
          <w:sz w:val="20"/>
        </w:rPr>
        <w:t>27</w:t>
      </w:r>
      <w:r>
        <w:rPr>
          <w:spacing w:val="43"/>
          <w:sz w:val="20"/>
        </w:rPr>
        <w:t> </w:t>
      </w:r>
      <w:r>
        <w:rPr>
          <w:sz w:val="20"/>
        </w:rPr>
        <w:t>de</w:t>
      </w:r>
      <w:r>
        <w:rPr>
          <w:spacing w:val="42"/>
          <w:sz w:val="20"/>
        </w:rPr>
        <w:t> </w:t>
      </w:r>
      <w:r>
        <w:rPr>
          <w:sz w:val="20"/>
        </w:rPr>
        <w:t>noviembre,</w:t>
      </w:r>
      <w:r>
        <w:rPr>
          <w:spacing w:val="42"/>
          <w:sz w:val="20"/>
        </w:rPr>
        <w:t> </w:t>
      </w:r>
      <w:r>
        <w:rPr>
          <w:sz w:val="20"/>
        </w:rPr>
        <w:t>del</w:t>
      </w:r>
      <w:r>
        <w:rPr>
          <w:spacing w:val="42"/>
          <w:sz w:val="20"/>
        </w:rPr>
        <w:t> </w:t>
      </w:r>
      <w:r>
        <w:rPr>
          <w:sz w:val="20"/>
        </w:rPr>
        <w:t>Impuesto</w:t>
      </w:r>
      <w:r>
        <w:rPr>
          <w:spacing w:val="43"/>
          <w:sz w:val="20"/>
        </w:rPr>
        <w:t> </w:t>
      </w:r>
      <w:r>
        <w:rPr>
          <w:sz w:val="20"/>
        </w:rPr>
        <w:t>sobre</w:t>
      </w:r>
      <w:r>
        <w:rPr>
          <w:spacing w:val="42"/>
          <w:sz w:val="20"/>
        </w:rPr>
        <w:t> </w:t>
      </w:r>
      <w:r>
        <w:rPr>
          <w:sz w:val="20"/>
        </w:rPr>
        <w:t>Sociedades,</w:t>
      </w:r>
      <w:r>
        <w:rPr>
          <w:spacing w:val="42"/>
          <w:sz w:val="20"/>
        </w:rPr>
        <w:t> </w:t>
      </w:r>
      <w:r>
        <w:rPr>
          <w:sz w:val="20"/>
        </w:rPr>
        <w:t>siempre</w:t>
      </w:r>
      <w:r>
        <w:rPr>
          <w:spacing w:val="43"/>
          <w:sz w:val="20"/>
        </w:rPr>
        <w:t> </w:t>
      </w:r>
      <w:r>
        <w:rPr>
          <w:sz w:val="20"/>
        </w:rPr>
        <w:t>que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2" w:firstLine="0"/>
      </w:pPr>
      <w:r>
        <w:rPr/>
        <w:t>concurra algún criterio de calificación a los que se refiere el artículo 184 de la Ley 58/2003, de 17 de diciembre, General Tributaria. A estos efectos, las referencias en el citado artículo 184 a las declaraciones deberán entenderse realizadas a la documentación de precios de</w:t>
      </w:r>
      <w:r>
        <w:rPr>
          <w:spacing w:val="-6"/>
        </w:rPr>
        <w:t> </w:t>
      </w:r>
      <w:r>
        <w:rPr/>
        <w:t>transferencia.</w:t>
      </w:r>
    </w:p>
    <w:p>
      <w:pPr>
        <w:pStyle w:val="BodyText"/>
        <w:spacing w:line="249" w:lineRule="auto" w:before="173"/>
        <w:ind w:left="1754" w:right="1273"/>
      </w:pPr>
      <w:r>
        <w:rPr/>
        <w:t>No obstante lo establecido en la letra c), no tendrá la consideración de sanciones a efectos de lo previsto en los apartados 8 y 9, la sanción por infracción derivada de la presentación de documentación incompleta cuando no dificulten gravemente la cuantificación o determinación del valor de mercado.</w:t>
      </w:r>
    </w:p>
    <w:p>
      <w:pPr>
        <w:pStyle w:val="ListParagraph"/>
        <w:numPr>
          <w:ilvl w:val="0"/>
          <w:numId w:val="431"/>
        </w:numPr>
        <w:tabs>
          <w:tab w:pos="2502" w:val="left" w:leader="none"/>
        </w:tabs>
        <w:spacing w:line="249" w:lineRule="auto" w:before="3" w:after="0"/>
        <w:ind w:left="1754" w:right="1275" w:firstLine="340"/>
        <w:jc w:val="both"/>
        <w:rPr>
          <w:sz w:val="20"/>
        </w:rPr>
      </w:pPr>
      <w:r>
        <w:rPr>
          <w:sz w:val="20"/>
        </w:rPr>
        <w:t>Los procedimientos a que se refiere esta disposición se rigen por su normativa específica y supletoriamente, en cuanto resulte aplicable, por la normativa tributaria.</w:t>
      </w:r>
    </w:p>
    <w:p>
      <w:pPr>
        <w:pStyle w:val="ListParagraph"/>
        <w:numPr>
          <w:ilvl w:val="0"/>
          <w:numId w:val="431"/>
        </w:numPr>
        <w:tabs>
          <w:tab w:pos="2514" w:val="left" w:leader="none"/>
        </w:tabs>
        <w:spacing w:line="249" w:lineRule="auto" w:before="3" w:after="0"/>
        <w:ind w:left="1754" w:right="1271" w:firstLine="340"/>
        <w:jc w:val="both"/>
        <w:rPr>
          <w:sz w:val="20"/>
        </w:rPr>
      </w:pPr>
      <w:r>
        <w:rPr>
          <w:sz w:val="20"/>
        </w:rPr>
        <w:t>El Tribunal Económico-Administrativo Central será competente para el ejercicio de las funciones relativas a la constitución y funcionamiento de la comisión consultiva que se determinen</w:t>
      </w:r>
      <w:r>
        <w:rPr>
          <w:spacing w:val="-3"/>
          <w:sz w:val="20"/>
        </w:rPr>
        <w:t> </w:t>
      </w:r>
      <w:r>
        <w:rPr>
          <w:sz w:val="20"/>
        </w:rPr>
        <w:t>reglamentariamente.</w:t>
      </w:r>
    </w:p>
    <w:p>
      <w:pPr>
        <w:pStyle w:val="ListParagraph"/>
        <w:numPr>
          <w:ilvl w:val="0"/>
          <w:numId w:val="431"/>
        </w:numPr>
        <w:tabs>
          <w:tab w:pos="2482" w:val="left" w:leader="none"/>
        </w:tabs>
        <w:spacing w:line="249" w:lineRule="auto" w:before="2" w:after="0"/>
        <w:ind w:left="1754" w:right="1271" w:firstLine="340"/>
        <w:jc w:val="both"/>
        <w:rPr>
          <w:sz w:val="20"/>
        </w:rPr>
      </w:pPr>
      <w:r>
        <w:rPr>
          <w:sz w:val="20"/>
        </w:rPr>
        <w:t>Los miembros de la comisión consultiva o de la comisión de</w:t>
      </w:r>
      <w:r>
        <w:rPr>
          <w:spacing w:val="26"/>
          <w:sz w:val="20"/>
        </w:rPr>
        <w:t> </w:t>
      </w:r>
      <w:r>
        <w:rPr>
          <w:sz w:val="20"/>
        </w:rPr>
        <w:t>resolución alternativa constituida en el marco de un procedimiento amistoso estarán obligados  al más estricto y completo sigilo respecto de los datos tributarios que conocieran en su condición de tales de conformidad con lo dispuesto en el artículo 95 de la Ley 58/2003, de 17 de diciembre, General Tributaria. La infracción de dicho deber podrá dar lugar a las responsabilidades legales que pudieran derivarse conforme a la normativa</w:t>
      </w:r>
      <w:r>
        <w:rPr>
          <w:spacing w:val="-2"/>
          <w:sz w:val="20"/>
        </w:rPr>
        <w:t> </w:t>
      </w:r>
      <w:r>
        <w:rPr>
          <w:sz w:val="20"/>
        </w:rPr>
        <w:t>española.</w:t>
      </w:r>
    </w:p>
    <w:p>
      <w:pPr>
        <w:pStyle w:val="BodyText"/>
        <w:spacing w:line="249" w:lineRule="auto" w:before="6"/>
        <w:ind w:left="1754" w:right="1274"/>
      </w:pPr>
      <w:r>
        <w:rPr/>
        <w:t>Lo dispuesto en el párrafo anterior se entenderá sin perjuicio de la aplicación, en su caso, de la normativa interna de los otros Estados afectados en el ámbito propio de su jurisdicción.»</w:t>
      </w:r>
    </w:p>
    <w:p>
      <w:pPr>
        <w:pStyle w:val="BodyText"/>
        <w:spacing w:before="3"/>
        <w:ind w:left="0" w:firstLine="0"/>
        <w:jc w:val="left"/>
        <w:rPr>
          <w:sz w:val="30"/>
        </w:rPr>
      </w:pPr>
    </w:p>
    <w:p>
      <w:pPr>
        <w:pStyle w:val="BodyText"/>
        <w:spacing w:before="0"/>
        <w:ind w:left="2929" w:right="3127" w:firstLine="0"/>
        <w:jc w:val="center"/>
      </w:pPr>
      <w:bookmarkStart w:name="CAPÍTULO II. Modificación de la Ley 29/1" w:id="373"/>
      <w:bookmarkEnd w:id="373"/>
      <w:r>
        <w:rPr/>
      </w:r>
      <w:bookmarkStart w:name="_bookmark77" w:id="374"/>
      <w:bookmarkEnd w:id="374"/>
      <w:r>
        <w:rPr/>
      </w:r>
      <w:r>
        <w:rPr/>
        <w:t>CAPÍTULO II</w:t>
      </w:r>
    </w:p>
    <w:p>
      <w:pPr>
        <w:pStyle w:val="Heading1"/>
        <w:spacing w:line="249" w:lineRule="auto" w:before="124"/>
        <w:ind w:right="1611"/>
      </w:pPr>
      <w:r>
        <w:rPr/>
        <w:t>Modificación de la Ley 29/1998, de 13 de julio, reguladora de la Jurisdicción Contencioso-administrativa</w:t>
      </w:r>
    </w:p>
    <w:p>
      <w:pPr>
        <w:pStyle w:val="BodyText"/>
        <w:spacing w:before="10"/>
        <w:ind w:left="0" w:firstLine="0"/>
        <w:jc w:val="left"/>
        <w:rPr>
          <w:b/>
          <w:sz w:val="19"/>
        </w:rPr>
      </w:pPr>
    </w:p>
    <w:p>
      <w:pPr>
        <w:spacing w:line="249" w:lineRule="auto" w:before="0"/>
        <w:ind w:left="1074" w:right="1274" w:hanging="1"/>
        <w:jc w:val="both"/>
        <w:rPr>
          <w:i/>
          <w:sz w:val="20"/>
        </w:rPr>
      </w:pPr>
      <w:bookmarkStart w:name="Artículo 218. Modificación de la Ley 29/" w:id="375"/>
      <w:bookmarkEnd w:id="375"/>
      <w:r>
        <w:rPr/>
      </w:r>
      <w:r>
        <w:rPr>
          <w:b/>
          <w:sz w:val="20"/>
        </w:rPr>
        <w:t>Artículo 218. </w:t>
      </w:r>
      <w:r>
        <w:rPr>
          <w:i/>
          <w:sz w:val="20"/>
        </w:rPr>
        <w:t>Modificación de la Ley 29/1998, de 13 de julio, reguladora de la Jurisdicción </w:t>
      </w:r>
      <w:r>
        <w:rPr>
          <w:i/>
          <w:sz w:val="20"/>
        </w:rPr>
        <w:t>Contencioso-administrativa.</w:t>
      </w:r>
    </w:p>
    <w:p>
      <w:pPr>
        <w:pStyle w:val="BodyText"/>
        <w:spacing w:line="249" w:lineRule="auto" w:before="109"/>
        <w:ind w:right="1274"/>
      </w:pPr>
      <w:r>
        <w:rPr/>
        <w:t>Se modifica el apartado 2 de la disposición adicional novena de la Ley 29/1998, de 13 de julio, reguladora de la Jurisdicción Contencioso-administrativa, que queda redactado de la siguiente forma:</w:t>
      </w:r>
    </w:p>
    <w:p>
      <w:pPr>
        <w:pStyle w:val="BodyText"/>
        <w:spacing w:line="249" w:lineRule="auto" w:before="172"/>
        <w:ind w:left="1754" w:right="1273"/>
      </w:pPr>
      <w:r>
        <w:rPr/>
        <w:t>«2. Cuando el acto relativo a la liquidación de una deuda aduanera objeto de recurso, haya sido sometido a una decisión de las instituciones de la Unión Europea que haya de pronunciarse sobre la no contracción a posteriori, la devolución o la condonación de dicha deuda, se suspenderá el curso de los autos desde que esa circunstancia se ponga en conocimiento del órgano jurisdiccional y hasta que sea firme la resolución adoptada por dichas instituciones.</w:t>
      </w:r>
    </w:p>
    <w:p>
      <w:pPr>
        <w:pStyle w:val="BodyText"/>
        <w:spacing w:line="249" w:lineRule="auto" w:before="5"/>
        <w:ind w:left="1754" w:right="1273"/>
      </w:pPr>
      <w:r>
        <w:rPr/>
        <w:t>Igualmente procederá la suspensión del curso de los autos, exclusivamente respecto de los elementos de la obligación tributaria que sean objeto del procedimiento amistoso, desde que se inicie el procedimiento amistoso en materia de imposición directa a que se refiere la disposición adicional primera del texto refundido de la Ley del Impuesto sobre la Renta de no Residentes, aprobado por Real Decreto Legislativo 5/2004, de 5 de marzo, hasta que finalice dicho procedimiento amistoso.</w:t>
      </w:r>
    </w:p>
    <w:p>
      <w:pPr>
        <w:pStyle w:val="BodyText"/>
        <w:spacing w:line="249" w:lineRule="auto" w:before="5"/>
        <w:ind w:left="1754" w:right="1272"/>
      </w:pPr>
      <w:r>
        <w:rPr/>
        <w:t>En los procedimientos tramitados al amparo del Convenio 90/436/CEE y en los casos en los que la existencia de sanciones excluya el acceso a la fase arbitral del procedimiento amistoso, lo establecido en el párrafo anterior no será de aplicación cuando se haya interpuesto cualquier recurso en vía contencioso-administrativa contra las sanciones.»</w:t>
      </w:r>
    </w:p>
    <w:p>
      <w:pPr>
        <w:pStyle w:val="BodyText"/>
        <w:spacing w:before="7"/>
        <w:ind w:left="0" w:firstLine="0"/>
        <w:jc w:val="left"/>
      </w:pPr>
    </w:p>
    <w:p>
      <w:pPr>
        <w:spacing w:before="0"/>
        <w:ind w:left="1074" w:right="0" w:firstLine="0"/>
        <w:jc w:val="both"/>
        <w:rPr>
          <w:i/>
          <w:sz w:val="20"/>
        </w:rPr>
      </w:pPr>
      <w:bookmarkStart w:name="[Disposiciones adicionales]" w:id="376"/>
      <w:bookmarkEnd w:id="376"/>
      <w:r>
        <w:rPr/>
      </w:r>
      <w:bookmarkStart w:name="Disposición adicional primera. Cláusula " w:id="377"/>
      <w:bookmarkEnd w:id="377"/>
      <w:r>
        <w:rPr/>
      </w:r>
      <w:bookmarkStart w:name="_bookmark78" w:id="378"/>
      <w:bookmarkEnd w:id="378"/>
      <w:r>
        <w:rPr/>
      </w:r>
      <w:r>
        <w:rPr>
          <w:b/>
          <w:sz w:val="20"/>
        </w:rPr>
        <w:t>Disposición adicional primera. </w:t>
      </w:r>
      <w:r>
        <w:rPr>
          <w:i/>
          <w:sz w:val="20"/>
        </w:rPr>
        <w:t>Cláusula de trato no menos favorable.</w:t>
      </w:r>
    </w:p>
    <w:p>
      <w:pPr>
        <w:pStyle w:val="BodyText"/>
        <w:spacing w:line="249" w:lineRule="auto" w:before="118"/>
        <w:ind w:right="1273"/>
      </w:pPr>
      <w:r>
        <w:rPr/>
        <w:t>Las entidades contratantes pertenecientes al Sector Público concederán en los procedimientos de adjudicación de los contratos de obra, de suministro o de servicios, a los</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2" w:firstLine="0"/>
      </w:pPr>
      <w:r>
        <w:rPr/>
        <w:t>operadores económicos procedentes de Estados que tengan acuerdos internacionales que vinculen a la Unión Europea o al Estado, un trato no menos favorable que el concedido a las obras, los suministros, los servicios y los operadores económicos de la Unión Europea.</w:t>
      </w:r>
    </w:p>
    <w:p>
      <w:pPr>
        <w:pStyle w:val="BodyText"/>
        <w:spacing w:before="4"/>
        <w:ind w:left="0" w:firstLine="0"/>
        <w:jc w:val="left"/>
      </w:pPr>
    </w:p>
    <w:p>
      <w:pPr>
        <w:spacing w:before="1"/>
        <w:ind w:left="1074" w:right="0" w:firstLine="0"/>
        <w:jc w:val="both"/>
        <w:rPr>
          <w:i/>
          <w:sz w:val="20"/>
        </w:rPr>
      </w:pPr>
      <w:bookmarkStart w:name="Disposición adicional segunda. Impuesto " w:id="379"/>
      <w:bookmarkEnd w:id="379"/>
      <w:r>
        <w:rPr/>
      </w:r>
      <w:r>
        <w:rPr>
          <w:b/>
          <w:sz w:val="20"/>
        </w:rPr>
        <w:t>Disposición adicional segunda. </w:t>
      </w:r>
      <w:r>
        <w:rPr>
          <w:i/>
          <w:sz w:val="20"/>
        </w:rPr>
        <w:t>Impuesto sobre el Valor Añadido.</w:t>
      </w:r>
    </w:p>
    <w:p>
      <w:pPr>
        <w:pStyle w:val="BodyText"/>
        <w:spacing w:line="249" w:lineRule="auto" w:before="117"/>
        <w:ind w:right="1272"/>
      </w:pPr>
      <w:r>
        <w:rPr/>
        <w:t>En las cantidades establecidas en el presente real decreto-ley, del Libro primero, no se considerará incluido el importe correspondiente al Impuesto sobre el Valor Añadido, ni el Impuesto General Indirecto Canario, ni el Impuesto sobre la Producción, los Servicios y la Importación en función de los territorios en que sean aplicables.</w:t>
      </w:r>
    </w:p>
    <w:p>
      <w:pPr>
        <w:pStyle w:val="BodyText"/>
        <w:spacing w:before="6"/>
        <w:ind w:left="0" w:firstLine="0"/>
        <w:jc w:val="left"/>
      </w:pPr>
    </w:p>
    <w:p>
      <w:pPr>
        <w:spacing w:line="249" w:lineRule="auto" w:before="0"/>
        <w:ind w:left="1074" w:right="1274" w:firstLine="0"/>
        <w:jc w:val="both"/>
        <w:rPr>
          <w:i/>
          <w:sz w:val="20"/>
        </w:rPr>
      </w:pPr>
      <w:bookmarkStart w:name="Disposición adicional tercera. Responsab" w:id="380"/>
      <w:bookmarkEnd w:id="380"/>
      <w:r>
        <w:rPr/>
      </w:r>
      <w:r>
        <w:rPr>
          <w:b/>
          <w:sz w:val="20"/>
        </w:rPr>
        <w:t>Disposición adicional tercera. </w:t>
      </w:r>
      <w:r>
        <w:rPr>
          <w:i/>
          <w:sz w:val="20"/>
        </w:rPr>
        <w:t>Responsabilidad del personal al servicio de las entidades </w:t>
      </w:r>
      <w:r>
        <w:rPr>
          <w:i/>
          <w:sz w:val="20"/>
        </w:rPr>
        <w:t>contratantes pertenecientes al Sector Público.</w:t>
      </w:r>
    </w:p>
    <w:p>
      <w:pPr>
        <w:pStyle w:val="BodyText"/>
        <w:spacing w:line="249" w:lineRule="auto" w:before="109"/>
        <w:ind w:right="1274"/>
      </w:pPr>
      <w:r>
        <w:rPr/>
        <w:t>La infracción o aplicación indebida de los preceptos contenidos en el Libro primero del real decreto-ley por parte del personal al servicio de las entidades contratantes pertenecientes al Sector Público que estén incluidas en el ámbito de aplicación del Texto Refundido de la Ley del Estatuto Básico del Empleado Público, aprobado por Real Decreto Legislativo 5/2015, de 30 de octubre, dará lugar a responsabilidad disciplinaria, que se exigirá conforme a la normativa específica en la</w:t>
      </w:r>
      <w:r>
        <w:rPr>
          <w:spacing w:val="-11"/>
        </w:rPr>
        <w:t> </w:t>
      </w:r>
      <w:r>
        <w:rPr/>
        <w:t>materia.</w:t>
      </w:r>
    </w:p>
    <w:p>
      <w:pPr>
        <w:pStyle w:val="BodyText"/>
        <w:spacing w:before="8"/>
        <w:ind w:left="0" w:firstLine="0"/>
        <w:jc w:val="left"/>
      </w:pPr>
    </w:p>
    <w:p>
      <w:pPr>
        <w:spacing w:before="0"/>
        <w:ind w:left="1074" w:right="0" w:firstLine="0"/>
        <w:jc w:val="both"/>
        <w:rPr>
          <w:i/>
          <w:sz w:val="20"/>
        </w:rPr>
      </w:pPr>
      <w:bookmarkStart w:name="Disposición adicional cuarta. Accesibili" w:id="381"/>
      <w:bookmarkEnd w:id="381"/>
      <w:r>
        <w:rPr/>
      </w:r>
      <w:r>
        <w:rPr>
          <w:b/>
          <w:sz w:val="20"/>
        </w:rPr>
        <w:t>Disposición adicional cuarta.</w:t>
      </w:r>
      <w:r>
        <w:rPr>
          <w:b/>
          <w:spacing w:val="53"/>
          <w:sz w:val="20"/>
        </w:rPr>
        <w:t> </w:t>
      </w:r>
      <w:r>
        <w:rPr>
          <w:i/>
          <w:sz w:val="20"/>
        </w:rPr>
        <w:t>Accesibilidad.</w:t>
      </w:r>
    </w:p>
    <w:p>
      <w:pPr>
        <w:pStyle w:val="BodyText"/>
        <w:spacing w:line="249" w:lineRule="auto" w:before="117"/>
        <w:ind w:right="1272"/>
      </w:pPr>
      <w:r>
        <w:rPr/>
        <w:t>En el ámbito de la contratación sujeta a este real decreto-ley, la determinación de los medios de comunicación admisibles, el diseño de los elementos instrumentales y el desarrollo del procedimiento deberán realizarse teniendo en cuenta criterios de accesibilidad universal y de diseño para todos, tal y como son definidos estos términos en el Real Decreto Legislativo 1/2013, de 29 de noviembre, por el que se aprueba el texto refundido de la Ley General de derechos de las personas con discapacidad y de su inclusión</w:t>
      </w:r>
      <w:r>
        <w:rPr>
          <w:spacing w:val="-22"/>
        </w:rPr>
        <w:t> </w:t>
      </w:r>
      <w:r>
        <w:rPr/>
        <w:t>social.</w:t>
      </w:r>
    </w:p>
    <w:p>
      <w:pPr>
        <w:pStyle w:val="BodyText"/>
        <w:spacing w:before="8"/>
        <w:ind w:left="0" w:firstLine="0"/>
        <w:jc w:val="left"/>
      </w:pPr>
    </w:p>
    <w:p>
      <w:pPr>
        <w:spacing w:line="249" w:lineRule="auto" w:before="0"/>
        <w:ind w:left="1074" w:right="1273" w:firstLine="0"/>
        <w:jc w:val="both"/>
        <w:rPr>
          <w:i/>
          <w:sz w:val="20"/>
        </w:rPr>
      </w:pPr>
      <w:bookmarkStart w:name="Disposición adicional quinta. Régimen ju" w:id="382"/>
      <w:bookmarkEnd w:id="382"/>
      <w:r>
        <w:rPr/>
      </w:r>
      <w:r>
        <w:rPr>
          <w:b/>
          <w:sz w:val="20"/>
        </w:rPr>
        <w:t>Disposición adicional quinta. </w:t>
      </w:r>
      <w:r>
        <w:rPr>
          <w:i/>
          <w:sz w:val="20"/>
        </w:rPr>
        <w:t>Régimen jurídico aplicable a los contratos excluidos del </w:t>
      </w:r>
      <w:r>
        <w:rPr>
          <w:i/>
          <w:sz w:val="20"/>
        </w:rPr>
        <w:t>ámbito de este real decreto-ley que se celebren por entidades del Sector Público.</w:t>
      </w:r>
    </w:p>
    <w:p>
      <w:pPr>
        <w:pStyle w:val="BodyText"/>
        <w:spacing w:line="249" w:lineRule="auto" w:before="109"/>
        <w:ind w:right="1274"/>
      </w:pPr>
      <w:r>
        <w:rPr/>
        <w:t>Los contratos que estando excluidos del ámbito de aplicación de este real decreto-ley tengan por objeto las actividades indicadas en sus artículos 8 a 14, serán adjudicados por las entidades pertenecientes al Sector Público con sujeción al régimen jurídico que en cada caso resulte de la aplicación de la disposición adicional octava de la Ley 9/2017, de 8 de noviembre.</w:t>
      </w:r>
    </w:p>
    <w:p>
      <w:pPr>
        <w:pStyle w:val="BodyText"/>
        <w:spacing w:before="7"/>
        <w:ind w:left="0" w:firstLine="0"/>
        <w:jc w:val="left"/>
      </w:pPr>
    </w:p>
    <w:p>
      <w:pPr>
        <w:spacing w:before="0"/>
        <w:ind w:left="1074" w:right="0" w:firstLine="0"/>
        <w:jc w:val="both"/>
        <w:rPr>
          <w:i/>
          <w:sz w:val="20"/>
        </w:rPr>
      </w:pPr>
      <w:bookmarkStart w:name="Disposición adicional sexta. Actualizaci" w:id="383"/>
      <w:bookmarkEnd w:id="383"/>
      <w:r>
        <w:rPr/>
      </w:r>
      <w:r>
        <w:rPr>
          <w:b/>
          <w:sz w:val="20"/>
        </w:rPr>
        <w:t>Disposición adicional sexta. </w:t>
      </w:r>
      <w:r>
        <w:rPr>
          <w:i/>
          <w:sz w:val="20"/>
        </w:rPr>
        <w:t>Actualización de cifras fijadas por la Unión Europea.</w:t>
      </w:r>
    </w:p>
    <w:p>
      <w:pPr>
        <w:pStyle w:val="BodyText"/>
        <w:spacing w:line="249" w:lineRule="auto" w:before="118"/>
        <w:ind w:right="1272"/>
      </w:pPr>
      <w:r>
        <w:rPr/>
        <w:t>Las cifras que, en lo sucesivo, se fijen por la Comisión Europea sustituirán a las que figuran en el texto de este real decreto-ley. El Ministerio de Hacienda adoptará las medidas pertinentes para asegurar su publicidad.</w:t>
      </w:r>
    </w:p>
    <w:p>
      <w:pPr>
        <w:pStyle w:val="BodyText"/>
        <w:spacing w:before="4"/>
        <w:ind w:left="0" w:firstLine="0"/>
        <w:jc w:val="left"/>
      </w:pPr>
    </w:p>
    <w:p>
      <w:pPr>
        <w:spacing w:before="1"/>
        <w:ind w:left="1074" w:right="0" w:firstLine="0"/>
        <w:jc w:val="both"/>
        <w:rPr>
          <w:i/>
          <w:sz w:val="20"/>
        </w:rPr>
      </w:pPr>
      <w:bookmarkStart w:name="Disposición adicional séptima. Pagos dir" w:id="384"/>
      <w:bookmarkEnd w:id="384"/>
      <w:r>
        <w:rPr/>
      </w:r>
      <w:r>
        <w:rPr>
          <w:b/>
          <w:sz w:val="20"/>
        </w:rPr>
        <w:t>Disposición adicional séptima. </w:t>
      </w:r>
      <w:r>
        <w:rPr>
          <w:i/>
          <w:sz w:val="20"/>
        </w:rPr>
        <w:t>Pagos directos a los subcontratistas.</w:t>
      </w:r>
    </w:p>
    <w:p>
      <w:pPr>
        <w:pStyle w:val="ListParagraph"/>
        <w:numPr>
          <w:ilvl w:val="0"/>
          <w:numId w:val="433"/>
        </w:numPr>
        <w:tabs>
          <w:tab w:pos="1710" w:val="left" w:leader="none"/>
        </w:tabs>
        <w:spacing w:line="249" w:lineRule="auto" w:before="117" w:after="0"/>
        <w:ind w:left="1074" w:right="1274" w:firstLine="340"/>
        <w:jc w:val="both"/>
        <w:rPr>
          <w:sz w:val="20"/>
        </w:rPr>
      </w:pPr>
      <w:r>
        <w:rPr>
          <w:sz w:val="20"/>
        </w:rPr>
        <w:t>Sin perjuicio de lo previsto en el artículo 108 y siempre que se cumplan las condiciones establecidas en el artículo 107, la entidad contratante podrá prever en los Pliegos de condiciones que se realicen pagos directos a los</w:t>
      </w:r>
      <w:r>
        <w:rPr>
          <w:spacing w:val="-11"/>
          <w:sz w:val="20"/>
        </w:rPr>
        <w:t> </w:t>
      </w:r>
      <w:r>
        <w:rPr>
          <w:sz w:val="20"/>
        </w:rPr>
        <w:t>subcontratistas.</w:t>
      </w:r>
    </w:p>
    <w:p>
      <w:pPr>
        <w:pStyle w:val="ListParagraph"/>
        <w:numPr>
          <w:ilvl w:val="0"/>
          <w:numId w:val="433"/>
        </w:numPr>
        <w:tabs>
          <w:tab w:pos="1667" w:val="left" w:leader="none"/>
        </w:tabs>
        <w:spacing w:line="249" w:lineRule="auto" w:before="3" w:after="0"/>
        <w:ind w:left="1074" w:right="1273" w:firstLine="340"/>
        <w:jc w:val="both"/>
        <w:rPr>
          <w:sz w:val="20"/>
        </w:rPr>
      </w:pPr>
      <w:r>
        <w:rPr>
          <w:sz w:val="20"/>
        </w:rPr>
        <w:t>El subcontratista que cuente con la conformidad para percibir pagos directos podrá ceder sus derechos de</w:t>
      </w:r>
      <w:r>
        <w:rPr>
          <w:spacing w:val="-3"/>
          <w:sz w:val="20"/>
        </w:rPr>
        <w:t> </w:t>
      </w:r>
      <w:r>
        <w:rPr>
          <w:sz w:val="20"/>
        </w:rPr>
        <w:t>cobro.</w:t>
      </w:r>
    </w:p>
    <w:p>
      <w:pPr>
        <w:pStyle w:val="ListParagraph"/>
        <w:numPr>
          <w:ilvl w:val="0"/>
          <w:numId w:val="433"/>
        </w:numPr>
        <w:tabs>
          <w:tab w:pos="1651" w:val="left" w:leader="none"/>
        </w:tabs>
        <w:spacing w:line="249" w:lineRule="auto" w:before="1" w:after="0"/>
        <w:ind w:left="1074" w:right="1273" w:firstLine="340"/>
        <w:jc w:val="both"/>
        <w:rPr>
          <w:sz w:val="20"/>
        </w:rPr>
      </w:pPr>
      <w:r>
        <w:rPr>
          <w:sz w:val="20"/>
        </w:rPr>
        <w:t>Los pagos efectuados a favor del subcontratista se entenderán realizados por cuenta del contratista principal, manteniendo en relación con la entidad contratante la misma naturaleza de abonos a buena cuenta que la de las certificaciones de</w:t>
      </w:r>
      <w:r>
        <w:rPr>
          <w:spacing w:val="-19"/>
          <w:sz w:val="20"/>
        </w:rPr>
        <w:t> </w:t>
      </w:r>
      <w:r>
        <w:rPr>
          <w:sz w:val="20"/>
        </w:rPr>
        <w:t>obra.</w:t>
      </w:r>
    </w:p>
    <w:p>
      <w:pPr>
        <w:pStyle w:val="ListParagraph"/>
        <w:numPr>
          <w:ilvl w:val="0"/>
          <w:numId w:val="433"/>
        </w:numPr>
        <w:tabs>
          <w:tab w:pos="1645" w:val="left" w:leader="none"/>
        </w:tabs>
        <w:spacing w:line="249" w:lineRule="auto" w:before="3" w:after="0"/>
        <w:ind w:left="1074" w:right="1273" w:firstLine="340"/>
        <w:jc w:val="both"/>
        <w:rPr>
          <w:sz w:val="20"/>
        </w:rPr>
      </w:pPr>
      <w:r>
        <w:rPr>
          <w:sz w:val="20"/>
        </w:rPr>
        <w:t>En ningún caso será imputable a la entidad contratante el retraso en el pago derivado de la falta de conformidad del contratista principal a la factura presentada por el subcontratista.</w:t>
      </w:r>
    </w:p>
    <w:p>
      <w:pPr>
        <w:pStyle w:val="ListParagraph"/>
        <w:numPr>
          <w:ilvl w:val="0"/>
          <w:numId w:val="433"/>
        </w:numPr>
        <w:tabs>
          <w:tab w:pos="1679" w:val="left" w:leader="none"/>
        </w:tabs>
        <w:spacing w:line="249" w:lineRule="auto" w:before="2" w:after="0"/>
        <w:ind w:left="1074" w:right="1275" w:firstLine="340"/>
        <w:jc w:val="both"/>
        <w:rPr>
          <w:sz w:val="20"/>
        </w:rPr>
      </w:pPr>
      <w:r>
        <w:rPr>
          <w:sz w:val="20"/>
        </w:rPr>
        <w:t>Se autoriza a la persona titular del Ministerio de Hacienda para desarrollar, en el ámbito</w:t>
      </w:r>
      <w:r>
        <w:rPr>
          <w:spacing w:val="39"/>
          <w:sz w:val="20"/>
        </w:rPr>
        <w:t> </w:t>
      </w:r>
      <w:r>
        <w:rPr>
          <w:sz w:val="20"/>
        </w:rPr>
        <w:t>del</w:t>
      </w:r>
      <w:r>
        <w:rPr>
          <w:spacing w:val="39"/>
          <w:sz w:val="20"/>
        </w:rPr>
        <w:t> </w:t>
      </w:r>
      <w:r>
        <w:rPr>
          <w:sz w:val="20"/>
        </w:rPr>
        <w:t>sector</w:t>
      </w:r>
      <w:r>
        <w:rPr>
          <w:spacing w:val="39"/>
          <w:sz w:val="20"/>
        </w:rPr>
        <w:t> </w:t>
      </w:r>
      <w:r>
        <w:rPr>
          <w:sz w:val="20"/>
        </w:rPr>
        <w:t>público</w:t>
      </w:r>
      <w:r>
        <w:rPr>
          <w:spacing w:val="39"/>
          <w:sz w:val="20"/>
        </w:rPr>
        <w:t> </w:t>
      </w:r>
      <w:r>
        <w:rPr>
          <w:sz w:val="20"/>
        </w:rPr>
        <w:t>estatal,</w:t>
      </w:r>
      <w:r>
        <w:rPr>
          <w:spacing w:val="39"/>
          <w:sz w:val="20"/>
        </w:rPr>
        <w:t> </w:t>
      </w:r>
      <w:r>
        <w:rPr>
          <w:sz w:val="20"/>
        </w:rPr>
        <w:t>las</w:t>
      </w:r>
      <w:r>
        <w:rPr>
          <w:spacing w:val="39"/>
          <w:sz w:val="20"/>
        </w:rPr>
        <w:t> </w:t>
      </w:r>
      <w:r>
        <w:rPr>
          <w:sz w:val="20"/>
        </w:rPr>
        <w:t>previsiones</w:t>
      </w:r>
      <w:r>
        <w:rPr>
          <w:spacing w:val="39"/>
          <w:sz w:val="20"/>
        </w:rPr>
        <w:t> </w:t>
      </w:r>
      <w:r>
        <w:rPr>
          <w:sz w:val="20"/>
        </w:rPr>
        <w:t>contenidas</w:t>
      </w:r>
      <w:r>
        <w:rPr>
          <w:spacing w:val="39"/>
          <w:sz w:val="20"/>
        </w:rPr>
        <w:t> </w:t>
      </w:r>
      <w:r>
        <w:rPr>
          <w:sz w:val="20"/>
        </w:rPr>
        <w:t>en</w:t>
      </w:r>
      <w:r>
        <w:rPr>
          <w:spacing w:val="39"/>
          <w:sz w:val="20"/>
        </w:rPr>
        <w:t> </w:t>
      </w:r>
      <w:r>
        <w:rPr>
          <w:sz w:val="20"/>
        </w:rPr>
        <w:t>los</w:t>
      </w:r>
      <w:r>
        <w:rPr>
          <w:spacing w:val="39"/>
          <w:sz w:val="20"/>
        </w:rPr>
        <w:t> </w:t>
      </w:r>
      <w:r>
        <w:rPr>
          <w:sz w:val="20"/>
        </w:rPr>
        <w:t>apartados</w:t>
      </w:r>
      <w:r>
        <w:rPr>
          <w:spacing w:val="39"/>
          <w:sz w:val="20"/>
        </w:rPr>
        <w:t> </w:t>
      </w:r>
      <w:r>
        <w:rPr>
          <w:sz w:val="20"/>
        </w:rPr>
        <w:t>anteriores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hanging="1"/>
      </w:pPr>
      <w:r>
        <w:rPr/>
        <w:t>relativas a las características de la documentación que debe aportarse, el régimen de notificaciones, y el de certificaciones, operativa contable y facturación.</w:t>
      </w:r>
    </w:p>
    <w:p>
      <w:pPr>
        <w:pStyle w:val="BodyText"/>
        <w:spacing w:before="4"/>
        <w:ind w:left="0" w:firstLine="0"/>
        <w:jc w:val="left"/>
      </w:pPr>
    </w:p>
    <w:p>
      <w:pPr>
        <w:spacing w:line="249" w:lineRule="auto" w:before="0"/>
        <w:ind w:left="1074" w:right="1273" w:hanging="1"/>
        <w:jc w:val="both"/>
        <w:rPr>
          <w:i/>
          <w:sz w:val="20"/>
        </w:rPr>
      </w:pPr>
      <w:bookmarkStart w:name="Disposición adicional octava. Remisión d" w:id="385"/>
      <w:bookmarkEnd w:id="385"/>
      <w:r>
        <w:rPr/>
      </w:r>
      <w:r>
        <w:rPr>
          <w:b/>
          <w:sz w:val="20"/>
        </w:rPr>
        <w:t>Disposición adicional octava. </w:t>
      </w:r>
      <w:r>
        <w:rPr>
          <w:i/>
          <w:sz w:val="20"/>
        </w:rPr>
        <w:t>Remisión de contratos y de información al Comité Técnico </w:t>
      </w:r>
      <w:r>
        <w:rPr>
          <w:i/>
          <w:sz w:val="20"/>
        </w:rPr>
        <w:t>de Cuentas</w:t>
      </w:r>
      <w:r>
        <w:rPr>
          <w:i/>
          <w:spacing w:val="-3"/>
          <w:sz w:val="20"/>
        </w:rPr>
        <w:t> </w:t>
      </w:r>
      <w:r>
        <w:rPr>
          <w:i/>
          <w:sz w:val="20"/>
        </w:rPr>
        <w:t>Nacionales.</w:t>
      </w:r>
    </w:p>
    <w:p>
      <w:pPr>
        <w:pStyle w:val="BodyText"/>
        <w:spacing w:line="249" w:lineRule="auto" w:before="109"/>
        <w:ind w:right="1273"/>
      </w:pPr>
      <w:r>
        <w:rPr/>
        <w:t>Las entidades contratantes pertenecientes al Sector Público estarán sujetas a las obligaciones de remisión de contratos y de información que establecen las disposiciones adicionales cuadragésimo quinta y cuadragésima sexta de la Ley 9/2017, de 8 de noviembre.</w:t>
      </w:r>
    </w:p>
    <w:p>
      <w:pPr>
        <w:pStyle w:val="BodyText"/>
        <w:spacing w:before="5"/>
        <w:ind w:left="0" w:firstLine="0"/>
        <w:jc w:val="left"/>
      </w:pPr>
    </w:p>
    <w:p>
      <w:pPr>
        <w:spacing w:line="249" w:lineRule="auto" w:before="0"/>
        <w:ind w:left="1074" w:right="1273" w:firstLine="0"/>
        <w:jc w:val="both"/>
        <w:rPr>
          <w:i/>
          <w:sz w:val="20"/>
        </w:rPr>
      </w:pPr>
      <w:bookmarkStart w:name="Disposición adicional novena. Principios" w:id="386"/>
      <w:bookmarkEnd w:id="386"/>
      <w:r>
        <w:rPr/>
      </w:r>
      <w:r>
        <w:rPr>
          <w:b/>
          <w:sz w:val="20"/>
        </w:rPr>
        <w:t>Disposición adicional novena. </w:t>
      </w:r>
      <w:r>
        <w:rPr>
          <w:i/>
          <w:sz w:val="20"/>
        </w:rPr>
        <w:t>Principios aplicables a los contratos de concesión de </w:t>
      </w:r>
      <w:r>
        <w:rPr>
          <w:i/>
          <w:sz w:val="20"/>
        </w:rPr>
        <w:t>servicios del anexo I y a los contratos de servicios de carácter social, sanitario o educativo del anexo</w:t>
      </w:r>
      <w:r>
        <w:rPr>
          <w:i/>
          <w:spacing w:val="-3"/>
          <w:sz w:val="20"/>
        </w:rPr>
        <w:t> </w:t>
      </w:r>
      <w:r>
        <w:rPr>
          <w:i/>
          <w:sz w:val="20"/>
        </w:rPr>
        <w:t>I.</w:t>
      </w:r>
    </w:p>
    <w:p>
      <w:pPr>
        <w:pStyle w:val="BodyText"/>
        <w:spacing w:line="249" w:lineRule="auto" w:before="110"/>
        <w:ind w:right="1272"/>
      </w:pPr>
      <w:r>
        <w:rPr/>
        <w:t>Sin perjuicio de la aplicación de las disposiciones de este real decreto-ley y, entre otras, de las relativas al establecimiento de las prescripciones técnicas, de las condiciones  mínimas de solvencia, de los criterios de adjudicación y de las condiciones especiales de ejecución, en los procedimientos de licitación de contratos de concesión de los servicios que figuran en el anexo I y de contratos de carácter social, sanitario o educativo también del anexo I, las entidades contratantes velarán en todas sus fases por la necesidad de  garantizar la calidad, la continuidad, la accesibilidad, la asequibilidad, la disponibilidad y la exhaustividad de los servicios; las necesidades específicas de las distintas categorías de usuarios, incluidos los grupos desfavorecidos y vulnerables; la implicación de los usuarios de los servicios; y la innovación en la prestación del</w:t>
      </w:r>
      <w:r>
        <w:rPr>
          <w:spacing w:val="-11"/>
        </w:rPr>
        <w:t> </w:t>
      </w:r>
      <w:r>
        <w:rPr/>
        <w:t>servicio.</w:t>
      </w:r>
    </w:p>
    <w:p>
      <w:pPr>
        <w:pStyle w:val="BodyText"/>
        <w:spacing w:line="249" w:lineRule="auto" w:before="8"/>
        <w:ind w:right="1273"/>
      </w:pPr>
      <w:r>
        <w:rPr/>
        <w:t>Asimismo, al establecer los criterios de adjudicación de los contratos a que se refiere esta disposición adicional, la entidad contratante podrá referirlos a aspectos tales como: la experiencia del personal adscrito al contrato en la prestación de servicios dirigidos a sectores especialmente desfavorecidos o en la prestación de servicios de similar naturaleza en los términos establecidos en el artículo 66; la reinversión de los beneficios obtenidos en la mejora de los servicios que presta; el establecimiento de mecanismos de participación de los usuarios y de información y orientación de los</w:t>
      </w:r>
      <w:r>
        <w:rPr>
          <w:spacing w:val="-10"/>
        </w:rPr>
        <w:t> </w:t>
      </w:r>
      <w:r>
        <w:rPr/>
        <w:t>mismos.</w:t>
      </w:r>
    </w:p>
    <w:p>
      <w:pPr>
        <w:pStyle w:val="BodyText"/>
        <w:spacing w:before="9"/>
        <w:ind w:left="0" w:firstLine="0"/>
        <w:jc w:val="left"/>
      </w:pPr>
    </w:p>
    <w:p>
      <w:pPr>
        <w:spacing w:line="249" w:lineRule="auto" w:before="0"/>
        <w:ind w:left="1074" w:right="1274" w:firstLine="0"/>
        <w:jc w:val="both"/>
        <w:rPr>
          <w:i/>
          <w:sz w:val="20"/>
        </w:rPr>
      </w:pPr>
      <w:bookmarkStart w:name="Disposición adicional décima. Autorizaci" w:id="387"/>
      <w:bookmarkEnd w:id="387"/>
      <w:r>
        <w:rPr/>
      </w:r>
      <w:r>
        <w:rPr>
          <w:b/>
          <w:sz w:val="20"/>
        </w:rPr>
        <w:t>Disposición adicional décima. </w:t>
      </w:r>
      <w:r>
        <w:rPr>
          <w:i/>
          <w:sz w:val="20"/>
        </w:rPr>
        <w:t>Autorizaciones del artículo 324 de la Ley 9/2017, de 8 de </w:t>
      </w:r>
      <w:r>
        <w:rPr>
          <w:i/>
          <w:sz w:val="20"/>
        </w:rPr>
        <w:t>noviembre, de Contratos del Sector Público, por la que se transponen al ordenamiento jurídico español las Directivas del Parlamento Europeo y del Consejo 2014/23/UE y 2014/24/UE, de 26 de febrero de 2014.</w:t>
      </w:r>
    </w:p>
    <w:p>
      <w:pPr>
        <w:pStyle w:val="BodyText"/>
        <w:spacing w:line="249" w:lineRule="auto" w:before="111"/>
        <w:ind w:right="1272"/>
      </w:pPr>
      <w:r>
        <w:rPr/>
        <w:t>El régimen de autorizaciones que establece el artículo 324 de la Ley 9/2017, de 8 de noviembre, resultará de aplicación a los contratos que celebren con sujeción al presente real decreto-ley los órganos de contratación de las entidades del sector público estatal que tengan la consideración de poderes adjudicadores, en los términos establecidos en el mismo.</w:t>
      </w:r>
    </w:p>
    <w:p>
      <w:pPr>
        <w:pStyle w:val="BodyText"/>
        <w:spacing w:before="6"/>
        <w:ind w:left="0" w:firstLine="0"/>
        <w:jc w:val="left"/>
      </w:pPr>
    </w:p>
    <w:p>
      <w:pPr>
        <w:spacing w:line="249" w:lineRule="auto" w:before="0"/>
        <w:ind w:left="1074" w:right="1274" w:firstLine="0"/>
        <w:jc w:val="both"/>
        <w:rPr>
          <w:i/>
          <w:sz w:val="20"/>
        </w:rPr>
      </w:pPr>
      <w:bookmarkStart w:name="Disposición adicional undécima. Tasa por" w:id="388"/>
      <w:bookmarkEnd w:id="388"/>
      <w:r>
        <w:rPr/>
      </w:r>
      <w:r>
        <w:rPr>
          <w:b/>
          <w:sz w:val="20"/>
        </w:rPr>
        <w:t>Disposición adicional undécima. </w:t>
      </w:r>
      <w:r>
        <w:rPr>
          <w:i/>
          <w:sz w:val="20"/>
        </w:rPr>
        <w:t>Tasa por inscripción en el registro administrativo de </w:t>
      </w:r>
      <w:r>
        <w:rPr>
          <w:i/>
          <w:sz w:val="20"/>
        </w:rPr>
        <w:t>distribuidores de seguros y reaseguros.</w:t>
      </w:r>
    </w:p>
    <w:p>
      <w:pPr>
        <w:pStyle w:val="ListParagraph"/>
        <w:numPr>
          <w:ilvl w:val="0"/>
          <w:numId w:val="434"/>
        </w:numPr>
        <w:tabs>
          <w:tab w:pos="1637" w:val="left" w:leader="none"/>
        </w:tabs>
        <w:spacing w:line="240" w:lineRule="auto" w:before="109" w:after="0"/>
        <w:ind w:left="1636" w:right="0" w:hanging="223"/>
        <w:jc w:val="left"/>
        <w:rPr>
          <w:sz w:val="20"/>
        </w:rPr>
      </w:pPr>
      <w:r>
        <w:rPr>
          <w:sz w:val="20"/>
        </w:rPr>
        <w:t>Constituye el hecho imponible de la</w:t>
      </w:r>
      <w:r>
        <w:rPr>
          <w:spacing w:val="-8"/>
          <w:sz w:val="20"/>
        </w:rPr>
        <w:t> </w:t>
      </w:r>
      <w:r>
        <w:rPr>
          <w:sz w:val="20"/>
        </w:rPr>
        <w:t>tasa:</w:t>
      </w:r>
    </w:p>
    <w:p>
      <w:pPr>
        <w:pStyle w:val="ListParagraph"/>
        <w:numPr>
          <w:ilvl w:val="0"/>
          <w:numId w:val="435"/>
        </w:numPr>
        <w:tabs>
          <w:tab w:pos="1665" w:val="left" w:leader="none"/>
        </w:tabs>
        <w:spacing w:line="249" w:lineRule="auto" w:before="131" w:after="0"/>
        <w:ind w:left="1074" w:right="1271" w:firstLine="340"/>
        <w:jc w:val="both"/>
        <w:rPr>
          <w:sz w:val="20"/>
        </w:rPr>
      </w:pPr>
      <w:r>
        <w:rPr>
          <w:sz w:val="20"/>
        </w:rPr>
        <w:t>La inscripción en el registro administrativo de distribuidores de seguros y reaseguros de los mediadores de seguros o de reaseguros, y de los mediadores de seguros complementarios.</w:t>
      </w:r>
    </w:p>
    <w:p>
      <w:pPr>
        <w:pStyle w:val="ListParagraph"/>
        <w:numPr>
          <w:ilvl w:val="0"/>
          <w:numId w:val="435"/>
        </w:numPr>
        <w:tabs>
          <w:tab w:pos="1674" w:val="left" w:leader="none"/>
        </w:tabs>
        <w:spacing w:line="249" w:lineRule="auto" w:before="2" w:after="0"/>
        <w:ind w:left="1074" w:right="1272" w:firstLine="340"/>
        <w:jc w:val="both"/>
        <w:rPr>
          <w:sz w:val="20"/>
        </w:rPr>
      </w:pPr>
      <w:r>
        <w:rPr>
          <w:sz w:val="20"/>
        </w:rPr>
        <w:t>La inscripción de los administradores, de la persona responsable de la actividad de distribución y de las personas que formen parte del órgano de dirección responsable de las actividades de distribución de seguros o de reaseguros de las personas jurídicas inscritas como mediadores de seguros, mediadores de seguros complementarios o corredores </w:t>
      </w:r>
      <w:r>
        <w:rPr>
          <w:spacing w:val="-8"/>
          <w:sz w:val="20"/>
        </w:rPr>
        <w:t>de </w:t>
      </w:r>
      <w:r>
        <w:rPr>
          <w:sz w:val="20"/>
        </w:rPr>
        <w:t>reaseguros que, con arreglo al título I del libro segundo del real decreto-ley y a sus disposiciones reglamentarias de desarrollo, deban ser</w:t>
      </w:r>
      <w:r>
        <w:rPr>
          <w:spacing w:val="-9"/>
          <w:sz w:val="20"/>
        </w:rPr>
        <w:t> </w:t>
      </w:r>
      <w:r>
        <w:rPr>
          <w:sz w:val="20"/>
        </w:rPr>
        <w:t>inscritos.</w:t>
      </w:r>
    </w:p>
    <w:p>
      <w:pPr>
        <w:pStyle w:val="ListParagraph"/>
        <w:numPr>
          <w:ilvl w:val="0"/>
          <w:numId w:val="435"/>
        </w:numPr>
        <w:tabs>
          <w:tab w:pos="1684" w:val="left" w:leader="none"/>
        </w:tabs>
        <w:spacing w:line="249" w:lineRule="auto" w:before="5" w:after="0"/>
        <w:ind w:left="1074" w:right="1274" w:firstLine="340"/>
        <w:jc w:val="both"/>
        <w:rPr>
          <w:sz w:val="20"/>
        </w:rPr>
      </w:pPr>
      <w:r>
        <w:rPr>
          <w:sz w:val="20"/>
        </w:rPr>
        <w:t>La inscripción de la persona responsable de la actividad de distribución y de las personas que formen parte del órgano de dirección responsable de la actividad de distribución de seguros o de reaseguros en las entidades aseguradoras y</w:t>
      </w:r>
      <w:r>
        <w:rPr>
          <w:spacing w:val="-32"/>
          <w:sz w:val="20"/>
        </w:rPr>
        <w:t> </w:t>
      </w:r>
      <w:r>
        <w:rPr>
          <w:sz w:val="20"/>
        </w:rPr>
        <w:t>reaseguradoras.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35"/>
        </w:numPr>
        <w:tabs>
          <w:tab w:pos="1677" w:val="left" w:leader="none"/>
        </w:tabs>
        <w:spacing w:line="249" w:lineRule="auto" w:before="127" w:after="0"/>
        <w:ind w:left="1074" w:right="1274" w:firstLine="340"/>
        <w:jc w:val="both"/>
        <w:rPr>
          <w:sz w:val="20"/>
        </w:rPr>
      </w:pPr>
      <w:r>
        <w:rPr>
          <w:sz w:val="20"/>
        </w:rPr>
        <w:t>La inscripción de los actos relacionados con los anteriores, siempre que deban ser inscritos de acuerdo con lo exigido en las normas sobre distribución de seguros y de reaseguros</w:t>
      </w:r>
      <w:r>
        <w:rPr>
          <w:spacing w:val="-1"/>
          <w:sz w:val="20"/>
        </w:rPr>
        <w:t> </w:t>
      </w:r>
      <w:r>
        <w:rPr>
          <w:sz w:val="20"/>
        </w:rPr>
        <w:t>privados.</w:t>
      </w:r>
    </w:p>
    <w:p>
      <w:pPr>
        <w:pStyle w:val="ListParagraph"/>
        <w:numPr>
          <w:ilvl w:val="0"/>
          <w:numId w:val="435"/>
        </w:numPr>
        <w:tabs>
          <w:tab w:pos="1732" w:val="left" w:leader="none"/>
        </w:tabs>
        <w:spacing w:line="249" w:lineRule="auto" w:before="2" w:after="0"/>
        <w:ind w:left="1074" w:right="1275" w:firstLine="340"/>
        <w:jc w:val="both"/>
        <w:rPr>
          <w:sz w:val="20"/>
        </w:rPr>
      </w:pPr>
      <w:r>
        <w:rPr>
          <w:sz w:val="20"/>
        </w:rPr>
        <w:t>La expedición de certificados relativa a la información incluida en el registro administrativo a que se refiere el artículo 133 del título I del Libro</w:t>
      </w:r>
      <w:r>
        <w:rPr>
          <w:spacing w:val="-19"/>
          <w:sz w:val="20"/>
        </w:rPr>
        <w:t> </w:t>
      </w:r>
      <w:r>
        <w:rPr>
          <w:sz w:val="20"/>
        </w:rPr>
        <w:t>segundo.</w:t>
      </w:r>
    </w:p>
    <w:p>
      <w:pPr>
        <w:pStyle w:val="ListParagraph"/>
        <w:numPr>
          <w:ilvl w:val="0"/>
          <w:numId w:val="434"/>
        </w:numPr>
        <w:tabs>
          <w:tab w:pos="1656" w:val="left" w:leader="none"/>
        </w:tabs>
        <w:spacing w:line="249" w:lineRule="auto" w:before="122" w:after="0"/>
        <w:ind w:left="1074" w:right="1273" w:firstLine="340"/>
        <w:jc w:val="both"/>
        <w:rPr>
          <w:sz w:val="20"/>
        </w:rPr>
      </w:pPr>
      <w:r>
        <w:rPr>
          <w:sz w:val="20"/>
        </w:rPr>
        <w:t>La tasa no será exigible en los supuestos de inscripciones relativas a la cancelación de la</w:t>
      </w:r>
      <w:r>
        <w:rPr>
          <w:spacing w:val="-3"/>
          <w:sz w:val="20"/>
        </w:rPr>
        <w:t> </w:t>
      </w:r>
      <w:r>
        <w:rPr>
          <w:sz w:val="20"/>
        </w:rPr>
        <w:t>inscripción.</w:t>
      </w:r>
    </w:p>
    <w:p>
      <w:pPr>
        <w:pStyle w:val="ListParagraph"/>
        <w:numPr>
          <w:ilvl w:val="0"/>
          <w:numId w:val="434"/>
        </w:numPr>
        <w:tabs>
          <w:tab w:pos="1653" w:val="left" w:leader="none"/>
        </w:tabs>
        <w:spacing w:line="249" w:lineRule="auto" w:before="1" w:after="0"/>
        <w:ind w:left="1074" w:right="1274" w:firstLine="340"/>
        <w:jc w:val="both"/>
        <w:rPr>
          <w:sz w:val="20"/>
        </w:rPr>
      </w:pPr>
      <w:r>
        <w:rPr>
          <w:sz w:val="20"/>
        </w:rPr>
        <w:t>Será sujeto pasivo de la tasa la persona física o jurídica a cuyo favor se practique la inscripción en el registro administrativo de distribuidores de seguros y reaseguros y la persona física o jurídica solicitante de un certificado de dicho</w:t>
      </w:r>
      <w:r>
        <w:rPr>
          <w:spacing w:val="-12"/>
          <w:sz w:val="20"/>
        </w:rPr>
        <w:t> </w:t>
      </w:r>
      <w:r>
        <w:rPr>
          <w:sz w:val="20"/>
        </w:rPr>
        <w:t>registro.</w:t>
      </w:r>
    </w:p>
    <w:p>
      <w:pPr>
        <w:pStyle w:val="ListParagraph"/>
        <w:numPr>
          <w:ilvl w:val="0"/>
          <w:numId w:val="434"/>
        </w:numPr>
        <w:tabs>
          <w:tab w:pos="1637" w:val="left" w:leader="none"/>
        </w:tabs>
        <w:spacing w:line="240" w:lineRule="auto" w:before="3" w:after="0"/>
        <w:ind w:left="1636" w:right="0" w:hanging="223"/>
        <w:jc w:val="both"/>
        <w:rPr>
          <w:sz w:val="20"/>
        </w:rPr>
      </w:pPr>
      <w:r>
        <w:rPr>
          <w:sz w:val="20"/>
        </w:rPr>
        <w:t>La cuantía de la tasa</w:t>
      </w:r>
      <w:r>
        <w:rPr>
          <w:spacing w:val="-4"/>
          <w:sz w:val="20"/>
        </w:rPr>
        <w:t> </w:t>
      </w:r>
      <w:r>
        <w:rPr>
          <w:sz w:val="20"/>
        </w:rPr>
        <w:t>será:</w:t>
      </w:r>
    </w:p>
    <w:p>
      <w:pPr>
        <w:pStyle w:val="ListParagraph"/>
        <w:numPr>
          <w:ilvl w:val="0"/>
          <w:numId w:val="436"/>
        </w:numPr>
        <w:tabs>
          <w:tab w:pos="1655" w:val="left" w:leader="none"/>
        </w:tabs>
        <w:spacing w:line="249" w:lineRule="auto" w:before="130" w:after="0"/>
        <w:ind w:left="1074" w:right="1273" w:firstLine="340"/>
        <w:jc w:val="both"/>
        <w:rPr>
          <w:sz w:val="20"/>
        </w:rPr>
      </w:pPr>
      <w:r>
        <w:rPr>
          <w:sz w:val="20"/>
        </w:rPr>
        <w:t>Por la inscripción de un agente de seguros exclusivo, persona física, una cuota fija de 13,52</w:t>
      </w:r>
      <w:r>
        <w:rPr>
          <w:spacing w:val="-2"/>
          <w:sz w:val="20"/>
        </w:rPr>
        <w:t> </w:t>
      </w:r>
      <w:r>
        <w:rPr>
          <w:sz w:val="20"/>
        </w:rPr>
        <w:t>euros.</w:t>
      </w:r>
    </w:p>
    <w:p>
      <w:pPr>
        <w:pStyle w:val="ListParagraph"/>
        <w:numPr>
          <w:ilvl w:val="0"/>
          <w:numId w:val="436"/>
        </w:numPr>
        <w:tabs>
          <w:tab w:pos="1655" w:val="left" w:leader="none"/>
        </w:tabs>
        <w:spacing w:line="249" w:lineRule="auto" w:before="1" w:after="0"/>
        <w:ind w:left="1074" w:right="1275" w:firstLine="340"/>
        <w:jc w:val="both"/>
        <w:rPr>
          <w:sz w:val="20"/>
        </w:rPr>
      </w:pPr>
      <w:r>
        <w:rPr>
          <w:sz w:val="20"/>
        </w:rPr>
        <w:t>Por la inscripción de un agente de seguros vinculado, de un corredor de seguros o de reaseguros, personas físicas, una cuota fija de 71,80</w:t>
      </w:r>
      <w:r>
        <w:rPr>
          <w:spacing w:val="-7"/>
          <w:sz w:val="20"/>
        </w:rPr>
        <w:t> </w:t>
      </w:r>
      <w:r>
        <w:rPr>
          <w:sz w:val="20"/>
        </w:rPr>
        <w:t>euros.</w:t>
      </w:r>
    </w:p>
    <w:p>
      <w:pPr>
        <w:pStyle w:val="ListParagraph"/>
        <w:numPr>
          <w:ilvl w:val="0"/>
          <w:numId w:val="436"/>
        </w:numPr>
        <w:tabs>
          <w:tab w:pos="1649" w:val="left" w:leader="none"/>
        </w:tabs>
        <w:spacing w:line="249" w:lineRule="auto" w:before="2" w:after="0"/>
        <w:ind w:left="1074" w:right="1273" w:firstLine="340"/>
        <w:jc w:val="both"/>
        <w:rPr>
          <w:sz w:val="20"/>
        </w:rPr>
      </w:pPr>
      <w:r>
        <w:rPr>
          <w:sz w:val="20"/>
        </w:rPr>
        <w:t>Por la inscripción de una sociedad de agencia de seguros, de un operador de banca- seguros o de una sociedad de correduría de seguros o de reaseguros, una cuota fija de 168,58</w:t>
      </w:r>
      <w:r>
        <w:rPr>
          <w:spacing w:val="-2"/>
          <w:sz w:val="20"/>
        </w:rPr>
        <w:t> </w:t>
      </w:r>
      <w:r>
        <w:rPr>
          <w:sz w:val="20"/>
        </w:rPr>
        <w:t>euros.</w:t>
      </w:r>
    </w:p>
    <w:p>
      <w:pPr>
        <w:pStyle w:val="ListParagraph"/>
        <w:numPr>
          <w:ilvl w:val="0"/>
          <w:numId w:val="436"/>
        </w:numPr>
        <w:tabs>
          <w:tab w:pos="1699" w:val="left" w:leader="none"/>
        </w:tabs>
        <w:spacing w:line="249" w:lineRule="auto" w:before="3" w:after="0"/>
        <w:ind w:left="1074" w:right="1274" w:firstLine="340"/>
        <w:jc w:val="both"/>
        <w:rPr>
          <w:sz w:val="20"/>
        </w:rPr>
      </w:pPr>
      <w:r>
        <w:rPr>
          <w:sz w:val="20"/>
        </w:rPr>
        <w:t>Una cuota fija de 13,52 euros por la inscripción de cada administrador, persona responsable de la actividad de distribución o persona que forme parte del órgano de dirección responsable de las actividades de distribución de seguros o de reaseguros en las sociedades de agencia de seguros o de los operadores de banca-seguros, de correduría de seguros o de correduría de</w:t>
      </w:r>
      <w:r>
        <w:rPr>
          <w:spacing w:val="-4"/>
          <w:sz w:val="20"/>
        </w:rPr>
        <w:t> </w:t>
      </w:r>
      <w:r>
        <w:rPr>
          <w:sz w:val="20"/>
        </w:rPr>
        <w:t>reaseguros.</w:t>
      </w:r>
    </w:p>
    <w:p>
      <w:pPr>
        <w:pStyle w:val="ListParagraph"/>
        <w:numPr>
          <w:ilvl w:val="0"/>
          <w:numId w:val="436"/>
        </w:numPr>
        <w:tabs>
          <w:tab w:pos="1690" w:val="left" w:leader="none"/>
        </w:tabs>
        <w:spacing w:line="249" w:lineRule="auto" w:before="4" w:after="0"/>
        <w:ind w:left="1074" w:right="1273" w:firstLine="340"/>
        <w:jc w:val="both"/>
        <w:rPr>
          <w:sz w:val="20"/>
        </w:rPr>
      </w:pPr>
      <w:r>
        <w:rPr>
          <w:sz w:val="20"/>
        </w:rPr>
        <w:t>Una cuota fija de 13,52 euros por la inscripción de la persona responsable de la actividad de distribución o por cada persona que forme parte del órgano de dirección responsable de la actividad de distribución de seguros o de reaseguros en las entidades aseguradoras y</w:t>
      </w:r>
      <w:r>
        <w:rPr>
          <w:spacing w:val="-2"/>
          <w:sz w:val="20"/>
        </w:rPr>
        <w:t> </w:t>
      </w:r>
      <w:r>
        <w:rPr>
          <w:sz w:val="20"/>
        </w:rPr>
        <w:t>reaseguradoras.</w:t>
      </w:r>
    </w:p>
    <w:p>
      <w:pPr>
        <w:pStyle w:val="ListParagraph"/>
        <w:numPr>
          <w:ilvl w:val="0"/>
          <w:numId w:val="436"/>
        </w:numPr>
        <w:tabs>
          <w:tab w:pos="1652" w:val="left" w:leader="none"/>
        </w:tabs>
        <w:spacing w:line="249" w:lineRule="auto" w:before="3" w:after="0"/>
        <w:ind w:left="1074" w:right="1273" w:firstLine="340"/>
        <w:jc w:val="both"/>
        <w:rPr>
          <w:sz w:val="20"/>
        </w:rPr>
      </w:pPr>
      <w:r>
        <w:rPr>
          <w:sz w:val="20"/>
        </w:rPr>
        <w:t>Por la inscripción de cualquier otro acto inscribible o por la modificación de los inscritos, una cuota fija de 13,52 euros por cada uno de</w:t>
      </w:r>
      <w:r>
        <w:rPr>
          <w:spacing w:val="-14"/>
          <w:sz w:val="20"/>
        </w:rPr>
        <w:t> </w:t>
      </w:r>
      <w:r>
        <w:rPr>
          <w:sz w:val="20"/>
        </w:rPr>
        <w:t>ellos.</w:t>
      </w:r>
    </w:p>
    <w:p>
      <w:pPr>
        <w:pStyle w:val="ListParagraph"/>
        <w:numPr>
          <w:ilvl w:val="0"/>
          <w:numId w:val="436"/>
        </w:numPr>
        <w:tabs>
          <w:tab w:pos="1663" w:val="left" w:leader="none"/>
        </w:tabs>
        <w:spacing w:line="249" w:lineRule="auto" w:before="2" w:after="0"/>
        <w:ind w:left="1074" w:right="1274" w:firstLine="340"/>
        <w:jc w:val="both"/>
        <w:rPr>
          <w:sz w:val="20"/>
        </w:rPr>
      </w:pPr>
      <w:r>
        <w:rPr>
          <w:sz w:val="20"/>
        </w:rPr>
        <w:t>Por la expedición de certificados relativos a la información incluida en el mencionado registro administrativo de distribuidores de seguros y reaseguros, una cuota fija de 13,52 euros.</w:t>
      </w:r>
    </w:p>
    <w:p>
      <w:pPr>
        <w:pStyle w:val="ListParagraph"/>
        <w:numPr>
          <w:ilvl w:val="0"/>
          <w:numId w:val="434"/>
        </w:numPr>
        <w:tabs>
          <w:tab w:pos="1649" w:val="left" w:leader="none"/>
        </w:tabs>
        <w:spacing w:line="249" w:lineRule="auto" w:before="122" w:after="0"/>
        <w:ind w:left="1074" w:right="1271" w:firstLine="340"/>
        <w:jc w:val="both"/>
        <w:rPr>
          <w:sz w:val="20"/>
        </w:rPr>
      </w:pPr>
      <w:r>
        <w:rPr>
          <w:sz w:val="20"/>
        </w:rPr>
        <w:t>La tasa se devengará cuando se presente la solicitud, que no se tramitará sin que se haya efectuado el pago</w:t>
      </w:r>
      <w:r>
        <w:rPr>
          <w:spacing w:val="-5"/>
          <w:sz w:val="20"/>
        </w:rPr>
        <w:t> </w:t>
      </w:r>
      <w:r>
        <w:rPr>
          <w:sz w:val="20"/>
        </w:rPr>
        <w:t>correspondiente.</w:t>
      </w:r>
    </w:p>
    <w:p>
      <w:pPr>
        <w:pStyle w:val="ListParagraph"/>
        <w:numPr>
          <w:ilvl w:val="0"/>
          <w:numId w:val="434"/>
        </w:numPr>
        <w:tabs>
          <w:tab w:pos="1640" w:val="left" w:leader="none"/>
        </w:tabs>
        <w:spacing w:line="249" w:lineRule="auto" w:before="2" w:after="0"/>
        <w:ind w:left="1074" w:right="1272" w:firstLine="340"/>
        <w:jc w:val="both"/>
        <w:rPr>
          <w:sz w:val="20"/>
        </w:rPr>
      </w:pPr>
      <w:r>
        <w:rPr>
          <w:sz w:val="20"/>
        </w:rPr>
        <w:t>El importe de la tasa se podrá recaudar mediante autoliquidación, en la forma y plazos que se determinen por el Ministerio de Asuntos Económicos y Transformación</w:t>
      </w:r>
      <w:r>
        <w:rPr>
          <w:spacing w:val="-16"/>
          <w:sz w:val="20"/>
        </w:rPr>
        <w:t> </w:t>
      </w:r>
      <w:r>
        <w:rPr>
          <w:sz w:val="20"/>
        </w:rPr>
        <w:t>Digital.</w:t>
      </w:r>
    </w:p>
    <w:p>
      <w:pPr>
        <w:pStyle w:val="ListParagraph"/>
        <w:numPr>
          <w:ilvl w:val="0"/>
          <w:numId w:val="434"/>
        </w:numPr>
        <w:tabs>
          <w:tab w:pos="1660" w:val="left" w:leader="none"/>
        </w:tabs>
        <w:spacing w:line="249" w:lineRule="auto" w:before="1" w:after="0"/>
        <w:ind w:left="1074" w:right="1273" w:firstLine="340"/>
        <w:jc w:val="both"/>
        <w:rPr>
          <w:sz w:val="20"/>
        </w:rPr>
      </w:pPr>
      <w:r>
        <w:rPr>
          <w:sz w:val="20"/>
        </w:rPr>
        <w:t>La tasa correspondiente a la inscripción de los agentes de seguros exclusivos, y de sus cargos de administración y de la persona responsable de la actividad de distribución o  de las personas que formen parte del órgano de dirección responsable de la actividad de distribución de seguros, será autoliquidada por la entidad aseguradora en cuyo registro de agentes figuren inscritos, en calidad de sustituto del</w:t>
      </w:r>
      <w:r>
        <w:rPr>
          <w:spacing w:val="-8"/>
          <w:sz w:val="20"/>
        </w:rPr>
        <w:t> </w:t>
      </w:r>
      <w:r>
        <w:rPr>
          <w:sz w:val="20"/>
        </w:rPr>
        <w:t>contribuyente.</w:t>
      </w:r>
    </w:p>
    <w:p>
      <w:pPr>
        <w:pStyle w:val="ListParagraph"/>
        <w:numPr>
          <w:ilvl w:val="0"/>
          <w:numId w:val="434"/>
        </w:numPr>
        <w:tabs>
          <w:tab w:pos="1723" w:val="left" w:leader="none"/>
        </w:tabs>
        <w:spacing w:line="249" w:lineRule="auto" w:before="4" w:after="0"/>
        <w:ind w:left="1074" w:right="1271" w:firstLine="340"/>
        <w:jc w:val="both"/>
        <w:rPr>
          <w:sz w:val="20"/>
        </w:rPr>
      </w:pPr>
      <w:r>
        <w:rPr>
          <w:sz w:val="20"/>
        </w:rPr>
        <w:t>La administración, liquidación y recaudación en periodo voluntario de la tasa corresponde a la Dirección General de Seguros y Fondos de Pensiones. La recaudación en periodo ejecutivo corresponde a la Agencia Estatal de Administración Tributaria, de acuerdo con la legislación</w:t>
      </w:r>
      <w:r>
        <w:rPr>
          <w:spacing w:val="-3"/>
          <w:sz w:val="20"/>
        </w:rPr>
        <w:t> </w:t>
      </w:r>
      <w:r>
        <w:rPr>
          <w:sz w:val="20"/>
        </w:rPr>
        <w:t>vigente.</w:t>
      </w:r>
    </w:p>
    <w:p>
      <w:pPr>
        <w:pStyle w:val="ListParagraph"/>
        <w:numPr>
          <w:ilvl w:val="0"/>
          <w:numId w:val="434"/>
        </w:numPr>
        <w:tabs>
          <w:tab w:pos="1641" w:val="left" w:leader="none"/>
        </w:tabs>
        <w:spacing w:line="249" w:lineRule="auto" w:before="4" w:after="0"/>
        <w:ind w:left="1074" w:right="1275" w:firstLine="340"/>
        <w:jc w:val="both"/>
        <w:rPr>
          <w:sz w:val="20"/>
        </w:rPr>
      </w:pPr>
      <w:r>
        <w:rPr>
          <w:sz w:val="20"/>
        </w:rPr>
        <w:t>Los importes de la tasa podrán actualizarse por la Ley de Presupuestos Generales del Estado.</w:t>
      </w:r>
    </w:p>
    <w:p>
      <w:pPr>
        <w:pStyle w:val="BodyText"/>
        <w:spacing w:before="4"/>
        <w:ind w:left="0" w:firstLine="0"/>
        <w:jc w:val="left"/>
      </w:pPr>
    </w:p>
    <w:p>
      <w:pPr>
        <w:spacing w:line="249" w:lineRule="auto" w:before="0"/>
        <w:ind w:left="1074" w:right="1273" w:hanging="1"/>
        <w:jc w:val="both"/>
        <w:rPr>
          <w:i/>
          <w:sz w:val="20"/>
        </w:rPr>
      </w:pPr>
      <w:bookmarkStart w:name="Disposición adicional duodécima. Requisi" w:id="389"/>
      <w:bookmarkEnd w:id="389"/>
      <w:r>
        <w:rPr/>
      </w:r>
      <w:r>
        <w:rPr>
          <w:b/>
          <w:sz w:val="20"/>
        </w:rPr>
        <w:t>Disposición adicional duodécima. </w:t>
      </w:r>
      <w:r>
        <w:rPr>
          <w:i/>
          <w:sz w:val="20"/>
        </w:rPr>
        <w:t>Requisitos y principios básicos de los programas de </w:t>
      </w:r>
      <w:r>
        <w:rPr>
          <w:i/>
          <w:sz w:val="20"/>
        </w:rPr>
        <w:t>formación de los distribuidores de seguros y reaseguros y demás personas que participan en la actividad de distribución.</w:t>
      </w:r>
    </w:p>
    <w:p>
      <w:pPr>
        <w:pStyle w:val="ListParagraph"/>
        <w:numPr>
          <w:ilvl w:val="0"/>
          <w:numId w:val="437"/>
        </w:numPr>
        <w:tabs>
          <w:tab w:pos="1697" w:val="left" w:leader="none"/>
        </w:tabs>
        <w:spacing w:line="249" w:lineRule="auto" w:before="110" w:after="0"/>
        <w:ind w:left="1074" w:right="1270" w:firstLine="340"/>
        <w:jc w:val="both"/>
        <w:rPr>
          <w:sz w:val="20"/>
        </w:rPr>
      </w:pPr>
      <w:r>
        <w:rPr>
          <w:sz w:val="20"/>
        </w:rPr>
        <w:t>La Dirección General de Seguros y Fondos de Pensiones podrá establecer por resolución las líneas generales y los principios básicos que habrán de cumplir los cursos de formación en materias financieras y de seguros privados exigidos en el título I del libro segundo del real</w:t>
      </w:r>
      <w:r>
        <w:rPr>
          <w:spacing w:val="-2"/>
          <w:sz w:val="20"/>
        </w:rPr>
        <w:t> </w:t>
      </w:r>
      <w:r>
        <w:rPr>
          <w:sz w:val="20"/>
        </w:rPr>
        <w:t>decreto-ley.</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37"/>
        </w:numPr>
        <w:tabs>
          <w:tab w:pos="1641" w:val="left" w:leader="none"/>
        </w:tabs>
        <w:spacing w:line="249" w:lineRule="auto" w:before="127" w:after="0"/>
        <w:ind w:left="1074" w:right="1272" w:firstLine="340"/>
        <w:jc w:val="both"/>
        <w:rPr>
          <w:sz w:val="20"/>
        </w:rPr>
      </w:pPr>
      <w:r>
        <w:rPr>
          <w:sz w:val="20"/>
        </w:rPr>
        <w:t>A efectos de lo dispuesto en el artículo 165 del título I del libro segundo, además de lo previsto en el apartado anterior, las personas que participen en los cursos de formación en materias financieras y de seguros privados deberán acreditar, en el momento de su comienzo, el requisito mínimo de formación que se establezca en virtud de la normativa de desarrollo en materia de</w:t>
      </w:r>
      <w:r>
        <w:rPr>
          <w:spacing w:val="-4"/>
          <w:sz w:val="20"/>
        </w:rPr>
        <w:t> </w:t>
      </w:r>
      <w:r>
        <w:rPr>
          <w:sz w:val="20"/>
        </w:rPr>
        <w:t>formación.</w:t>
      </w:r>
    </w:p>
    <w:p>
      <w:pPr>
        <w:pStyle w:val="BodyText"/>
        <w:spacing w:line="249" w:lineRule="auto" w:before="4"/>
        <w:ind w:right="1273"/>
      </w:pPr>
      <w:r>
        <w:rPr/>
        <w:t>Sin perjuicio de lo previsto en el título I del libro segundo de este real decreto-ley, el contenido y duración de los cursos de formación se modulará en función de la cualificación profesional y de los conocimientos previos adquiridos mediante la superación de programas de formación, o de la experiencia profesional en seguros y reaseguros privados acreditados en el momento de su comienzo.</w:t>
      </w:r>
    </w:p>
    <w:p>
      <w:pPr>
        <w:pStyle w:val="BodyText"/>
        <w:spacing w:line="249" w:lineRule="auto" w:before="4"/>
        <w:ind w:right="1271"/>
      </w:pPr>
      <w:r>
        <w:rPr/>
        <w:t>La Dirección General de Seguros y Fondos de Pensiones podrá requerir que se efectúen las modificaciones que resulten necesarias para adecuar los citados cursos al deber de formación previsto en el título I del Libro segundo de este real decreto-ley.</w:t>
      </w:r>
    </w:p>
    <w:p>
      <w:pPr>
        <w:pStyle w:val="ListParagraph"/>
        <w:numPr>
          <w:ilvl w:val="0"/>
          <w:numId w:val="437"/>
        </w:numPr>
        <w:tabs>
          <w:tab w:pos="1639" w:val="left" w:leader="none"/>
        </w:tabs>
        <w:spacing w:line="249" w:lineRule="auto" w:before="2" w:after="0"/>
        <w:ind w:left="1074" w:right="1271" w:firstLine="340"/>
        <w:jc w:val="both"/>
        <w:rPr>
          <w:sz w:val="20"/>
        </w:rPr>
      </w:pPr>
      <w:r>
        <w:rPr>
          <w:sz w:val="20"/>
        </w:rPr>
        <w:t>Los cursos de formación y las pruebas de aptitud en materias financieras y de seguros privados previstos en la legislación anterior derogada cuya impartición y organización estuviese iniciada en la fecha de entrada en vigor de este real decreto-ley, continuarán hasta la celebración de los exámenes de acuerdo con lo previsto en aquella</w:t>
      </w:r>
      <w:r>
        <w:rPr>
          <w:spacing w:val="-26"/>
          <w:sz w:val="20"/>
        </w:rPr>
        <w:t> </w:t>
      </w:r>
      <w:r>
        <w:rPr>
          <w:sz w:val="20"/>
        </w:rPr>
        <w:t>normativa.</w:t>
      </w:r>
    </w:p>
    <w:p>
      <w:pPr>
        <w:pStyle w:val="BodyText"/>
        <w:spacing w:line="249" w:lineRule="auto" w:before="4"/>
        <w:ind w:right="1272"/>
      </w:pPr>
      <w:r>
        <w:rPr/>
        <w:t>El diploma de Mediador de Seguros Titulado regulado en la legislación de mediación de seguros derogada, surtirá los efectos de haber superado el curso de formación en materias financieras y de seguros privados previstos en el artículo 165 del título I del libro segundo.</w:t>
      </w:r>
    </w:p>
    <w:p>
      <w:pPr>
        <w:pStyle w:val="ListParagraph"/>
        <w:numPr>
          <w:ilvl w:val="0"/>
          <w:numId w:val="437"/>
        </w:numPr>
        <w:tabs>
          <w:tab w:pos="1655" w:val="left" w:leader="none"/>
        </w:tabs>
        <w:spacing w:line="249" w:lineRule="auto" w:before="2" w:after="0"/>
        <w:ind w:left="1074" w:right="1272" w:firstLine="340"/>
        <w:jc w:val="both"/>
        <w:rPr>
          <w:sz w:val="20"/>
        </w:rPr>
      </w:pPr>
      <w:r>
        <w:rPr>
          <w:sz w:val="20"/>
        </w:rPr>
        <w:t>Los certificados expedidos por el responsable de la dirección del curso y, en el caso de pruebas de aptitud en materias financieras y de seguros privados, por el Consejo General de los Colegios de Mediadores de Seguros, acreditando su superación, emitidos conforme a la normativa derogada, surtirán los efectos de haber superado los cursos de formación de acuerdo con lo previsto en el título I del Libro segundo de este real decreto-ley y en su normativa de</w:t>
      </w:r>
      <w:r>
        <w:rPr>
          <w:spacing w:val="-3"/>
          <w:sz w:val="20"/>
        </w:rPr>
        <w:t> </w:t>
      </w:r>
      <w:r>
        <w:rPr>
          <w:sz w:val="20"/>
        </w:rPr>
        <w:t>desarrollo.</w:t>
      </w:r>
    </w:p>
    <w:p>
      <w:pPr>
        <w:pStyle w:val="BodyText"/>
        <w:spacing w:before="7"/>
        <w:ind w:left="0" w:firstLine="0"/>
        <w:jc w:val="left"/>
      </w:pPr>
    </w:p>
    <w:p>
      <w:pPr>
        <w:spacing w:before="1"/>
        <w:ind w:left="1074" w:right="0" w:firstLine="0"/>
        <w:jc w:val="both"/>
        <w:rPr>
          <w:i/>
          <w:sz w:val="20"/>
        </w:rPr>
      </w:pPr>
      <w:bookmarkStart w:name="Disposición adicional decimotercera. Con" w:id="390"/>
      <w:bookmarkEnd w:id="390"/>
      <w:r>
        <w:rPr/>
      </w:r>
      <w:r>
        <w:rPr>
          <w:b/>
          <w:sz w:val="20"/>
        </w:rPr>
        <w:t>Disposición adicional decimotercera. </w:t>
      </w:r>
      <w:r>
        <w:rPr>
          <w:i/>
          <w:sz w:val="20"/>
        </w:rPr>
        <w:t>Conservación de documentación precontractual.</w:t>
      </w:r>
    </w:p>
    <w:p>
      <w:pPr>
        <w:pStyle w:val="ListParagraph"/>
        <w:numPr>
          <w:ilvl w:val="0"/>
          <w:numId w:val="438"/>
        </w:numPr>
        <w:tabs>
          <w:tab w:pos="1642" w:val="left" w:leader="none"/>
        </w:tabs>
        <w:spacing w:line="249" w:lineRule="auto" w:before="117" w:after="0"/>
        <w:ind w:left="1074" w:right="1273" w:firstLine="340"/>
        <w:jc w:val="both"/>
        <w:rPr>
          <w:sz w:val="20"/>
        </w:rPr>
      </w:pPr>
      <w:r>
        <w:rPr>
          <w:sz w:val="20"/>
        </w:rPr>
        <w:t>Las personas que realicen las actividades reguladas en el título I del libro segundo del real decreto-ley estarán obligadas a conservar los documentos en los que se plasme la información precontractual entregada al cliente en cumplimiento de las obligaciones establecidas en el título I del libro segundo de este real decreto-ley y su normativa de desarrollo, al objeto de acreditar el cumplimiento de dichas obligaciones, durante un plazo mínimo de seis años desde el momento de la finalización de los efectos del contrato. La misma obligación tendrá respecto de la información precontractual relativa a productos de seguros o servicios que sean objeto de práctica de venta combinada o</w:t>
      </w:r>
      <w:r>
        <w:rPr>
          <w:spacing w:val="-13"/>
          <w:sz w:val="20"/>
        </w:rPr>
        <w:t> </w:t>
      </w:r>
      <w:r>
        <w:rPr>
          <w:sz w:val="20"/>
        </w:rPr>
        <w:t>vinculada.</w:t>
      </w:r>
    </w:p>
    <w:p>
      <w:pPr>
        <w:pStyle w:val="ListParagraph"/>
        <w:numPr>
          <w:ilvl w:val="0"/>
          <w:numId w:val="438"/>
        </w:numPr>
        <w:tabs>
          <w:tab w:pos="1679" w:val="left" w:leader="none"/>
        </w:tabs>
        <w:spacing w:line="249" w:lineRule="auto" w:before="7" w:after="0"/>
        <w:ind w:left="1074" w:right="1271" w:firstLine="340"/>
        <w:jc w:val="both"/>
        <w:rPr>
          <w:sz w:val="20"/>
        </w:rPr>
      </w:pPr>
      <w:r>
        <w:rPr>
          <w:sz w:val="20"/>
        </w:rPr>
        <w:t>En el caso de subrogación o cesión en la titularidad de la cartera de seguros, el distribuidor original deberá seguir conservando la documentación precontractual durante el plazo señalado en el párrafo anterior y trasladar al adquirente, en el caso que le fuera requerida por este y a costa de este, copia de la misma. Ambos estarán obligados a facilitar dicha documentación al usuario de seguros privados, si es reclamada por este durante el periodo fijado en el apartado</w:t>
      </w:r>
      <w:r>
        <w:rPr>
          <w:spacing w:val="-6"/>
          <w:sz w:val="20"/>
        </w:rPr>
        <w:t> </w:t>
      </w:r>
      <w:r>
        <w:rPr>
          <w:sz w:val="20"/>
        </w:rPr>
        <w:t>anterior.</w:t>
      </w:r>
    </w:p>
    <w:p>
      <w:pPr>
        <w:pStyle w:val="BodyText"/>
        <w:spacing w:before="7"/>
        <w:ind w:left="0" w:firstLine="0"/>
        <w:jc w:val="left"/>
      </w:pPr>
    </w:p>
    <w:p>
      <w:pPr>
        <w:spacing w:before="0"/>
        <w:ind w:left="1074" w:right="0" w:firstLine="0"/>
        <w:jc w:val="both"/>
        <w:rPr>
          <w:i/>
          <w:sz w:val="20"/>
        </w:rPr>
      </w:pPr>
      <w:bookmarkStart w:name="Disposición adicional decimocuarta. Reas" w:id="391"/>
      <w:bookmarkEnd w:id="391"/>
      <w:r>
        <w:rPr/>
      </w:r>
      <w:r>
        <w:rPr>
          <w:b/>
          <w:sz w:val="20"/>
        </w:rPr>
        <w:t>Disposición adicional decimocuarta. </w:t>
      </w:r>
      <w:r>
        <w:rPr>
          <w:i/>
          <w:sz w:val="20"/>
        </w:rPr>
        <w:t>Reasignación de recursos.</w:t>
      </w:r>
    </w:p>
    <w:p>
      <w:pPr>
        <w:pStyle w:val="BodyText"/>
        <w:spacing w:line="249" w:lineRule="auto" w:before="118"/>
        <w:ind w:right="1272"/>
      </w:pPr>
      <w:r>
        <w:rPr/>
        <w:t>Las obligaciones derivadas del cumplimiento del Libro segundo de este real decreto-ley se atenderán mediante reasignación de los recursos ordinarios del Ministerio de Asuntos Económicos y Transformación Digital sin requerir dotaciones adicionales.</w:t>
      </w:r>
    </w:p>
    <w:p>
      <w:pPr>
        <w:pStyle w:val="BodyText"/>
        <w:spacing w:before="5"/>
        <w:ind w:left="0" w:firstLine="0"/>
        <w:jc w:val="left"/>
      </w:pPr>
    </w:p>
    <w:p>
      <w:pPr>
        <w:spacing w:line="249" w:lineRule="auto" w:before="0"/>
        <w:ind w:left="1074" w:right="1273" w:hanging="1"/>
        <w:jc w:val="both"/>
        <w:rPr>
          <w:i/>
          <w:sz w:val="20"/>
        </w:rPr>
      </w:pPr>
      <w:bookmarkStart w:name="Disposición adicional decimoquinta. Adap" w:id="392"/>
      <w:bookmarkEnd w:id="392"/>
      <w:r>
        <w:rPr/>
      </w:r>
      <w:r>
        <w:rPr>
          <w:b/>
          <w:sz w:val="20"/>
        </w:rPr>
        <w:t>Disposición adicional decimoquinta. </w:t>
      </w:r>
      <w:r>
        <w:rPr>
          <w:i/>
          <w:sz w:val="20"/>
        </w:rPr>
        <w:t>Adaptación a las normas del sistema de gobierno de </w:t>
      </w:r>
      <w:r>
        <w:rPr>
          <w:i/>
          <w:sz w:val="20"/>
        </w:rPr>
        <w:t>los fondos de pensiones introducidas por el título II del libro segundo de este real decreto-ley.</w:t>
      </w:r>
    </w:p>
    <w:p>
      <w:pPr>
        <w:pStyle w:val="ListParagraph"/>
        <w:numPr>
          <w:ilvl w:val="0"/>
          <w:numId w:val="439"/>
        </w:numPr>
        <w:tabs>
          <w:tab w:pos="1676" w:val="left" w:leader="none"/>
        </w:tabs>
        <w:spacing w:line="249" w:lineRule="auto" w:before="109" w:after="0"/>
        <w:ind w:left="1074" w:right="1272" w:firstLine="340"/>
        <w:jc w:val="both"/>
        <w:rPr>
          <w:sz w:val="20"/>
        </w:rPr>
      </w:pPr>
      <w:r>
        <w:rPr>
          <w:sz w:val="20"/>
        </w:rPr>
        <w:t>En el plazo de seis meses desde la entrada en vigor de este real decreto-ley las entidades gestoras de fondos de pensiones deberán adaptar su estructura organizativa a lo previsto en el capítulo VIII del texto refundido de la Ley de Regulación de los Planes y Fondos de Pensiones, y establecer las políticas escritas previstas en el artículo 27 del citado texto refundido relativas al gobierno corporativo, remuneración, gestión de riesgos, auditoría interna y, en su caso, la relativa a las actividades actuariales que realice la entidad y la relativa a actividades externalizadas, así como documentar el sistema de control</w:t>
      </w:r>
      <w:r>
        <w:rPr>
          <w:spacing w:val="-33"/>
          <w:sz w:val="20"/>
        </w:rPr>
        <w:t> </w:t>
      </w:r>
      <w:r>
        <w:rPr>
          <w:sz w:val="20"/>
        </w:rPr>
        <w:t>interno.</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39"/>
        </w:numPr>
        <w:tabs>
          <w:tab w:pos="1644" w:val="left" w:leader="none"/>
        </w:tabs>
        <w:spacing w:line="249" w:lineRule="auto" w:before="127" w:after="0"/>
        <w:ind w:left="1074" w:right="1273" w:firstLine="340"/>
        <w:jc w:val="both"/>
        <w:rPr>
          <w:sz w:val="20"/>
        </w:rPr>
      </w:pPr>
      <w:r>
        <w:rPr>
          <w:sz w:val="20"/>
        </w:rPr>
        <w:t>Igualmente, en el plazo de seis meses desde la entrada en vigor de este real decreto- ley, las entidades gestoras y, en su caso, las comisiones de control de los planes de pensiones, deberán designar a los titulares de las funciones clave previstos en el artículo 30 del citado texto refundido de la Ley de regulación de los planes y fondos de pensiones, y comunicar la designación a la Dirección General de Seguros y Fondos de</w:t>
      </w:r>
      <w:r>
        <w:rPr>
          <w:spacing w:val="-18"/>
          <w:sz w:val="20"/>
        </w:rPr>
        <w:t> </w:t>
      </w:r>
      <w:r>
        <w:rPr>
          <w:sz w:val="20"/>
        </w:rPr>
        <w:t>Pensiones.</w:t>
      </w:r>
    </w:p>
    <w:p>
      <w:pPr>
        <w:pStyle w:val="BodyText"/>
        <w:spacing w:line="249" w:lineRule="auto" w:before="4"/>
        <w:ind w:right="1271"/>
      </w:pPr>
      <w:r>
        <w:rPr/>
        <w:t>En su caso, las comisiones de control de los planes de pensiones de empleo, en el referido plazo de seis meses desde la entrada en vigor de este real decreto-ley, deberán establecer la política de remuneración prevista en el artículo 29 del citado texto refundido,  así como designar y comunicar a la Dirección General de Seguros y Fondos de Pensiones los titulares de la función</w:t>
      </w:r>
      <w:r>
        <w:rPr>
          <w:spacing w:val="-4"/>
        </w:rPr>
        <w:t> </w:t>
      </w:r>
      <w:r>
        <w:rPr/>
        <w:t>actuarial.</w:t>
      </w:r>
    </w:p>
    <w:p>
      <w:pPr>
        <w:pStyle w:val="ListParagraph"/>
        <w:numPr>
          <w:ilvl w:val="0"/>
          <w:numId w:val="439"/>
        </w:numPr>
        <w:tabs>
          <w:tab w:pos="1643" w:val="left" w:leader="none"/>
        </w:tabs>
        <w:spacing w:line="249" w:lineRule="auto" w:before="4" w:after="0"/>
        <w:ind w:left="1074" w:right="1273" w:firstLine="340"/>
        <w:jc w:val="both"/>
        <w:rPr>
          <w:sz w:val="20"/>
        </w:rPr>
      </w:pPr>
      <w:r>
        <w:rPr>
          <w:sz w:val="20"/>
        </w:rPr>
        <w:t>Reglamentariamente se determinará el plazo para que las entidades gestoras realicen la primera evaluación interna de riesgos periódica de los fondos de pensiones de empleo prevista en el artículo 30 quinquies del texto refundido de la Ley de Regulación de los Planes y Fondos de Pensiones, aprobado por el Real Decreto Legislativo 1/2002, de 29 de noviembre.</w:t>
      </w:r>
    </w:p>
    <w:p>
      <w:pPr>
        <w:pStyle w:val="BodyText"/>
        <w:spacing w:before="6"/>
        <w:ind w:left="0" w:firstLine="0"/>
        <w:jc w:val="left"/>
      </w:pPr>
    </w:p>
    <w:p>
      <w:pPr>
        <w:spacing w:line="249" w:lineRule="auto" w:before="1"/>
        <w:ind w:left="1074" w:right="1273" w:hanging="1"/>
        <w:jc w:val="both"/>
        <w:rPr>
          <w:i/>
          <w:sz w:val="20"/>
        </w:rPr>
      </w:pPr>
      <w:bookmarkStart w:name="Disposición adicional decimosexta. Régim" w:id="393"/>
      <w:bookmarkEnd w:id="393"/>
      <w:r>
        <w:rPr/>
      </w:r>
      <w:r>
        <w:rPr>
          <w:b/>
          <w:sz w:val="20"/>
        </w:rPr>
        <w:t>Disposición adicional decimosexta. </w:t>
      </w:r>
      <w:r>
        <w:rPr>
          <w:i/>
          <w:sz w:val="20"/>
        </w:rPr>
        <w:t>Régimen de contratación de Puertos del Estado y de </w:t>
      </w:r>
      <w:r>
        <w:rPr>
          <w:i/>
          <w:sz w:val="20"/>
        </w:rPr>
        <w:t>las Autoridades Portuarias.</w:t>
      </w:r>
    </w:p>
    <w:p>
      <w:pPr>
        <w:pStyle w:val="BodyText"/>
        <w:spacing w:line="249" w:lineRule="auto" w:before="109"/>
        <w:ind w:right="1273"/>
      </w:pPr>
      <w:r>
        <w:rPr/>
        <w:t>El régimen jurídico de los contratos que en las actividades sujetas al Libro primero de este real decreto-ley celebren Puertos del Estado y las Autoridades Portuarias será el establecido en el citado libro primero para los poderes adjudicadores que no tienen la consideración de Administración Pública.</w:t>
      </w:r>
    </w:p>
    <w:p>
      <w:pPr>
        <w:pStyle w:val="BodyText"/>
        <w:spacing w:before="5"/>
        <w:ind w:left="0" w:firstLine="0"/>
        <w:jc w:val="left"/>
      </w:pPr>
    </w:p>
    <w:p>
      <w:pPr>
        <w:spacing w:line="249" w:lineRule="auto" w:before="1"/>
        <w:ind w:left="1074" w:right="1273" w:hanging="1"/>
        <w:jc w:val="both"/>
        <w:rPr>
          <w:i/>
          <w:sz w:val="20"/>
        </w:rPr>
      </w:pPr>
      <w:bookmarkStart w:name="Disposición adicional decimoséptima. Nor" w:id="394"/>
      <w:bookmarkEnd w:id="394"/>
      <w:r>
        <w:rPr/>
      </w:r>
      <w:r>
        <w:rPr>
          <w:b/>
          <w:sz w:val="20"/>
        </w:rPr>
        <w:t>Disposición adicional decimoséptima. </w:t>
      </w:r>
      <w:r>
        <w:rPr>
          <w:i/>
          <w:sz w:val="20"/>
        </w:rPr>
        <w:t>Normas específicas de contratación de servicios  </w:t>
      </w:r>
      <w:r>
        <w:rPr>
          <w:i/>
          <w:sz w:val="20"/>
        </w:rPr>
        <w:t>de arquitectura, ingeniería, consultoría y</w:t>
      </w:r>
      <w:r>
        <w:rPr>
          <w:i/>
          <w:spacing w:val="-6"/>
          <w:sz w:val="20"/>
        </w:rPr>
        <w:t> </w:t>
      </w:r>
      <w:r>
        <w:rPr>
          <w:i/>
          <w:sz w:val="20"/>
        </w:rPr>
        <w:t>urbanismo.</w:t>
      </w:r>
    </w:p>
    <w:p>
      <w:pPr>
        <w:pStyle w:val="BodyText"/>
        <w:spacing w:line="249" w:lineRule="auto" w:before="109"/>
        <w:ind w:right="1273"/>
      </w:pPr>
      <w:r>
        <w:rPr/>
        <w:t>Se reconoce la naturaleza de prestaciones de carácter intelectual a los servicios de arquitectura, ingeniería, consultoría y urbanismo, con los efectos que se derivan de las previsiones contenidas en este real decreto-ley.</w:t>
      </w:r>
    </w:p>
    <w:p>
      <w:pPr>
        <w:pStyle w:val="BodyText"/>
        <w:spacing w:before="5"/>
        <w:ind w:left="0" w:firstLine="0"/>
        <w:jc w:val="left"/>
      </w:pPr>
    </w:p>
    <w:p>
      <w:pPr>
        <w:spacing w:line="249" w:lineRule="auto" w:before="0"/>
        <w:ind w:left="1074" w:right="1273" w:hanging="1"/>
        <w:jc w:val="both"/>
        <w:rPr>
          <w:i/>
          <w:sz w:val="20"/>
        </w:rPr>
      </w:pPr>
      <w:bookmarkStart w:name="[Disposiciones transitorias]" w:id="395"/>
      <w:bookmarkEnd w:id="395"/>
      <w:r>
        <w:rPr/>
      </w:r>
      <w:bookmarkStart w:name="Disposición transitoria primera. Expedie" w:id="396"/>
      <w:bookmarkEnd w:id="396"/>
      <w:r>
        <w:rPr/>
      </w:r>
      <w:bookmarkStart w:name="_bookmark79" w:id="397"/>
      <w:bookmarkEnd w:id="397"/>
      <w:r>
        <w:rPr/>
      </w:r>
      <w:r>
        <w:rPr>
          <w:b/>
          <w:sz w:val="20"/>
        </w:rPr>
        <w:t>Disposición transitoria primera. </w:t>
      </w:r>
      <w:r>
        <w:rPr>
          <w:i/>
          <w:sz w:val="20"/>
        </w:rPr>
        <w:t>Expedientes iniciados y contratos adjudicados con </w:t>
      </w:r>
      <w:r>
        <w:rPr>
          <w:i/>
          <w:sz w:val="20"/>
        </w:rPr>
        <w:t>anterioridad a la entrada en vigor de este real decreto-ley.</w:t>
      </w:r>
    </w:p>
    <w:p>
      <w:pPr>
        <w:pStyle w:val="ListParagraph"/>
        <w:numPr>
          <w:ilvl w:val="0"/>
          <w:numId w:val="440"/>
        </w:numPr>
        <w:tabs>
          <w:tab w:pos="1663" w:val="left" w:leader="none"/>
        </w:tabs>
        <w:spacing w:line="249" w:lineRule="auto" w:before="109" w:after="0"/>
        <w:ind w:left="1074" w:right="1273" w:firstLine="340"/>
        <w:jc w:val="both"/>
        <w:rPr>
          <w:sz w:val="20"/>
        </w:rPr>
      </w:pPr>
      <w:r>
        <w:rPr>
          <w:sz w:val="20"/>
        </w:rPr>
        <w:t>Los expedientes de contratación iniciados antes de la entrada en vigor de este real decreto-ley se regirán por la normativa anterior. A estos efectos se entenderá que los expedientes de contratación han sido iniciados si se hubiera publicado la correspondiente convocatoria del procedimiento de adjudicación del contrato. En el caso de procedimientos negociados sin publicidad, para determinar el momento de iniciación se tomará en cuenta la fecha de aprobación de los pliegos de</w:t>
      </w:r>
      <w:r>
        <w:rPr>
          <w:spacing w:val="-8"/>
          <w:sz w:val="20"/>
        </w:rPr>
        <w:t> </w:t>
      </w:r>
      <w:r>
        <w:rPr>
          <w:sz w:val="20"/>
        </w:rPr>
        <w:t>condiciones.</w:t>
      </w:r>
    </w:p>
    <w:p>
      <w:pPr>
        <w:pStyle w:val="ListParagraph"/>
        <w:numPr>
          <w:ilvl w:val="0"/>
          <w:numId w:val="440"/>
        </w:numPr>
        <w:tabs>
          <w:tab w:pos="1659" w:val="left" w:leader="none"/>
        </w:tabs>
        <w:spacing w:line="249" w:lineRule="auto" w:before="5" w:after="0"/>
        <w:ind w:left="1074" w:right="1273" w:firstLine="340"/>
        <w:jc w:val="both"/>
        <w:rPr>
          <w:sz w:val="20"/>
        </w:rPr>
      </w:pPr>
      <w:r>
        <w:rPr>
          <w:sz w:val="20"/>
        </w:rPr>
        <w:t>Los contratos adjudicados con anterioridad a la entrada en vigor de la presente real decreto-ley se regirán, en cuanto a sus efectos, cumplimiento y extinción, incluida su modificación, duración y régimen de prórrogas, por la normativa</w:t>
      </w:r>
      <w:r>
        <w:rPr>
          <w:spacing w:val="-14"/>
          <w:sz w:val="20"/>
        </w:rPr>
        <w:t> </w:t>
      </w:r>
      <w:r>
        <w:rPr>
          <w:sz w:val="20"/>
        </w:rPr>
        <w:t>anterior.</w:t>
      </w:r>
    </w:p>
    <w:p>
      <w:pPr>
        <w:pStyle w:val="ListParagraph"/>
        <w:numPr>
          <w:ilvl w:val="0"/>
          <w:numId w:val="440"/>
        </w:numPr>
        <w:tabs>
          <w:tab w:pos="1675" w:val="left" w:leader="none"/>
        </w:tabs>
        <w:spacing w:line="249" w:lineRule="auto" w:before="2" w:after="0"/>
        <w:ind w:left="1074" w:right="1271" w:firstLine="340"/>
        <w:jc w:val="both"/>
        <w:rPr>
          <w:sz w:val="20"/>
        </w:rPr>
      </w:pPr>
      <w:r>
        <w:rPr>
          <w:sz w:val="20"/>
        </w:rPr>
        <w:t>Los procedimientos de reclamación iniciados al amparo del artículo 101 de la Ley 31/2007, de 30 de octubre, sobre procedimientos de contratación en los sectores del agua, la energía, los transportes y los servicios postales, seguirán tramitándose hasta su resolución con arreglo al</w:t>
      </w:r>
      <w:r>
        <w:rPr>
          <w:spacing w:val="-3"/>
          <w:sz w:val="20"/>
        </w:rPr>
        <w:t> </w:t>
      </w:r>
      <w:r>
        <w:rPr>
          <w:sz w:val="20"/>
        </w:rPr>
        <w:t>mismo.</w:t>
      </w:r>
    </w:p>
    <w:p>
      <w:pPr>
        <w:pStyle w:val="BodyText"/>
        <w:spacing w:line="249" w:lineRule="auto" w:before="4"/>
        <w:ind w:right="1273"/>
      </w:pPr>
      <w:r>
        <w:rPr/>
        <w:t>En los expedientes de contratación iniciados antes de la entrada en vigor de este real decreto-ley podrá interponerse la reclamación prevista en el artículo 119 contra actos susceptibles de ser recurridos en esta vía, siempre que se hayan dictado con posterioridad a su entrada en vigor.</w:t>
      </w:r>
    </w:p>
    <w:p>
      <w:pPr>
        <w:pStyle w:val="ListParagraph"/>
        <w:numPr>
          <w:ilvl w:val="0"/>
          <w:numId w:val="440"/>
        </w:numPr>
        <w:tabs>
          <w:tab w:pos="1669" w:val="left" w:leader="none"/>
        </w:tabs>
        <w:spacing w:line="249" w:lineRule="auto" w:before="3" w:after="0"/>
        <w:ind w:left="1074" w:right="1275" w:firstLine="340"/>
        <w:jc w:val="both"/>
        <w:rPr>
          <w:sz w:val="20"/>
        </w:rPr>
      </w:pPr>
      <w:r>
        <w:rPr>
          <w:sz w:val="20"/>
        </w:rPr>
        <w:t>El presente real decreto-ley será de aplicación a los encargos que se realicen con posterioridad a su entrada en vigor. Deberá entenderse que un encargo se ha realizado cuando haya sido objeto de la correspondiente formalización</w:t>
      </w:r>
      <w:r>
        <w:rPr>
          <w:spacing w:val="-9"/>
          <w:sz w:val="20"/>
        </w:rPr>
        <w:t> </w:t>
      </w:r>
      <w:r>
        <w:rPr>
          <w:sz w:val="20"/>
        </w:rPr>
        <w:t>documental.</w:t>
      </w:r>
    </w:p>
    <w:p>
      <w:pPr>
        <w:pStyle w:val="ListParagraph"/>
        <w:numPr>
          <w:ilvl w:val="0"/>
          <w:numId w:val="440"/>
        </w:numPr>
        <w:tabs>
          <w:tab w:pos="1644" w:val="left" w:leader="none"/>
        </w:tabs>
        <w:spacing w:line="249" w:lineRule="auto" w:before="3" w:after="0"/>
        <w:ind w:left="1074" w:right="1274" w:firstLine="340"/>
        <w:jc w:val="both"/>
        <w:rPr>
          <w:sz w:val="20"/>
        </w:rPr>
      </w:pPr>
      <w:r>
        <w:rPr>
          <w:sz w:val="20"/>
        </w:rPr>
        <w:t>Los contratos basados en acuerdos marco o en sistemas dinámicos de adquisición se regirán por la normativa aplicable a</w:t>
      </w:r>
      <w:r>
        <w:rPr>
          <w:spacing w:val="-7"/>
          <w:sz w:val="20"/>
        </w:rPr>
        <w:t> </w:t>
      </w:r>
      <w:r>
        <w:rPr>
          <w:sz w:val="20"/>
        </w:rPr>
        <w:t>estos.</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line="249" w:lineRule="auto" w:before="0"/>
        <w:ind w:left="1074" w:right="1278" w:firstLine="0"/>
        <w:jc w:val="both"/>
        <w:rPr>
          <w:i/>
          <w:sz w:val="20"/>
        </w:rPr>
      </w:pPr>
      <w:bookmarkStart w:name="Disposición transitoria segunda. Régimen" w:id="398"/>
      <w:bookmarkEnd w:id="398"/>
      <w:r>
        <w:rPr/>
      </w:r>
      <w:r>
        <w:rPr>
          <w:b/>
          <w:sz w:val="20"/>
        </w:rPr>
        <w:t>Disposición transitoria segunda. </w:t>
      </w:r>
      <w:r>
        <w:rPr>
          <w:i/>
          <w:sz w:val="20"/>
        </w:rPr>
        <w:t>Régimen de adaptación de las entidades aseguradoras y </w:t>
      </w:r>
      <w:r>
        <w:rPr>
          <w:i/>
          <w:sz w:val="20"/>
        </w:rPr>
        <w:t>reaseguradoras.</w:t>
      </w:r>
    </w:p>
    <w:p>
      <w:pPr>
        <w:pStyle w:val="ListParagraph"/>
        <w:numPr>
          <w:ilvl w:val="0"/>
          <w:numId w:val="441"/>
        </w:numPr>
        <w:tabs>
          <w:tab w:pos="1656" w:val="left" w:leader="none"/>
        </w:tabs>
        <w:spacing w:line="249" w:lineRule="auto" w:before="109" w:after="0"/>
        <w:ind w:left="1074" w:right="1272" w:firstLine="340"/>
        <w:jc w:val="both"/>
        <w:rPr>
          <w:sz w:val="20"/>
        </w:rPr>
      </w:pPr>
      <w:r>
        <w:rPr>
          <w:sz w:val="20"/>
        </w:rPr>
        <w:t>En relación con las personas que a la fecha de entrada en vigor del real decreto-ley sean responsables de la actividad de distribución o formen parte del órgano de dirección responsable de las actividades de distribución de las entidades aseguradoras y reaseguradoras u órgano equivalente, o sean empleados que participen directamente en actividades de distribución de seguros o reaseguros, se entenderán cumplidos los requisitos en materia de formación inicial exigidos en el título I del Libro segundo de este real decreto- ley. Lo anterior será únicamente aplicable en relación con aquellas personas que deban inscribirse de conformidad con lo dispuesto en el apartado</w:t>
      </w:r>
      <w:r>
        <w:rPr>
          <w:spacing w:val="-13"/>
          <w:sz w:val="20"/>
        </w:rPr>
        <w:t> </w:t>
      </w:r>
      <w:r>
        <w:rPr>
          <w:sz w:val="20"/>
        </w:rPr>
        <w:t>siguiente.</w:t>
      </w:r>
    </w:p>
    <w:p>
      <w:pPr>
        <w:pStyle w:val="ListParagraph"/>
        <w:numPr>
          <w:ilvl w:val="0"/>
          <w:numId w:val="441"/>
        </w:numPr>
        <w:tabs>
          <w:tab w:pos="1648" w:val="left" w:leader="none"/>
        </w:tabs>
        <w:spacing w:line="249" w:lineRule="auto" w:before="7" w:after="0"/>
        <w:ind w:left="1074" w:right="1274" w:firstLine="340"/>
        <w:jc w:val="both"/>
        <w:rPr>
          <w:sz w:val="20"/>
        </w:rPr>
      </w:pPr>
      <w:r>
        <w:rPr>
          <w:sz w:val="20"/>
        </w:rPr>
        <w:t>Las entidades aseguradoras y reaseguradoras dispondrán de un plazo de tres meses a partir de la entrada en vigor de este real decreto-ley</w:t>
      </w:r>
      <w:r>
        <w:rPr>
          <w:spacing w:val="-15"/>
          <w:sz w:val="20"/>
        </w:rPr>
        <w:t> </w:t>
      </w:r>
      <w:r>
        <w:rPr>
          <w:sz w:val="20"/>
        </w:rPr>
        <w:t>para:</w:t>
      </w:r>
    </w:p>
    <w:p>
      <w:pPr>
        <w:pStyle w:val="ListParagraph"/>
        <w:numPr>
          <w:ilvl w:val="0"/>
          <w:numId w:val="442"/>
        </w:numPr>
        <w:tabs>
          <w:tab w:pos="1666" w:val="left" w:leader="none"/>
        </w:tabs>
        <w:spacing w:line="249" w:lineRule="auto" w:before="122" w:after="0"/>
        <w:ind w:left="1074" w:right="1274" w:firstLine="340"/>
        <w:jc w:val="both"/>
        <w:rPr>
          <w:sz w:val="20"/>
        </w:rPr>
      </w:pPr>
      <w:r>
        <w:rPr>
          <w:sz w:val="20"/>
        </w:rPr>
        <w:t>Solicitar la inscripción de la persona responsable de la actividad de distribución y de las personas que formen parte del órgano de dirección responsable de las actividades de distribución de seguros o reaseguros en el registro</w:t>
      </w:r>
      <w:r>
        <w:rPr>
          <w:spacing w:val="-10"/>
          <w:sz w:val="20"/>
        </w:rPr>
        <w:t> </w:t>
      </w:r>
      <w:r>
        <w:rPr>
          <w:sz w:val="20"/>
        </w:rPr>
        <w:t>administrativo.</w:t>
      </w:r>
    </w:p>
    <w:p>
      <w:pPr>
        <w:pStyle w:val="ListParagraph"/>
        <w:numPr>
          <w:ilvl w:val="0"/>
          <w:numId w:val="442"/>
        </w:numPr>
        <w:tabs>
          <w:tab w:pos="1664" w:val="left" w:leader="none"/>
        </w:tabs>
        <w:spacing w:line="249" w:lineRule="auto" w:before="2" w:after="0"/>
        <w:ind w:left="1074" w:right="1272" w:firstLine="340"/>
        <w:jc w:val="both"/>
        <w:rPr>
          <w:sz w:val="20"/>
        </w:rPr>
      </w:pPr>
      <w:r>
        <w:rPr>
          <w:sz w:val="20"/>
        </w:rPr>
        <w:t>Dar cumplimiento a lo dispuesto en el artículo 139.5 del título I del Libro segundo en relación con la llevanza de un registro actualizado en el que consten inscritos los empleados que participen directamente en actividades de distribución de seguros, así como la persona responsable de la actividad de distribución o las personas que formen parte del órgano de dirección responsable de la actividad de</w:t>
      </w:r>
      <w:r>
        <w:rPr>
          <w:spacing w:val="-8"/>
          <w:sz w:val="20"/>
        </w:rPr>
        <w:t> </w:t>
      </w:r>
      <w:r>
        <w:rPr>
          <w:sz w:val="20"/>
        </w:rPr>
        <w:t>distribución.</w:t>
      </w:r>
    </w:p>
    <w:p>
      <w:pPr>
        <w:pStyle w:val="ListParagraph"/>
        <w:numPr>
          <w:ilvl w:val="0"/>
          <w:numId w:val="442"/>
        </w:numPr>
        <w:tabs>
          <w:tab w:pos="1665" w:val="left" w:leader="none"/>
        </w:tabs>
        <w:spacing w:line="249" w:lineRule="auto" w:before="4" w:after="0"/>
        <w:ind w:left="1074" w:right="1275" w:firstLine="340"/>
        <w:jc w:val="both"/>
        <w:rPr>
          <w:sz w:val="20"/>
        </w:rPr>
      </w:pPr>
      <w:r>
        <w:rPr>
          <w:sz w:val="20"/>
        </w:rPr>
        <w:t>Dar cumplimiento a lo dispuesto en los artículos 139.4 y 147.3 del título I del Libro segundo en relación con la obligación en materia de políticas y procedimientos internos adecuados.</w:t>
      </w:r>
    </w:p>
    <w:p>
      <w:pPr>
        <w:pStyle w:val="BodyText"/>
        <w:spacing w:before="5"/>
        <w:ind w:left="0" w:firstLine="0"/>
        <w:jc w:val="left"/>
      </w:pPr>
    </w:p>
    <w:p>
      <w:pPr>
        <w:spacing w:before="0"/>
        <w:ind w:left="1074" w:right="0" w:firstLine="0"/>
        <w:jc w:val="both"/>
        <w:rPr>
          <w:i/>
          <w:sz w:val="20"/>
        </w:rPr>
      </w:pPr>
      <w:bookmarkStart w:name="Disposición transitoria tercera. Régimen" w:id="399"/>
      <w:bookmarkEnd w:id="399"/>
      <w:r>
        <w:rPr/>
      </w:r>
      <w:r>
        <w:rPr>
          <w:b/>
          <w:sz w:val="20"/>
        </w:rPr>
        <w:t>Disposición transitoria tercera. </w:t>
      </w:r>
      <w:r>
        <w:rPr>
          <w:i/>
          <w:sz w:val="20"/>
        </w:rPr>
        <w:t>Régimen de adaptación de los mediadores de seguros.</w:t>
      </w:r>
    </w:p>
    <w:p>
      <w:pPr>
        <w:pStyle w:val="ListParagraph"/>
        <w:numPr>
          <w:ilvl w:val="0"/>
          <w:numId w:val="443"/>
        </w:numPr>
        <w:tabs>
          <w:tab w:pos="1647" w:val="left" w:leader="none"/>
        </w:tabs>
        <w:spacing w:line="249" w:lineRule="auto" w:before="118" w:after="0"/>
        <w:ind w:left="1074" w:right="1273" w:firstLine="340"/>
        <w:jc w:val="both"/>
        <w:rPr>
          <w:sz w:val="20"/>
        </w:rPr>
      </w:pPr>
      <w:r>
        <w:rPr>
          <w:sz w:val="20"/>
        </w:rPr>
        <w:t>Los mediadores de seguros y de reaseguros que estuvieran registrados a la fecha de entrada en vigor de este real decreto-ley en el registro administrativo especial de mediadores de seguros, corredores de reaseguros, y de sus altos cargos previsto en el artículo 52 de la Ley 26/2006, de 17 de julio, de mediación de seguros y reaseguros privados, no deberán registrarse nuevamente en virtud de lo dispuesto en este real</w:t>
      </w:r>
      <w:r>
        <w:rPr>
          <w:spacing w:val="-16"/>
          <w:sz w:val="20"/>
        </w:rPr>
        <w:t> </w:t>
      </w:r>
      <w:r>
        <w:rPr>
          <w:sz w:val="20"/>
        </w:rPr>
        <w:t>decreto-ley.</w:t>
      </w:r>
    </w:p>
    <w:p>
      <w:pPr>
        <w:pStyle w:val="ListParagraph"/>
        <w:numPr>
          <w:ilvl w:val="0"/>
          <w:numId w:val="443"/>
        </w:numPr>
        <w:tabs>
          <w:tab w:pos="1640" w:val="left" w:leader="none"/>
        </w:tabs>
        <w:spacing w:line="249" w:lineRule="auto" w:before="4" w:after="0"/>
        <w:ind w:left="1074" w:right="1272" w:firstLine="340"/>
        <w:jc w:val="both"/>
        <w:rPr>
          <w:sz w:val="20"/>
        </w:rPr>
      </w:pPr>
      <w:r>
        <w:rPr>
          <w:sz w:val="20"/>
        </w:rPr>
        <w:t>Los agentes de seguros exclusivos, personas físicas y jurídicas, inscritos en el registro administrativo especial de mediadores de seguros, corredores de reaseguros, y de sus altos cargos previsto en el artículo 52 de la Ley 26/2006, de 17 de julio, continuarán inscritos en el registro administrativo previsto en el artículo 133 del título I del libro segundo, registro administrativo de distribuidores de seguros y reaseguros, como agentes de seguros exclusivos de las entidades aseguradoras con las que figuran con contrato de agencia de seguros el día de la entrada en vigor de este real decreto-ley, ajustándose en todo caso al régimen de supervisión administrativa establecido en los artículos 147 y</w:t>
      </w:r>
      <w:r>
        <w:rPr>
          <w:spacing w:val="-18"/>
          <w:sz w:val="20"/>
        </w:rPr>
        <w:t> </w:t>
      </w:r>
      <w:r>
        <w:rPr>
          <w:sz w:val="20"/>
        </w:rPr>
        <w:t>148.</w:t>
      </w:r>
    </w:p>
    <w:p>
      <w:pPr>
        <w:pStyle w:val="ListParagraph"/>
        <w:numPr>
          <w:ilvl w:val="0"/>
          <w:numId w:val="443"/>
        </w:numPr>
        <w:tabs>
          <w:tab w:pos="1638" w:val="left" w:leader="none"/>
        </w:tabs>
        <w:spacing w:line="249" w:lineRule="auto" w:before="7" w:after="0"/>
        <w:ind w:left="1074" w:right="1273" w:firstLine="340"/>
        <w:jc w:val="both"/>
        <w:rPr>
          <w:sz w:val="20"/>
        </w:rPr>
      </w:pPr>
      <w:r>
        <w:rPr>
          <w:sz w:val="20"/>
        </w:rPr>
        <w:t>Los agentes de seguros vinculados, personas físicas y jurídicas, inscritos en el registro administrativo especial de mediadores de seguros, corredores de reaseguros, y de sus altos cargos previsto en el artículo 52 de la Ley 26/2006, de 17 de julio, continuarán inscritos en el registro administrativo previsto en el artículo 133 del título I del libro segundo registro administrativo de distribuidores de seguros y reaseguros, como agentes de seguros vinculados de las entidades aseguradoras con las que figuran con contrato de agencia de seguros el día de la entrada en vigor de este real decreto-ley, bajo el mismo régimen de responsabilidad civil profesional previsto en la Ley 26/2006, de 17 de julio, y ajustándose en todo caso al régimen de supervisión administrativa establecido en el artículo</w:t>
      </w:r>
      <w:r>
        <w:rPr>
          <w:spacing w:val="-21"/>
          <w:sz w:val="20"/>
        </w:rPr>
        <w:t> </w:t>
      </w:r>
      <w:r>
        <w:rPr>
          <w:sz w:val="20"/>
        </w:rPr>
        <w:t>149.</w:t>
      </w:r>
    </w:p>
    <w:p>
      <w:pPr>
        <w:pStyle w:val="ListParagraph"/>
        <w:numPr>
          <w:ilvl w:val="0"/>
          <w:numId w:val="443"/>
        </w:numPr>
        <w:tabs>
          <w:tab w:pos="1685" w:val="left" w:leader="none"/>
        </w:tabs>
        <w:spacing w:line="249" w:lineRule="auto" w:before="7" w:after="0"/>
        <w:ind w:left="1074" w:right="1272" w:firstLine="340"/>
        <w:jc w:val="both"/>
        <w:rPr>
          <w:sz w:val="20"/>
        </w:rPr>
      </w:pPr>
      <w:r>
        <w:rPr>
          <w:sz w:val="20"/>
        </w:rPr>
        <w:t>Los operadores de banca-seguros exclusivos o vinculados inscritos en el registro administrativo especial de mediadores de seguros, corredores de reaseguros, y de sus altos cargos, previsto en el artículo 52 de la Ley 26/2006, de 17 de julio, continuarán inscritos como operadores de banca-seguros exclusivos, o en su caso, vinculados, de las entidades aseguradoras con las que tenían concertado contrato de agencia de seguros el día de la entrada en vigor de este real decreto-ley, bajo el mismo régimen de responsabilidad civil profesional previsto para aquellos en la Ley 26/2006, de 17 de julio, y ajustándose, en todo caso, al régimen de supervisión administrativa establecido en los artículos 150 a</w:t>
      </w:r>
      <w:r>
        <w:rPr>
          <w:spacing w:val="-29"/>
          <w:sz w:val="20"/>
        </w:rPr>
        <w:t> </w:t>
      </w:r>
      <w:r>
        <w:rPr>
          <w:sz w:val="20"/>
        </w:rPr>
        <w:t>154.</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43"/>
        </w:numPr>
        <w:tabs>
          <w:tab w:pos="1647" w:val="left" w:leader="none"/>
        </w:tabs>
        <w:spacing w:line="249" w:lineRule="auto" w:before="127" w:after="0"/>
        <w:ind w:left="1074" w:right="1273" w:firstLine="340"/>
        <w:jc w:val="both"/>
        <w:rPr>
          <w:sz w:val="20"/>
        </w:rPr>
      </w:pPr>
      <w:r>
        <w:rPr>
          <w:sz w:val="20"/>
        </w:rPr>
        <w:t>Los altos cargos de los mediadores de seguros y reaseguros, personas jurídicas, que estuvieran registrados a la fecha de entrada en vigor de este real decreto-ley en el registro administrativo especial de mediadores de seguros, corredores de reaseguros, y de sus altos cargos previsto en el artículo 52 de la Ley 26/2006, de 17 de julio, no deberán registrarse nuevamente en virtud de lo dispuesto en este real</w:t>
      </w:r>
      <w:r>
        <w:rPr>
          <w:spacing w:val="-13"/>
          <w:sz w:val="20"/>
        </w:rPr>
        <w:t> </w:t>
      </w:r>
      <w:r>
        <w:rPr>
          <w:sz w:val="20"/>
        </w:rPr>
        <w:t>decreto-ley.</w:t>
      </w:r>
    </w:p>
    <w:p>
      <w:pPr>
        <w:pStyle w:val="ListParagraph"/>
        <w:numPr>
          <w:ilvl w:val="0"/>
          <w:numId w:val="443"/>
        </w:numPr>
        <w:tabs>
          <w:tab w:pos="1647" w:val="left" w:leader="none"/>
        </w:tabs>
        <w:spacing w:line="249" w:lineRule="auto" w:before="4" w:after="0"/>
        <w:ind w:left="1074" w:right="1272" w:firstLine="340"/>
        <w:jc w:val="both"/>
        <w:rPr>
          <w:sz w:val="20"/>
        </w:rPr>
      </w:pPr>
      <w:r>
        <w:rPr>
          <w:sz w:val="20"/>
        </w:rPr>
        <w:t>Los mediadores de seguros deberán adaptarse a lo dispuesto en el artículo 136.4 del título I del libro segundo en el plazo máximo de tres meses a partir de la entrada en vigor de este real</w:t>
      </w:r>
      <w:r>
        <w:rPr>
          <w:spacing w:val="-2"/>
          <w:sz w:val="20"/>
        </w:rPr>
        <w:t> </w:t>
      </w:r>
      <w:r>
        <w:rPr>
          <w:sz w:val="20"/>
        </w:rPr>
        <w:t>decreto-ley.</w:t>
      </w:r>
    </w:p>
    <w:p>
      <w:pPr>
        <w:pStyle w:val="ListParagraph"/>
        <w:numPr>
          <w:ilvl w:val="0"/>
          <w:numId w:val="443"/>
        </w:numPr>
        <w:tabs>
          <w:tab w:pos="1649" w:val="left" w:leader="none"/>
        </w:tabs>
        <w:spacing w:line="249" w:lineRule="auto" w:before="2" w:after="0"/>
        <w:ind w:left="1074" w:right="1273" w:firstLine="340"/>
        <w:jc w:val="both"/>
        <w:rPr>
          <w:sz w:val="20"/>
        </w:rPr>
      </w:pPr>
      <w:r>
        <w:rPr>
          <w:sz w:val="20"/>
        </w:rPr>
        <w:t>En el caso de los corredores de seguros y reaseguros inscritos a la fecha de entrada en vigor de este real decreto-ley en el registro administrativo especial de mediadores de seguros, corredores de reaseguros, y de sus altos cargos previsto en el artículo 52 de la Ley 26/2006, de 17 de julio, el cómputo a que se refiere la letra d) del artículo 190.1 del título I deberá</w:t>
      </w:r>
      <w:r>
        <w:rPr>
          <w:spacing w:val="-4"/>
          <w:sz w:val="20"/>
        </w:rPr>
        <w:t> </w:t>
      </w:r>
      <w:r>
        <w:rPr>
          <w:sz w:val="20"/>
        </w:rPr>
        <w:t>realizarse</w:t>
      </w:r>
      <w:r>
        <w:rPr>
          <w:spacing w:val="-3"/>
          <w:sz w:val="20"/>
        </w:rPr>
        <w:t> </w:t>
      </w:r>
      <w:r>
        <w:rPr>
          <w:sz w:val="20"/>
        </w:rPr>
        <w:t>a</w:t>
      </w:r>
      <w:r>
        <w:rPr>
          <w:spacing w:val="-4"/>
          <w:sz w:val="20"/>
        </w:rPr>
        <w:t> </w:t>
      </w:r>
      <w:r>
        <w:rPr>
          <w:sz w:val="20"/>
        </w:rPr>
        <w:t>partir</w:t>
      </w:r>
      <w:r>
        <w:rPr>
          <w:spacing w:val="-3"/>
          <w:sz w:val="20"/>
        </w:rPr>
        <w:t> </w:t>
      </w:r>
      <w:r>
        <w:rPr>
          <w:sz w:val="20"/>
        </w:rPr>
        <w:t>del</w:t>
      </w:r>
      <w:r>
        <w:rPr>
          <w:spacing w:val="-4"/>
          <w:sz w:val="20"/>
        </w:rPr>
        <w:t> </w:t>
      </w:r>
      <w:r>
        <w:rPr>
          <w:sz w:val="20"/>
        </w:rPr>
        <w:t>ejercicio</w:t>
      </w:r>
      <w:r>
        <w:rPr>
          <w:spacing w:val="-4"/>
          <w:sz w:val="20"/>
        </w:rPr>
        <w:t> </w:t>
      </w:r>
      <w:r>
        <w:rPr>
          <w:sz w:val="20"/>
        </w:rPr>
        <w:t>siguiente</w:t>
      </w:r>
      <w:r>
        <w:rPr>
          <w:spacing w:val="-2"/>
          <w:sz w:val="20"/>
        </w:rPr>
        <w:t> </w:t>
      </w:r>
      <w:r>
        <w:rPr>
          <w:sz w:val="20"/>
        </w:rPr>
        <w:t>a</w:t>
      </w:r>
      <w:r>
        <w:rPr>
          <w:spacing w:val="-4"/>
          <w:sz w:val="20"/>
        </w:rPr>
        <w:t> </w:t>
      </w:r>
      <w:r>
        <w:rPr>
          <w:sz w:val="20"/>
        </w:rPr>
        <w:t>la</w:t>
      </w:r>
      <w:r>
        <w:rPr>
          <w:spacing w:val="-4"/>
          <w:sz w:val="20"/>
        </w:rPr>
        <w:t> </w:t>
      </w:r>
      <w:r>
        <w:rPr>
          <w:sz w:val="20"/>
        </w:rPr>
        <w:t>entrada</w:t>
      </w:r>
      <w:r>
        <w:rPr>
          <w:spacing w:val="-4"/>
          <w:sz w:val="20"/>
        </w:rPr>
        <w:t> </w:t>
      </w:r>
      <w:r>
        <w:rPr>
          <w:sz w:val="20"/>
        </w:rPr>
        <w:t>en</w:t>
      </w:r>
      <w:r>
        <w:rPr>
          <w:spacing w:val="-3"/>
          <w:sz w:val="20"/>
        </w:rPr>
        <w:t> </w:t>
      </w:r>
      <w:r>
        <w:rPr>
          <w:sz w:val="20"/>
        </w:rPr>
        <w:t>vigor</w:t>
      </w:r>
      <w:r>
        <w:rPr>
          <w:spacing w:val="-3"/>
          <w:sz w:val="20"/>
        </w:rPr>
        <w:t> </w:t>
      </w:r>
      <w:r>
        <w:rPr>
          <w:sz w:val="20"/>
        </w:rPr>
        <w:t>de</w:t>
      </w:r>
      <w:r>
        <w:rPr>
          <w:spacing w:val="-4"/>
          <w:sz w:val="20"/>
        </w:rPr>
        <w:t> </w:t>
      </w:r>
      <w:r>
        <w:rPr>
          <w:sz w:val="20"/>
        </w:rPr>
        <w:t>este</w:t>
      </w:r>
      <w:r>
        <w:rPr>
          <w:spacing w:val="-3"/>
          <w:sz w:val="20"/>
        </w:rPr>
        <w:t> </w:t>
      </w:r>
      <w:r>
        <w:rPr>
          <w:sz w:val="20"/>
        </w:rPr>
        <w:t>real</w:t>
      </w:r>
      <w:r>
        <w:rPr>
          <w:spacing w:val="-3"/>
          <w:sz w:val="20"/>
        </w:rPr>
        <w:t> </w:t>
      </w:r>
      <w:r>
        <w:rPr>
          <w:sz w:val="20"/>
        </w:rPr>
        <w:t>decreto-ley.</w:t>
      </w:r>
    </w:p>
    <w:p>
      <w:pPr>
        <w:pStyle w:val="BodyText"/>
        <w:spacing w:before="7"/>
        <w:ind w:left="0" w:firstLine="0"/>
        <w:jc w:val="left"/>
      </w:pPr>
    </w:p>
    <w:p>
      <w:pPr>
        <w:spacing w:before="0"/>
        <w:ind w:left="1074" w:right="0" w:firstLine="0"/>
        <w:jc w:val="both"/>
        <w:rPr>
          <w:i/>
          <w:sz w:val="20"/>
        </w:rPr>
      </w:pPr>
      <w:bookmarkStart w:name="Disposición transitoria cuarta. Contrato" w:id="400"/>
      <w:bookmarkEnd w:id="400"/>
      <w:r>
        <w:rPr/>
      </w:r>
      <w:r>
        <w:rPr>
          <w:b/>
          <w:sz w:val="20"/>
        </w:rPr>
        <w:t>Disposición transitoria cuarta. </w:t>
      </w:r>
      <w:r>
        <w:rPr>
          <w:i/>
          <w:sz w:val="20"/>
        </w:rPr>
        <w:t>Contratos de seguros preexistentes.</w:t>
      </w:r>
    </w:p>
    <w:p>
      <w:pPr>
        <w:pStyle w:val="BodyText"/>
        <w:spacing w:line="249" w:lineRule="auto" w:before="117"/>
        <w:ind w:right="1272"/>
      </w:pPr>
      <w:r>
        <w:rPr/>
        <w:t>El título I del libro segundo del real decreto-ley no será de aplicación a los contratos de seguro suscritos con anterioridad a su entrada en vigor, salvo aquellos contratos que, habiendo sido suscritos con anterioridad a la entrada en vigor de este, hayan sido objeto de novación extintiva, desde el momento en que esta se produzca.</w:t>
      </w:r>
    </w:p>
    <w:p>
      <w:pPr>
        <w:pStyle w:val="BodyText"/>
        <w:spacing w:before="6"/>
        <w:ind w:left="0" w:firstLine="0"/>
        <w:jc w:val="left"/>
      </w:pPr>
    </w:p>
    <w:p>
      <w:pPr>
        <w:spacing w:line="249" w:lineRule="auto" w:before="0"/>
        <w:ind w:left="1074" w:right="1273" w:hanging="1"/>
        <w:jc w:val="both"/>
        <w:rPr>
          <w:i/>
          <w:sz w:val="20"/>
        </w:rPr>
      </w:pPr>
      <w:bookmarkStart w:name="Disposición transitoria quinta. Contrato" w:id="401"/>
      <w:bookmarkEnd w:id="401"/>
      <w:r>
        <w:rPr/>
      </w:r>
      <w:r>
        <w:rPr>
          <w:b/>
          <w:sz w:val="20"/>
        </w:rPr>
        <w:t>Disposición transitoria quinta. </w:t>
      </w:r>
      <w:r>
        <w:rPr>
          <w:i/>
          <w:sz w:val="20"/>
        </w:rPr>
        <w:t>Contratos de mediación y distribución vigentes a la entrada </w:t>
      </w:r>
      <w:r>
        <w:rPr>
          <w:i/>
          <w:sz w:val="20"/>
        </w:rPr>
        <w:t>en vigor.</w:t>
      </w:r>
    </w:p>
    <w:p>
      <w:pPr>
        <w:pStyle w:val="BodyText"/>
        <w:spacing w:line="249" w:lineRule="auto" w:before="110"/>
        <w:ind w:right="1272"/>
      </w:pPr>
      <w:r>
        <w:rPr/>
        <w:t>Los contratos de mediación y distribución de seguros celebrados con anterioridad a la entrada en vigor de este real decreto-ley permanecerán en vigor en todos sus términos, antigüedad y condiciones, sin perjuicio de las necesarias adaptaciones que correspondan a las nuevas obligaciones de información y normas de conducta que resulten aplicables.</w:t>
      </w:r>
    </w:p>
    <w:p>
      <w:pPr>
        <w:pStyle w:val="BodyText"/>
        <w:spacing w:before="5"/>
        <w:ind w:left="0" w:firstLine="0"/>
        <w:jc w:val="left"/>
      </w:pPr>
    </w:p>
    <w:p>
      <w:pPr>
        <w:spacing w:line="249" w:lineRule="auto" w:before="0"/>
        <w:ind w:left="1074" w:right="1274" w:hanging="1"/>
        <w:jc w:val="both"/>
        <w:rPr>
          <w:i/>
          <w:sz w:val="20"/>
        </w:rPr>
      </w:pPr>
      <w:bookmarkStart w:name="Disposición transitoria sexta. Comunicac" w:id="402"/>
      <w:bookmarkEnd w:id="402"/>
      <w:r>
        <w:rPr/>
      </w:r>
      <w:r>
        <w:rPr>
          <w:b/>
          <w:sz w:val="20"/>
        </w:rPr>
        <w:t>Disposición transitoria sexta. </w:t>
      </w:r>
      <w:r>
        <w:rPr>
          <w:i/>
          <w:sz w:val="20"/>
        </w:rPr>
        <w:t>Comunicaciones de participaciones significativas en las </w:t>
      </w:r>
      <w:r>
        <w:rPr>
          <w:i/>
          <w:sz w:val="20"/>
        </w:rPr>
        <w:t>entidades gestoras de fondos de pensiones y nombramientos de quienes ejerzan la dirección efectiva y funciones clave.</w:t>
      </w:r>
    </w:p>
    <w:p>
      <w:pPr>
        <w:pStyle w:val="BodyText"/>
        <w:spacing w:line="249" w:lineRule="auto" w:before="110"/>
        <w:ind w:right="1271"/>
      </w:pPr>
      <w:r>
        <w:rPr/>
        <w:t>En tanto no entren en vigor las normas de desarrollo reglamentario previstas en los artículos 20.1.g) y 28.4 del texto refundido de la Ley de Regulación de los Planes y Fondos de Pensiones, en redacción dada por el título II del Libro segundo de este real decreto-ley, a efectos de la evaluación y comunicaciones a la Dirección General de Seguros y Fondos de Pensiones previstas en los citados artículos y en el artículo 28.3 de dicho texto refundido, serán aplicables los anexos I y II de la Orden EHA/407/2008, de 7 de febrero, por la que se desarrolla la normativa de planes y fondos de pensiones en materia financiero-actuarial, del régimen de inversiones y de procedimientos registrales.</w:t>
      </w:r>
    </w:p>
    <w:p>
      <w:pPr>
        <w:pStyle w:val="BodyText"/>
        <w:spacing w:before="9"/>
        <w:ind w:left="0" w:firstLine="0"/>
        <w:jc w:val="left"/>
      </w:pPr>
    </w:p>
    <w:p>
      <w:pPr>
        <w:spacing w:line="249" w:lineRule="auto" w:before="1"/>
        <w:ind w:left="1074" w:right="1274" w:hanging="1"/>
        <w:jc w:val="both"/>
        <w:rPr>
          <w:i/>
          <w:sz w:val="20"/>
        </w:rPr>
      </w:pPr>
      <w:bookmarkStart w:name="Disposición transitoria séptima. Llevanz" w:id="403"/>
      <w:bookmarkEnd w:id="403"/>
      <w:r>
        <w:rPr/>
      </w:r>
      <w:r>
        <w:rPr>
          <w:b/>
          <w:sz w:val="20"/>
        </w:rPr>
        <w:t>Disposición transitoria séptima. </w:t>
      </w:r>
      <w:r>
        <w:rPr>
          <w:i/>
          <w:sz w:val="20"/>
        </w:rPr>
        <w:t>Llevanza del libro registro de determinadas operaciones </w:t>
      </w:r>
      <w:r>
        <w:rPr>
          <w:i/>
          <w:sz w:val="20"/>
        </w:rPr>
        <w:t>intracomunitarias a través de la sede electrónica de la Agencia Estatal de Administración Tributaria.</w:t>
      </w:r>
    </w:p>
    <w:p>
      <w:pPr>
        <w:pStyle w:val="BodyText"/>
        <w:spacing w:line="249" w:lineRule="auto" w:before="110"/>
        <w:ind w:right="1273"/>
      </w:pPr>
      <w:r>
        <w:rPr/>
        <w:t>La obligación de la llevanza del libro registro de determinadas operaciones intracomunitarias a través de la Sede electrónica de la Agencia Estatal de Administración Tributaria mediante el suministro electrónico de la información, exclusivamente en relación con las operaciones a que se refiere el número 3.º del apartado 1 del artículo 66 del Reglamento del Impuesto sobre el Valor Añadido, aprobado por el Real Decreto 1624/1992, de 29 de diciembre, será de aplicación a partir del 1 de enero de 2021.</w:t>
      </w:r>
    </w:p>
    <w:p>
      <w:pPr>
        <w:pStyle w:val="BodyText"/>
        <w:spacing w:before="7"/>
        <w:ind w:left="0" w:firstLine="0"/>
        <w:jc w:val="left"/>
      </w:pPr>
    </w:p>
    <w:p>
      <w:pPr>
        <w:spacing w:line="249" w:lineRule="auto" w:before="0"/>
        <w:ind w:left="1074" w:right="1272" w:hanging="1"/>
        <w:jc w:val="both"/>
        <w:rPr>
          <w:i/>
          <w:sz w:val="20"/>
        </w:rPr>
      </w:pPr>
      <w:bookmarkStart w:name="Disposición transitoria octava. Régimen " w:id="404"/>
      <w:bookmarkEnd w:id="404"/>
      <w:r>
        <w:rPr/>
      </w:r>
      <w:r>
        <w:rPr>
          <w:b/>
          <w:sz w:val="20"/>
        </w:rPr>
        <w:t>Disposición transitoria octava. </w:t>
      </w:r>
      <w:r>
        <w:rPr>
          <w:i/>
          <w:sz w:val="20"/>
        </w:rPr>
        <w:t>Régimen transitorio en materia de procedimientos </w:t>
      </w:r>
      <w:r>
        <w:rPr>
          <w:i/>
          <w:sz w:val="20"/>
        </w:rPr>
        <w:t>amistosos.</w:t>
      </w:r>
    </w:p>
    <w:p>
      <w:pPr>
        <w:pStyle w:val="ListParagraph"/>
        <w:numPr>
          <w:ilvl w:val="0"/>
          <w:numId w:val="444"/>
        </w:numPr>
        <w:tabs>
          <w:tab w:pos="1662" w:val="left" w:leader="none"/>
        </w:tabs>
        <w:spacing w:line="249" w:lineRule="auto" w:before="109" w:after="0"/>
        <w:ind w:left="1074" w:right="1273" w:firstLine="340"/>
        <w:jc w:val="both"/>
        <w:rPr>
          <w:sz w:val="20"/>
        </w:rPr>
      </w:pPr>
      <w:r>
        <w:rPr>
          <w:sz w:val="20"/>
        </w:rPr>
        <w:t>Los procedimientos amistosos iniciados antes de la fecha de entrada en vigor de la nueva redacción otorgada por este real decreto-ley de la disposición adicional primera del texto refundido de la Ley del Impuesto sobre la Renta de no Residentes, aprobado por el Real Decreto Legislativo 5/2004, de 5 de marzo, se regirán por la normativa anterior a dicha fecha hasta su conclusión salvo lo dispuesto en los apartados</w:t>
      </w:r>
      <w:r>
        <w:rPr>
          <w:spacing w:val="-12"/>
          <w:sz w:val="20"/>
        </w:rPr>
        <w:t> </w:t>
      </w:r>
      <w:r>
        <w:rPr>
          <w:sz w:val="20"/>
        </w:rPr>
        <w:t>siguientes.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44"/>
        </w:numPr>
        <w:tabs>
          <w:tab w:pos="1708" w:val="left" w:leader="none"/>
        </w:tabs>
        <w:spacing w:line="249" w:lineRule="auto" w:before="127" w:after="0"/>
        <w:ind w:left="1074" w:right="1274" w:firstLine="340"/>
        <w:jc w:val="both"/>
        <w:rPr>
          <w:sz w:val="20"/>
        </w:rPr>
      </w:pPr>
      <w:r>
        <w:rPr>
          <w:sz w:val="20"/>
        </w:rPr>
        <w:t>Lo dispuesto en la nueva redacción otorgada por este real decreto-ley de los apartados 7 y 8 de la disposición adicional primera del texto refundido de la Ley del Impuesto sobre la Renta de no Residentes, aprobado por el Real Decreto Legislativo 5/2004, de 5 de marzo, será de aplicación a los procedimientos amistosos iniciados a partir del 12 de octubre de</w:t>
      </w:r>
      <w:r>
        <w:rPr>
          <w:spacing w:val="-2"/>
          <w:sz w:val="20"/>
        </w:rPr>
        <w:t> </w:t>
      </w:r>
      <w:r>
        <w:rPr>
          <w:sz w:val="20"/>
        </w:rPr>
        <w:t>2015.</w:t>
      </w:r>
    </w:p>
    <w:p>
      <w:pPr>
        <w:pStyle w:val="ListParagraph"/>
        <w:numPr>
          <w:ilvl w:val="0"/>
          <w:numId w:val="444"/>
        </w:numPr>
        <w:tabs>
          <w:tab w:pos="1665" w:val="left" w:leader="none"/>
        </w:tabs>
        <w:spacing w:line="249" w:lineRule="auto" w:before="4" w:after="0"/>
        <w:ind w:left="1074" w:right="1273" w:firstLine="340"/>
        <w:jc w:val="both"/>
        <w:rPr>
          <w:sz w:val="20"/>
        </w:rPr>
      </w:pPr>
      <w:r>
        <w:rPr>
          <w:sz w:val="20"/>
        </w:rPr>
        <w:t>Lo dispuesto en la nueva redacción otorgada por este real decreto-ley del segundo párrafo del apartado 3 de la disposición adicional primera del texto refundido de la Ley del Impuesto sobre la Renta de no Residentes, aprobado por el Real Decreto Legislativo 5/2004, de 5 de marzo, será de aplicación a los procedimientos pendientes de terminación en la fecha de entrada en vigor de este real</w:t>
      </w:r>
      <w:r>
        <w:rPr>
          <w:spacing w:val="-8"/>
          <w:sz w:val="20"/>
        </w:rPr>
        <w:t> </w:t>
      </w:r>
      <w:r>
        <w:rPr>
          <w:sz w:val="20"/>
        </w:rPr>
        <w:t>decreto-ley.</w:t>
      </w:r>
    </w:p>
    <w:p>
      <w:pPr>
        <w:pStyle w:val="ListParagraph"/>
        <w:numPr>
          <w:ilvl w:val="0"/>
          <w:numId w:val="444"/>
        </w:numPr>
        <w:tabs>
          <w:tab w:pos="1685" w:val="left" w:leader="none"/>
        </w:tabs>
        <w:spacing w:line="249" w:lineRule="auto" w:before="4" w:after="0"/>
        <w:ind w:left="1074" w:right="1274" w:firstLine="340"/>
        <w:jc w:val="both"/>
        <w:rPr>
          <w:sz w:val="20"/>
        </w:rPr>
      </w:pPr>
      <w:r>
        <w:rPr>
          <w:sz w:val="20"/>
        </w:rPr>
        <w:t>Lo dispuesto en la nueva redacción otorgada por este real decreto-ley del tercer párrafo del apartado 2 de la disposición adicional novena de la Ley 29/1998, de 13 de julio, reguladora de la Jurisdicción Contencioso-administrativa, será de aplicación a los procedimientos amistosos iniciados a partir del 12 de octubre de</w:t>
      </w:r>
      <w:r>
        <w:rPr>
          <w:spacing w:val="-21"/>
          <w:sz w:val="20"/>
        </w:rPr>
        <w:t> </w:t>
      </w:r>
      <w:r>
        <w:rPr>
          <w:sz w:val="20"/>
        </w:rPr>
        <w:t>2015.</w:t>
      </w:r>
    </w:p>
    <w:p>
      <w:pPr>
        <w:pStyle w:val="BodyText"/>
        <w:spacing w:before="5"/>
        <w:ind w:left="0" w:firstLine="0"/>
        <w:jc w:val="left"/>
      </w:pPr>
    </w:p>
    <w:p>
      <w:pPr>
        <w:spacing w:before="1"/>
        <w:ind w:left="1074" w:right="0" w:firstLine="0"/>
        <w:jc w:val="both"/>
        <w:rPr>
          <w:i/>
          <w:sz w:val="20"/>
        </w:rPr>
      </w:pPr>
      <w:bookmarkStart w:name="[Disposiciones derogatorias]" w:id="405"/>
      <w:bookmarkEnd w:id="405"/>
      <w:r>
        <w:rPr/>
      </w:r>
      <w:bookmarkStart w:name="Disposición derogatoria única. Derogació" w:id="406"/>
      <w:bookmarkEnd w:id="406"/>
      <w:r>
        <w:rPr/>
      </w:r>
      <w:bookmarkStart w:name="_bookmark80" w:id="407"/>
      <w:bookmarkEnd w:id="407"/>
      <w:r>
        <w:rPr/>
      </w:r>
      <w:r>
        <w:rPr>
          <w:b/>
          <w:sz w:val="20"/>
        </w:rPr>
        <w:t>Disposición derogatoria única. </w:t>
      </w:r>
      <w:r>
        <w:rPr>
          <w:i/>
          <w:sz w:val="20"/>
        </w:rPr>
        <w:t>Derogación normativa.</w:t>
      </w:r>
    </w:p>
    <w:p>
      <w:pPr>
        <w:pStyle w:val="ListParagraph"/>
        <w:numPr>
          <w:ilvl w:val="0"/>
          <w:numId w:val="445"/>
        </w:numPr>
        <w:tabs>
          <w:tab w:pos="1724" w:val="left" w:leader="none"/>
        </w:tabs>
        <w:spacing w:line="249" w:lineRule="auto" w:before="117" w:after="0"/>
        <w:ind w:left="1074" w:right="1273" w:firstLine="340"/>
        <w:jc w:val="both"/>
        <w:rPr>
          <w:sz w:val="20"/>
        </w:rPr>
      </w:pPr>
      <w:r>
        <w:rPr>
          <w:sz w:val="20"/>
        </w:rPr>
        <w:t>Queda derogada la Ley 31/2007, de 3 de octubre, sobre procedimientos de contratación en los sectores del agua, la energía, los transportes y los servicios postales, por la que se incorporan al ordenamiento jurídico español las Directivas 2004/17/CE, 92/13/CEE y 2007/66/CE y todas las disposiciones de igual o inferior rango en cuanto se opongan a lo establecido en este real</w:t>
      </w:r>
      <w:r>
        <w:rPr>
          <w:spacing w:val="-5"/>
          <w:sz w:val="20"/>
        </w:rPr>
        <w:t> </w:t>
      </w:r>
      <w:r>
        <w:rPr>
          <w:sz w:val="20"/>
        </w:rPr>
        <w:t>decreto-ley.</w:t>
      </w:r>
    </w:p>
    <w:p>
      <w:pPr>
        <w:pStyle w:val="ListParagraph"/>
        <w:numPr>
          <w:ilvl w:val="0"/>
          <w:numId w:val="445"/>
        </w:numPr>
        <w:tabs>
          <w:tab w:pos="1712" w:val="left" w:leader="none"/>
        </w:tabs>
        <w:spacing w:line="249" w:lineRule="auto" w:before="4" w:after="0"/>
        <w:ind w:left="1074" w:right="1272" w:firstLine="340"/>
        <w:jc w:val="both"/>
        <w:rPr>
          <w:sz w:val="20"/>
        </w:rPr>
      </w:pPr>
      <w:r>
        <w:rPr>
          <w:sz w:val="20"/>
        </w:rPr>
        <w:t>Queda derogada la Ley 26/2006, de 17 de julio, de mediación de seguros y reaseguros.</w:t>
      </w:r>
    </w:p>
    <w:p>
      <w:pPr>
        <w:pStyle w:val="ListParagraph"/>
        <w:numPr>
          <w:ilvl w:val="0"/>
          <w:numId w:val="445"/>
        </w:numPr>
        <w:tabs>
          <w:tab w:pos="1689" w:val="left" w:leader="none"/>
        </w:tabs>
        <w:spacing w:line="249" w:lineRule="auto" w:before="2" w:after="0"/>
        <w:ind w:left="1074" w:right="1273" w:firstLine="340"/>
        <w:jc w:val="both"/>
        <w:rPr>
          <w:sz w:val="20"/>
        </w:rPr>
      </w:pPr>
      <w:r>
        <w:rPr>
          <w:sz w:val="20"/>
        </w:rPr>
        <w:t>Igualmente quedan derogadas cuantas disposiciones de igual o inferior rango se opongan a lo dispuesto en este real</w:t>
      </w:r>
      <w:r>
        <w:rPr>
          <w:spacing w:val="-9"/>
          <w:sz w:val="20"/>
        </w:rPr>
        <w:t> </w:t>
      </w:r>
      <w:r>
        <w:rPr>
          <w:sz w:val="20"/>
        </w:rPr>
        <w:t>decreto-ley.</w:t>
      </w:r>
    </w:p>
    <w:p>
      <w:pPr>
        <w:pStyle w:val="ListParagraph"/>
        <w:numPr>
          <w:ilvl w:val="0"/>
          <w:numId w:val="445"/>
        </w:numPr>
        <w:tabs>
          <w:tab w:pos="1679" w:val="left" w:leader="none"/>
        </w:tabs>
        <w:spacing w:line="249" w:lineRule="auto" w:before="2" w:after="0"/>
        <w:ind w:left="1074" w:right="1271" w:firstLine="340"/>
        <w:jc w:val="both"/>
        <w:rPr>
          <w:sz w:val="20"/>
        </w:rPr>
      </w:pPr>
      <w:r>
        <w:rPr>
          <w:sz w:val="20"/>
        </w:rPr>
        <w:t>No obstante lo anterior, el Real Decreto 764/2010, de 11 de junio, por el que se desarrolla la Ley 26/2006, de 17 de julio, de mediación de seguros y reaseguros privados en materia de información estadístico-contable y del negocio, y de competencia profesional, así como la Resolución de 18 de febrero de 2011, de la Dirección General de Seguros y Fondos de Pensiones, por la que se establecen los requisitos y principios básicos de los programas de formación para los mediadores de seguros, corredores de reaseguros y demás personas que participen directamente en la mediación de los seguros y reaseguros privados, continuarán en vigor hasta que se apruebe la normativa que desarrolle el real decreto-ley en materia de formación y de información estadístico- contable y del</w:t>
      </w:r>
      <w:r>
        <w:rPr>
          <w:spacing w:val="-13"/>
          <w:sz w:val="20"/>
        </w:rPr>
        <w:t> </w:t>
      </w:r>
      <w:r>
        <w:rPr>
          <w:sz w:val="20"/>
        </w:rPr>
        <w:t>negocio.</w:t>
      </w:r>
    </w:p>
    <w:p>
      <w:pPr>
        <w:pStyle w:val="BodyText"/>
        <w:spacing w:before="9"/>
        <w:ind w:left="0" w:firstLine="0"/>
        <w:jc w:val="left"/>
      </w:pPr>
    </w:p>
    <w:p>
      <w:pPr>
        <w:spacing w:line="249" w:lineRule="auto" w:before="1"/>
        <w:ind w:left="1074" w:right="1273" w:firstLine="0"/>
        <w:jc w:val="both"/>
        <w:rPr>
          <w:i/>
          <w:sz w:val="20"/>
        </w:rPr>
      </w:pPr>
      <w:bookmarkStart w:name="[Disposiciones finales]" w:id="408"/>
      <w:bookmarkEnd w:id="408"/>
      <w:r>
        <w:rPr/>
      </w:r>
      <w:bookmarkStart w:name="Disposición final primera. Modificación " w:id="409"/>
      <w:bookmarkEnd w:id="409"/>
      <w:r>
        <w:rPr/>
      </w:r>
      <w:bookmarkStart w:name="_bookmark81" w:id="410"/>
      <w:bookmarkEnd w:id="410"/>
      <w:r>
        <w:rPr/>
      </w:r>
      <w:r>
        <w:rPr>
          <w:b/>
          <w:sz w:val="20"/>
        </w:rPr>
        <w:t>Disposición final primera. </w:t>
      </w:r>
      <w:r>
        <w:rPr>
          <w:i/>
          <w:sz w:val="20"/>
        </w:rPr>
        <w:t>Modificación de la Ley 9/2017, de 8 de noviembre, de Contratos </w:t>
      </w:r>
      <w:r>
        <w:rPr>
          <w:i/>
          <w:sz w:val="20"/>
        </w:rPr>
        <w:t>del Sector Público, por la que se transponen al ordenamiento jurídico español las Directivas del Parlamento Europeo y del Consejo 2014/23/UE y 2014/24/UE, de 26 de febrero de 2014.</w:t>
      </w:r>
    </w:p>
    <w:p>
      <w:pPr>
        <w:pStyle w:val="BodyText"/>
        <w:spacing w:line="249" w:lineRule="auto" w:before="110"/>
        <w:ind w:right="1273"/>
      </w:pPr>
      <w:r>
        <w:rPr/>
        <w:t>Uno. Se da nueva redacción al artículo 118 de la Ley 9/2017, de 8 de noviembre, que queda redactado como sigue:</w:t>
      </w:r>
    </w:p>
    <w:p>
      <w:pPr>
        <w:pStyle w:val="BodyText"/>
        <w:spacing w:before="4"/>
        <w:ind w:left="0" w:firstLine="0"/>
        <w:jc w:val="left"/>
      </w:pPr>
    </w:p>
    <w:p>
      <w:pPr>
        <w:spacing w:before="0"/>
        <w:ind w:left="1754" w:right="0" w:firstLine="0"/>
        <w:jc w:val="left"/>
        <w:rPr>
          <w:i/>
          <w:sz w:val="20"/>
        </w:rPr>
      </w:pPr>
      <w:r>
        <w:rPr>
          <w:b/>
          <w:sz w:val="20"/>
        </w:rPr>
        <w:t>«Artículo 118. </w:t>
      </w:r>
      <w:r>
        <w:rPr>
          <w:i/>
          <w:sz w:val="20"/>
        </w:rPr>
        <w:t>Expediente de contratación en contratos menores.</w:t>
      </w:r>
    </w:p>
    <w:p>
      <w:pPr>
        <w:pStyle w:val="ListParagraph"/>
        <w:numPr>
          <w:ilvl w:val="1"/>
          <w:numId w:val="445"/>
        </w:numPr>
        <w:tabs>
          <w:tab w:pos="2353" w:val="left" w:leader="none"/>
        </w:tabs>
        <w:spacing w:line="240" w:lineRule="auto" w:before="118" w:after="0"/>
        <w:ind w:left="2352" w:right="0" w:hanging="259"/>
        <w:jc w:val="both"/>
        <w:rPr>
          <w:sz w:val="20"/>
        </w:rPr>
      </w:pPr>
      <w:r>
        <w:rPr>
          <w:sz w:val="20"/>
        </w:rPr>
        <w:t>Se</w:t>
      </w:r>
      <w:r>
        <w:rPr>
          <w:spacing w:val="33"/>
          <w:sz w:val="20"/>
        </w:rPr>
        <w:t> </w:t>
      </w:r>
      <w:r>
        <w:rPr>
          <w:sz w:val="20"/>
        </w:rPr>
        <w:t>consideran</w:t>
      </w:r>
      <w:r>
        <w:rPr>
          <w:spacing w:val="34"/>
          <w:sz w:val="20"/>
        </w:rPr>
        <w:t> </w:t>
      </w:r>
      <w:r>
        <w:rPr>
          <w:sz w:val="20"/>
        </w:rPr>
        <w:t>contratos</w:t>
      </w:r>
      <w:r>
        <w:rPr>
          <w:spacing w:val="34"/>
          <w:sz w:val="20"/>
        </w:rPr>
        <w:t> </w:t>
      </w:r>
      <w:r>
        <w:rPr>
          <w:sz w:val="20"/>
        </w:rPr>
        <w:t>menores</w:t>
      </w:r>
      <w:r>
        <w:rPr>
          <w:spacing w:val="34"/>
          <w:sz w:val="20"/>
        </w:rPr>
        <w:t> </w:t>
      </w:r>
      <w:r>
        <w:rPr>
          <w:sz w:val="20"/>
        </w:rPr>
        <w:t>los</w:t>
      </w:r>
      <w:r>
        <w:rPr>
          <w:spacing w:val="34"/>
          <w:sz w:val="20"/>
        </w:rPr>
        <w:t> </w:t>
      </w:r>
      <w:r>
        <w:rPr>
          <w:sz w:val="20"/>
        </w:rPr>
        <w:t>contratos</w:t>
      </w:r>
      <w:r>
        <w:rPr>
          <w:spacing w:val="34"/>
          <w:sz w:val="20"/>
        </w:rPr>
        <w:t> </w:t>
      </w:r>
      <w:r>
        <w:rPr>
          <w:sz w:val="20"/>
        </w:rPr>
        <w:t>de</w:t>
      </w:r>
      <w:r>
        <w:rPr>
          <w:spacing w:val="34"/>
          <w:sz w:val="20"/>
        </w:rPr>
        <w:t> </w:t>
      </w:r>
      <w:r>
        <w:rPr>
          <w:sz w:val="20"/>
        </w:rPr>
        <w:t>valor</w:t>
      </w:r>
      <w:r>
        <w:rPr>
          <w:spacing w:val="33"/>
          <w:sz w:val="20"/>
        </w:rPr>
        <w:t> </w:t>
      </w:r>
      <w:r>
        <w:rPr>
          <w:sz w:val="20"/>
        </w:rPr>
        <w:t>estimado</w:t>
      </w:r>
      <w:r>
        <w:rPr>
          <w:spacing w:val="34"/>
          <w:sz w:val="20"/>
        </w:rPr>
        <w:t> </w:t>
      </w:r>
      <w:r>
        <w:rPr>
          <w:sz w:val="20"/>
        </w:rPr>
        <w:t>inferior</w:t>
      </w:r>
      <w:r>
        <w:rPr>
          <w:spacing w:val="34"/>
          <w:sz w:val="20"/>
        </w:rPr>
        <w:t> </w:t>
      </w:r>
      <w:r>
        <w:rPr>
          <w:sz w:val="20"/>
        </w:rPr>
        <w:t>a</w:t>
      </w:r>
    </w:p>
    <w:p>
      <w:pPr>
        <w:pStyle w:val="BodyText"/>
        <w:spacing w:line="249" w:lineRule="auto" w:before="10"/>
        <w:ind w:left="1754" w:right="1273" w:firstLine="0"/>
      </w:pPr>
      <w:r>
        <w:rPr/>
        <w:t>40.000 euros, cuando se trate de contratos de obras, o a 15.000 euros, cuando se trate de contratos de suministro o de servicios, sin perjuicio de lo dispuesto en el artículo 229 en relación con las obras, servicios y suministros centralizados en el ámbito estatal.</w:t>
      </w:r>
    </w:p>
    <w:p>
      <w:pPr>
        <w:pStyle w:val="ListParagraph"/>
        <w:numPr>
          <w:ilvl w:val="1"/>
          <w:numId w:val="445"/>
        </w:numPr>
        <w:tabs>
          <w:tab w:pos="2318" w:val="left" w:leader="none"/>
        </w:tabs>
        <w:spacing w:line="249" w:lineRule="auto" w:before="3" w:after="0"/>
        <w:ind w:left="1754" w:right="1274" w:firstLine="340"/>
        <w:jc w:val="both"/>
        <w:rPr>
          <w:sz w:val="20"/>
        </w:rPr>
      </w:pPr>
      <w:r>
        <w:rPr>
          <w:sz w:val="20"/>
        </w:rPr>
        <w:t>En los contratos menores la tramitación del expediente exigirá la emisión de un informe del órgano de contratación justificando de manera motivada la necesidad del contrato y que no se está alterando su objeto con el fin de evitar la aplicación de los umbrales descritos en el apartado</w:t>
      </w:r>
      <w:r>
        <w:rPr>
          <w:spacing w:val="-8"/>
          <w:sz w:val="20"/>
        </w:rPr>
        <w:t> </w:t>
      </w:r>
      <w:r>
        <w:rPr>
          <w:sz w:val="20"/>
        </w:rPr>
        <w:t>anterior.</w:t>
      </w:r>
    </w:p>
    <w:p>
      <w:pPr>
        <w:pStyle w:val="ListParagraph"/>
        <w:numPr>
          <w:ilvl w:val="1"/>
          <w:numId w:val="445"/>
        </w:numPr>
        <w:tabs>
          <w:tab w:pos="2330" w:val="left" w:leader="none"/>
        </w:tabs>
        <w:spacing w:line="249" w:lineRule="auto" w:before="3" w:after="0"/>
        <w:ind w:left="1754" w:right="1272" w:firstLine="340"/>
        <w:jc w:val="both"/>
        <w:rPr>
          <w:sz w:val="20"/>
        </w:rPr>
      </w:pPr>
      <w:r>
        <w:rPr>
          <w:sz w:val="20"/>
        </w:rPr>
        <w:t>Asimismo se requerirá la aprobación del gasto y la incorporación al mismo de la factura correspondiente, que deberá reunir los requisitos que las normas de desarrollo de esta Ley</w:t>
      </w:r>
      <w:r>
        <w:rPr>
          <w:spacing w:val="-6"/>
          <w:sz w:val="20"/>
        </w:rPr>
        <w:t> </w:t>
      </w:r>
      <w:r>
        <w:rPr>
          <w:sz w:val="20"/>
        </w:rPr>
        <w:t>establezcan.</w:t>
      </w:r>
    </w:p>
    <w:p>
      <w:pPr>
        <w:pStyle w:val="ListParagraph"/>
        <w:numPr>
          <w:ilvl w:val="1"/>
          <w:numId w:val="445"/>
        </w:numPr>
        <w:tabs>
          <w:tab w:pos="2340" w:val="left" w:leader="none"/>
        </w:tabs>
        <w:spacing w:line="249" w:lineRule="auto" w:before="3" w:after="0"/>
        <w:ind w:left="1754" w:right="1274" w:firstLine="340"/>
        <w:jc w:val="both"/>
        <w:rPr>
          <w:sz w:val="20"/>
        </w:rPr>
      </w:pPr>
      <w:r>
        <w:rPr>
          <w:sz w:val="20"/>
        </w:rPr>
        <w:t>En el contrato menor de obras, deberá añadirse, además, el presupuesto de las obras, sin perjuicio de que deba existir el correspondiente proyecto cuando sea requerido por las disposiciones vigentes. Deberá igualmente solicitarse el informe</w:t>
      </w:r>
      <w:r>
        <w:rPr>
          <w:spacing w:val="43"/>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3" w:firstLine="0"/>
      </w:pPr>
      <w:r>
        <w:rPr/>
        <w:t>las oficinas o unidades de supervisión a que se refiere el artículo 235 cuando el trabajo afecte a la estabilidad, seguridad o estanqueidad de la obra.</w:t>
      </w:r>
    </w:p>
    <w:p>
      <w:pPr>
        <w:pStyle w:val="ListParagraph"/>
        <w:numPr>
          <w:ilvl w:val="1"/>
          <w:numId w:val="445"/>
        </w:numPr>
        <w:tabs>
          <w:tab w:pos="2362" w:val="left" w:leader="none"/>
        </w:tabs>
        <w:spacing w:line="249" w:lineRule="auto" w:before="1" w:after="0"/>
        <w:ind w:left="1754" w:right="1271" w:firstLine="340"/>
        <w:jc w:val="both"/>
        <w:rPr>
          <w:sz w:val="20"/>
        </w:rPr>
      </w:pPr>
      <w:r>
        <w:rPr>
          <w:sz w:val="20"/>
        </w:rPr>
        <w:t>Lo dispuesto en el apartado 2.º de este artículo no será de aplicación en aquellos contratos cuyo pago se verifique a través del sistema de anticipos de caja fija u otro similar para realizar pagos menores, siempre y cuando el valor estimado del contrato no exceda de 5.000</w:t>
      </w:r>
      <w:r>
        <w:rPr>
          <w:spacing w:val="-7"/>
          <w:sz w:val="20"/>
        </w:rPr>
        <w:t> </w:t>
      </w:r>
      <w:r>
        <w:rPr>
          <w:sz w:val="20"/>
        </w:rPr>
        <w:t>euros.</w:t>
      </w:r>
    </w:p>
    <w:p>
      <w:pPr>
        <w:pStyle w:val="ListParagraph"/>
        <w:numPr>
          <w:ilvl w:val="1"/>
          <w:numId w:val="445"/>
        </w:numPr>
        <w:tabs>
          <w:tab w:pos="2317" w:val="left" w:leader="none"/>
        </w:tabs>
        <w:spacing w:line="240" w:lineRule="auto" w:before="4" w:after="0"/>
        <w:ind w:left="2316" w:right="0" w:hanging="223"/>
        <w:jc w:val="both"/>
        <w:rPr>
          <w:sz w:val="20"/>
        </w:rPr>
      </w:pPr>
      <w:r>
        <w:rPr>
          <w:sz w:val="20"/>
        </w:rPr>
        <w:t>Los contratos menores se publicarán en la forma prevista en el artículo</w:t>
      </w:r>
      <w:r>
        <w:rPr>
          <w:spacing w:val="-19"/>
          <w:sz w:val="20"/>
        </w:rPr>
        <w:t> </w:t>
      </w:r>
      <w:r>
        <w:rPr>
          <w:sz w:val="20"/>
        </w:rPr>
        <w:t>63.4.»</w:t>
      </w:r>
    </w:p>
    <w:p>
      <w:pPr>
        <w:pStyle w:val="BodyText"/>
        <w:spacing w:line="249" w:lineRule="auto" w:before="130"/>
        <w:ind w:right="1278"/>
        <w:jc w:val="left"/>
      </w:pPr>
      <w:r>
        <w:rPr/>
        <w:t>Dos. Se da nueva redacción al artículo 331 de la Ley 9/2017, de 8 de noviembre, quedando redactado como sigue:</w:t>
      </w:r>
    </w:p>
    <w:p>
      <w:pPr>
        <w:pStyle w:val="BodyText"/>
        <w:spacing w:before="4"/>
        <w:ind w:left="0" w:firstLine="0"/>
        <w:jc w:val="left"/>
      </w:pPr>
    </w:p>
    <w:p>
      <w:pPr>
        <w:spacing w:line="249" w:lineRule="auto" w:before="0"/>
        <w:ind w:left="1754" w:right="1273" w:hanging="1"/>
        <w:jc w:val="both"/>
        <w:rPr>
          <w:i/>
          <w:sz w:val="20"/>
        </w:rPr>
      </w:pPr>
      <w:r>
        <w:rPr>
          <w:b/>
          <w:sz w:val="20"/>
        </w:rPr>
        <w:t>«Artículo 331. </w:t>
      </w:r>
      <w:r>
        <w:rPr>
          <w:i/>
          <w:sz w:val="20"/>
        </w:rPr>
        <w:t>Aportación de información por las Comunidades Autónomas y de las </w:t>
      </w:r>
      <w:r>
        <w:rPr>
          <w:i/>
          <w:sz w:val="20"/>
        </w:rPr>
        <w:t>Ciudades Autónomas de Ceuta y Melilla.</w:t>
      </w:r>
    </w:p>
    <w:p>
      <w:pPr>
        <w:pStyle w:val="BodyText"/>
        <w:spacing w:line="249" w:lineRule="auto" w:before="109"/>
        <w:ind w:left="1754" w:right="1272"/>
      </w:pPr>
      <w:r>
        <w:rPr/>
        <w:t>En el marco del principio de lealtad institucional que rige las relaciones entre las Administraciones Públicas contemplado con carácter básico en el artículo 3 de la Ley 40/2015, de 1 de octubre, de Régimen Jurídico del Sector Público, y con la finalidad de que la Junta Consultiva de Contratación Pública del Estado pueda cumplir con las obligaciones establecidas en el artículo 328 respecto a la Comisión Europea, las Comunidades Autónomas remitirán en formato electrónico al Comité de Cooperación regulado en el artículo 329, a través de sus órganos competentes y respecto de sus respectivos ámbitos territoriales, la siguiente documentación:</w:t>
      </w:r>
    </w:p>
    <w:p>
      <w:pPr>
        <w:pStyle w:val="ListParagraph"/>
        <w:numPr>
          <w:ilvl w:val="0"/>
          <w:numId w:val="446"/>
        </w:numPr>
        <w:tabs>
          <w:tab w:pos="2367" w:val="left" w:leader="none"/>
        </w:tabs>
        <w:spacing w:line="249" w:lineRule="auto" w:before="177" w:after="0"/>
        <w:ind w:left="1754" w:right="1273" w:firstLine="340"/>
        <w:jc w:val="both"/>
        <w:rPr>
          <w:sz w:val="20"/>
        </w:rPr>
      </w:pPr>
      <w:r>
        <w:rPr>
          <w:sz w:val="20"/>
        </w:rPr>
        <w:t>Un informe comprensivo de todas aquellas cuestiones mencionadas en las letras b), c), d) y e) del apartado 4 del artículo 328, con una periodicidad de –al menos– cada tres</w:t>
      </w:r>
      <w:r>
        <w:rPr>
          <w:spacing w:val="-1"/>
          <w:sz w:val="20"/>
        </w:rPr>
        <w:t> </w:t>
      </w:r>
      <w:r>
        <w:rPr>
          <w:sz w:val="20"/>
        </w:rPr>
        <w:t>años.</w:t>
      </w:r>
    </w:p>
    <w:p>
      <w:pPr>
        <w:pStyle w:val="ListParagraph"/>
        <w:numPr>
          <w:ilvl w:val="0"/>
          <w:numId w:val="446"/>
        </w:numPr>
        <w:tabs>
          <w:tab w:pos="2376" w:val="left" w:leader="none"/>
        </w:tabs>
        <w:spacing w:line="249" w:lineRule="auto" w:before="2" w:after="0"/>
        <w:ind w:left="1754" w:right="1273" w:firstLine="340"/>
        <w:jc w:val="both"/>
        <w:rPr>
          <w:sz w:val="20"/>
        </w:rPr>
      </w:pPr>
      <w:r>
        <w:rPr>
          <w:sz w:val="20"/>
        </w:rPr>
        <w:t>Un informe comprensivo de las cuestiones previstas en el apartado 8 del artículo 332 con una periodicidad de –al menos– cada tres</w:t>
      </w:r>
      <w:r>
        <w:rPr>
          <w:spacing w:val="-17"/>
          <w:sz w:val="20"/>
        </w:rPr>
        <w:t> </w:t>
      </w:r>
      <w:r>
        <w:rPr>
          <w:sz w:val="20"/>
        </w:rPr>
        <w:t>años.</w:t>
      </w:r>
    </w:p>
    <w:p>
      <w:pPr>
        <w:pStyle w:val="BodyText"/>
        <w:spacing w:line="249" w:lineRule="auto"/>
        <w:ind w:left="1754" w:right="1272"/>
      </w:pPr>
      <w:r>
        <w:rPr/>
        <w:t>La documentación remitida incluirá información referida a los órganos de contratación de las Administraciones locales, así como los de sus entidades vinculadas o dependientes, que durante el periodo temporal a informar hubieran tenido alojada la publicación de sus perfiles de contratante en el servicio de información que a tal efecto hubiera establecido la Comunidad Autónoma de su ámbito territorial».</w:t>
      </w:r>
    </w:p>
    <w:p>
      <w:pPr>
        <w:pStyle w:val="BodyText"/>
        <w:spacing w:line="249" w:lineRule="auto" w:before="125"/>
        <w:ind w:right="1278"/>
        <w:jc w:val="left"/>
      </w:pPr>
      <w:r>
        <w:rPr/>
        <w:t>Tres. Se da nueva redacción al segundo párrafo del apartado 3 de la disposición final primera de la Ley 9/2017, de 8 de noviembre, que queda redactado como sigue:</w:t>
      </w:r>
    </w:p>
    <w:p>
      <w:pPr>
        <w:pStyle w:val="BodyText"/>
        <w:spacing w:line="249" w:lineRule="auto" w:before="171"/>
        <w:ind w:left="1754" w:right="1273"/>
      </w:pPr>
      <w:r>
        <w:rPr/>
        <w:t>«No obstante, no tendrán carácter básico los siguientes artículos o partes de los mismos: Letra a) del apartado 1 del artículo 21; letra a) del apartado 1 del artículo 22; artículo</w:t>
      </w:r>
      <w:r>
        <w:rPr>
          <w:spacing w:val="38"/>
        </w:rPr>
        <w:t> </w:t>
      </w:r>
      <w:r>
        <w:rPr/>
        <w:t>30;</w:t>
      </w:r>
      <w:r>
        <w:rPr>
          <w:spacing w:val="38"/>
        </w:rPr>
        <w:t> </w:t>
      </w:r>
      <w:r>
        <w:rPr/>
        <w:t>la</w:t>
      </w:r>
      <w:r>
        <w:rPr>
          <w:spacing w:val="39"/>
        </w:rPr>
        <w:t> </w:t>
      </w:r>
      <w:r>
        <w:rPr/>
        <w:t>letra</w:t>
      </w:r>
      <w:r>
        <w:rPr>
          <w:spacing w:val="38"/>
        </w:rPr>
        <w:t> </w:t>
      </w:r>
      <w:r>
        <w:rPr/>
        <w:t>c)</w:t>
      </w:r>
      <w:r>
        <w:rPr>
          <w:spacing w:val="38"/>
        </w:rPr>
        <w:t> </w:t>
      </w:r>
      <w:r>
        <w:rPr/>
        <w:t>del</w:t>
      </w:r>
      <w:r>
        <w:rPr>
          <w:spacing w:val="39"/>
        </w:rPr>
        <w:t> </w:t>
      </w:r>
      <w:r>
        <w:rPr/>
        <w:t>apartado</w:t>
      </w:r>
      <w:r>
        <w:rPr>
          <w:spacing w:val="38"/>
        </w:rPr>
        <w:t> </w:t>
      </w:r>
      <w:r>
        <w:rPr/>
        <w:t>6</w:t>
      </w:r>
      <w:r>
        <w:rPr>
          <w:spacing w:val="39"/>
        </w:rPr>
        <w:t> </w:t>
      </w:r>
      <w:r>
        <w:rPr/>
        <w:t>del</w:t>
      </w:r>
      <w:r>
        <w:rPr>
          <w:spacing w:val="38"/>
        </w:rPr>
        <w:t> </w:t>
      </w:r>
      <w:r>
        <w:rPr/>
        <w:t>artículo</w:t>
      </w:r>
      <w:r>
        <w:rPr>
          <w:spacing w:val="38"/>
        </w:rPr>
        <w:t> </w:t>
      </w:r>
      <w:r>
        <w:rPr/>
        <w:t>32;</w:t>
      </w:r>
      <w:r>
        <w:rPr>
          <w:spacing w:val="39"/>
        </w:rPr>
        <w:t> </w:t>
      </w:r>
      <w:r>
        <w:rPr/>
        <w:t>artículos</w:t>
      </w:r>
      <w:r>
        <w:rPr>
          <w:spacing w:val="38"/>
        </w:rPr>
        <w:t> </w:t>
      </w:r>
      <w:r>
        <w:rPr/>
        <w:t>45</w:t>
      </w:r>
      <w:r>
        <w:rPr>
          <w:spacing w:val="38"/>
        </w:rPr>
        <w:t> </w:t>
      </w:r>
      <w:r>
        <w:rPr/>
        <w:t>y</w:t>
      </w:r>
      <w:r>
        <w:rPr>
          <w:spacing w:val="39"/>
        </w:rPr>
        <w:t> </w:t>
      </w:r>
      <w:r>
        <w:rPr/>
        <w:t>46.1</w:t>
      </w:r>
      <w:r>
        <w:rPr>
          <w:spacing w:val="38"/>
        </w:rPr>
        <w:t> </w:t>
      </w:r>
      <w:r>
        <w:rPr/>
        <w:t>a</w:t>
      </w:r>
      <w:r>
        <w:rPr>
          <w:spacing w:val="39"/>
        </w:rPr>
        <w:t> </w:t>
      </w:r>
      <w:r>
        <w:rPr/>
        <w:t>46.3;</w:t>
      </w:r>
    </w:p>
    <w:p>
      <w:pPr>
        <w:pStyle w:val="BodyText"/>
        <w:spacing w:line="249" w:lineRule="auto" w:before="3"/>
        <w:ind w:left="1754" w:right="1274" w:firstLine="0"/>
      </w:pPr>
      <w:r>
        <w:rPr/>
        <w:t>artículo 69.3; artículo 71.1.f); artículo 76; artículo 83; artículo 95; artículo 104; artículo 105; párrafo segundo del apartado 1 del artículo 107; segundo párrafo del apartado 3 y apartado 5 del artículo 116; artículo 118.4; letras a) y c) del apartado 2 del artículo 119;</w:t>
      </w:r>
      <w:r>
        <w:rPr>
          <w:spacing w:val="21"/>
        </w:rPr>
        <w:t> </w:t>
      </w:r>
      <w:r>
        <w:rPr/>
        <w:t>letra</w:t>
      </w:r>
      <w:r>
        <w:rPr>
          <w:spacing w:val="22"/>
        </w:rPr>
        <w:t> </w:t>
      </w:r>
      <w:r>
        <w:rPr/>
        <w:t>b)</w:t>
      </w:r>
      <w:r>
        <w:rPr>
          <w:spacing w:val="22"/>
        </w:rPr>
        <w:t> </w:t>
      </w:r>
      <w:r>
        <w:rPr/>
        <w:t>del</w:t>
      </w:r>
      <w:r>
        <w:rPr>
          <w:spacing w:val="21"/>
        </w:rPr>
        <w:t> </w:t>
      </w:r>
      <w:r>
        <w:rPr/>
        <w:t>artículo</w:t>
      </w:r>
      <w:r>
        <w:rPr>
          <w:spacing w:val="22"/>
        </w:rPr>
        <w:t> </w:t>
      </w:r>
      <w:r>
        <w:rPr/>
        <w:t>120.1;</w:t>
      </w:r>
      <w:r>
        <w:rPr>
          <w:spacing w:val="22"/>
        </w:rPr>
        <w:t> </w:t>
      </w:r>
      <w:r>
        <w:rPr/>
        <w:t>apartado</w:t>
      </w:r>
      <w:r>
        <w:rPr>
          <w:spacing w:val="21"/>
        </w:rPr>
        <w:t> </w:t>
      </w:r>
      <w:r>
        <w:rPr/>
        <w:t>1</w:t>
      </w:r>
      <w:r>
        <w:rPr>
          <w:spacing w:val="22"/>
        </w:rPr>
        <w:t> </w:t>
      </w:r>
      <w:r>
        <w:rPr/>
        <w:t>del</w:t>
      </w:r>
      <w:r>
        <w:rPr>
          <w:spacing w:val="22"/>
        </w:rPr>
        <w:t> </w:t>
      </w:r>
      <w:r>
        <w:rPr/>
        <w:t>artículo</w:t>
      </w:r>
      <w:r>
        <w:rPr>
          <w:spacing w:val="21"/>
        </w:rPr>
        <w:t> </w:t>
      </w:r>
      <w:r>
        <w:rPr/>
        <w:t>121;</w:t>
      </w:r>
      <w:r>
        <w:rPr>
          <w:spacing w:val="22"/>
        </w:rPr>
        <w:t> </w:t>
      </w:r>
      <w:r>
        <w:rPr/>
        <w:t>apartados</w:t>
      </w:r>
      <w:r>
        <w:rPr>
          <w:spacing w:val="22"/>
        </w:rPr>
        <w:t> </w:t>
      </w:r>
      <w:r>
        <w:rPr/>
        <w:t>5,</w:t>
      </w:r>
      <w:r>
        <w:rPr>
          <w:spacing w:val="21"/>
        </w:rPr>
        <w:t> </w:t>
      </w:r>
      <w:r>
        <w:rPr/>
        <w:t>6</w:t>
      </w:r>
      <w:r>
        <w:rPr>
          <w:spacing w:val="22"/>
        </w:rPr>
        <w:t> </w:t>
      </w:r>
      <w:r>
        <w:rPr/>
        <w:t>y</w:t>
      </w:r>
      <w:r>
        <w:rPr>
          <w:spacing w:val="22"/>
        </w:rPr>
        <w:t> </w:t>
      </w:r>
      <w:r>
        <w:rPr/>
        <w:t>7</w:t>
      </w:r>
      <w:r>
        <w:rPr>
          <w:spacing w:val="22"/>
        </w:rPr>
        <w:t> </w:t>
      </w:r>
      <w:r>
        <w:rPr/>
        <w:t>del</w:t>
      </w:r>
    </w:p>
    <w:p>
      <w:pPr>
        <w:pStyle w:val="BodyText"/>
        <w:spacing w:before="3"/>
        <w:ind w:left="1754" w:firstLine="0"/>
      </w:pPr>
      <w:r>
        <w:rPr/>
        <w:t>artículo</w:t>
      </w:r>
      <w:r>
        <w:rPr>
          <w:spacing w:val="40"/>
        </w:rPr>
        <w:t> </w:t>
      </w:r>
      <w:r>
        <w:rPr/>
        <w:t>122;</w:t>
      </w:r>
      <w:r>
        <w:rPr>
          <w:spacing w:val="41"/>
        </w:rPr>
        <w:t> </w:t>
      </w:r>
      <w:r>
        <w:rPr/>
        <w:t>artículos</w:t>
      </w:r>
      <w:r>
        <w:rPr>
          <w:spacing w:val="40"/>
        </w:rPr>
        <w:t> </w:t>
      </w:r>
      <w:r>
        <w:rPr/>
        <w:t>123</w:t>
      </w:r>
      <w:r>
        <w:rPr>
          <w:spacing w:val="41"/>
        </w:rPr>
        <w:t> </w:t>
      </w:r>
      <w:r>
        <w:rPr/>
        <w:t>y</w:t>
      </w:r>
      <w:r>
        <w:rPr>
          <w:spacing w:val="41"/>
        </w:rPr>
        <w:t> </w:t>
      </w:r>
      <w:r>
        <w:rPr/>
        <w:t>124;</w:t>
      </w:r>
      <w:r>
        <w:rPr>
          <w:spacing w:val="40"/>
        </w:rPr>
        <w:t> </w:t>
      </w:r>
      <w:r>
        <w:rPr/>
        <w:t>cuarto</w:t>
      </w:r>
      <w:r>
        <w:rPr>
          <w:spacing w:val="41"/>
        </w:rPr>
        <w:t> </w:t>
      </w:r>
      <w:r>
        <w:rPr/>
        <w:t>párrafo</w:t>
      </w:r>
      <w:r>
        <w:rPr>
          <w:spacing w:val="41"/>
        </w:rPr>
        <w:t> </w:t>
      </w:r>
      <w:r>
        <w:rPr/>
        <w:t>del</w:t>
      </w:r>
      <w:r>
        <w:rPr>
          <w:spacing w:val="40"/>
        </w:rPr>
        <w:t> </w:t>
      </w:r>
      <w:r>
        <w:rPr/>
        <w:t>apartado</w:t>
      </w:r>
      <w:r>
        <w:rPr>
          <w:spacing w:val="41"/>
        </w:rPr>
        <w:t> </w:t>
      </w:r>
      <w:r>
        <w:rPr/>
        <w:t>4</w:t>
      </w:r>
      <w:r>
        <w:rPr>
          <w:spacing w:val="41"/>
        </w:rPr>
        <w:t> </w:t>
      </w:r>
      <w:r>
        <w:rPr/>
        <w:t>del</w:t>
      </w:r>
      <w:r>
        <w:rPr>
          <w:spacing w:val="40"/>
        </w:rPr>
        <w:t> </w:t>
      </w:r>
      <w:r>
        <w:rPr/>
        <w:t>artículo</w:t>
      </w:r>
      <w:r>
        <w:rPr>
          <w:spacing w:val="41"/>
        </w:rPr>
        <w:t> </w:t>
      </w:r>
      <w:r>
        <w:rPr/>
        <w:t>149;</w:t>
      </w:r>
    </w:p>
    <w:p>
      <w:pPr>
        <w:pStyle w:val="BodyText"/>
        <w:spacing w:before="10"/>
        <w:ind w:left="1754" w:firstLine="0"/>
      </w:pPr>
      <w:r>
        <w:rPr/>
        <w:t>artículo</w:t>
      </w:r>
      <w:r>
        <w:rPr>
          <w:spacing w:val="19"/>
        </w:rPr>
        <w:t> </w:t>
      </w:r>
      <w:r>
        <w:rPr/>
        <w:t>153;</w:t>
      </w:r>
      <w:r>
        <w:rPr>
          <w:spacing w:val="19"/>
        </w:rPr>
        <w:t> </w:t>
      </w:r>
      <w:r>
        <w:rPr/>
        <w:t>apartado</w:t>
      </w:r>
      <w:r>
        <w:rPr>
          <w:spacing w:val="19"/>
        </w:rPr>
        <w:t> </w:t>
      </w:r>
      <w:r>
        <w:rPr/>
        <w:t>2</w:t>
      </w:r>
      <w:r>
        <w:rPr>
          <w:spacing w:val="20"/>
        </w:rPr>
        <w:t> </w:t>
      </w:r>
      <w:r>
        <w:rPr/>
        <w:t>del</w:t>
      </w:r>
      <w:r>
        <w:rPr>
          <w:spacing w:val="19"/>
        </w:rPr>
        <w:t> </w:t>
      </w:r>
      <w:r>
        <w:rPr/>
        <w:t>artículo</w:t>
      </w:r>
      <w:r>
        <w:rPr>
          <w:spacing w:val="19"/>
        </w:rPr>
        <w:t> </w:t>
      </w:r>
      <w:r>
        <w:rPr/>
        <w:t>154;</w:t>
      </w:r>
      <w:r>
        <w:rPr>
          <w:spacing w:val="20"/>
        </w:rPr>
        <w:t> </w:t>
      </w:r>
      <w:r>
        <w:rPr/>
        <w:t>artículo</w:t>
      </w:r>
      <w:r>
        <w:rPr>
          <w:spacing w:val="19"/>
        </w:rPr>
        <w:t> </w:t>
      </w:r>
      <w:r>
        <w:rPr/>
        <w:t>191.2;</w:t>
      </w:r>
      <w:r>
        <w:rPr>
          <w:spacing w:val="19"/>
        </w:rPr>
        <w:t> </w:t>
      </w:r>
      <w:r>
        <w:rPr/>
        <w:t>artículo</w:t>
      </w:r>
      <w:r>
        <w:rPr>
          <w:spacing w:val="20"/>
        </w:rPr>
        <w:t> </w:t>
      </w:r>
      <w:r>
        <w:rPr/>
        <w:t>192.2</w:t>
      </w:r>
      <w:r>
        <w:rPr>
          <w:spacing w:val="19"/>
        </w:rPr>
        <w:t> </w:t>
      </w:r>
      <w:r>
        <w:rPr/>
        <w:t>y</w:t>
      </w:r>
      <w:r>
        <w:rPr>
          <w:spacing w:val="20"/>
        </w:rPr>
        <w:t> </w:t>
      </w:r>
      <w:r>
        <w:rPr/>
        <w:t>3;</w:t>
      </w:r>
      <w:r>
        <w:rPr>
          <w:spacing w:val="20"/>
        </w:rPr>
        <w:t> </w:t>
      </w:r>
      <w:r>
        <w:rPr/>
        <w:t>artículo</w:t>
      </w:r>
    </w:p>
    <w:p>
      <w:pPr>
        <w:pStyle w:val="BodyText"/>
        <w:spacing w:line="249" w:lineRule="auto" w:before="10"/>
        <w:ind w:left="1754" w:right="1274" w:firstLine="0"/>
      </w:pPr>
      <w:r>
        <w:rPr/>
        <w:t>193.2 a 5; artículo 194; apartados 2 y 5 del artículo 212; apartado 8 del artículo 215; artículo 228; apartados 1, 2, 5; el párrafo segundo del apartado 6, y apartados 7 y 8 del artículo 229; artículo 230; apartados 1.e) y 4 del artículo 233; artículo 234; artículo 235; artículo 236; artículo 237; artículo 238.2; artículo 240; apartado 1 del artículo 241; el apartado 4, salvo la previsión de la letra b) del primer párrafo y el segundo párrafo, y 5 del artículo 242; artículo 243; artículo 253; artículo 256; artículo 260; apartados 2 y 3 del artículo 263; artículo 266; apartado 5 del artículo 267; artículo 268; artículo 272.6; artículo 273.2; artículo 294.b); artículo 298; apartados 2 y 3 del artículo 300; artículo 302; artículo 303; artículo 304; artículo 305; apartados 2 y 3 del artículo 307; apartados 2 y 3 del artículo 313; apartados 3, 4, 5 y 6 del artículo 314; artículo 315; artículo 323; artículo 324; artículo 325; artículos 326 y 327; artículo 328, salvo el apartado 4; artículo 335.4; apartados 1, 2 y 7 del artículo 347; letra a) y segundo</w:t>
      </w:r>
      <w:r>
        <w:rPr>
          <w:spacing w:val="18"/>
        </w:rPr>
        <w:t> </w:t>
      </w:r>
      <w:r>
        <w:rPr/>
        <w:t>párrafo</w:t>
      </w:r>
      <w:r>
        <w:rPr>
          <w:spacing w:val="18"/>
        </w:rPr>
        <w:t> </w:t>
      </w:r>
      <w:r>
        <w:rPr/>
        <w:t>de</w:t>
      </w:r>
      <w:r>
        <w:rPr>
          <w:spacing w:val="19"/>
        </w:rPr>
        <w:t> </w:t>
      </w:r>
      <w:r>
        <w:rPr/>
        <w:t>la</w:t>
      </w:r>
      <w:r>
        <w:rPr>
          <w:spacing w:val="18"/>
        </w:rPr>
        <w:t> </w:t>
      </w:r>
      <w:r>
        <w:rPr/>
        <w:t>letra</w:t>
      </w:r>
      <w:r>
        <w:rPr>
          <w:spacing w:val="19"/>
        </w:rPr>
        <w:t> </w:t>
      </w:r>
      <w:r>
        <w:rPr/>
        <w:t>f)</w:t>
      </w:r>
      <w:r>
        <w:rPr>
          <w:spacing w:val="18"/>
        </w:rPr>
        <w:t> </w:t>
      </w:r>
      <w:r>
        <w:rPr/>
        <w:t>del</w:t>
      </w:r>
      <w:r>
        <w:rPr>
          <w:spacing w:val="19"/>
        </w:rPr>
        <w:t> </w:t>
      </w:r>
      <w:r>
        <w:rPr/>
        <w:t>apartado</w:t>
      </w:r>
      <w:r>
        <w:rPr>
          <w:spacing w:val="18"/>
        </w:rPr>
        <w:t> </w:t>
      </w:r>
      <w:r>
        <w:rPr/>
        <w:t>1</w:t>
      </w:r>
      <w:r>
        <w:rPr>
          <w:spacing w:val="18"/>
        </w:rPr>
        <w:t> </w:t>
      </w:r>
      <w:r>
        <w:rPr/>
        <w:t>de</w:t>
      </w:r>
      <w:r>
        <w:rPr>
          <w:spacing w:val="19"/>
        </w:rPr>
        <w:t> </w:t>
      </w:r>
      <w:r>
        <w:rPr/>
        <w:t>la</w:t>
      </w:r>
      <w:r>
        <w:rPr>
          <w:spacing w:val="18"/>
        </w:rPr>
        <w:t> </w:t>
      </w:r>
      <w:r>
        <w:rPr/>
        <w:t>disposición</w:t>
      </w:r>
      <w:r>
        <w:rPr>
          <w:spacing w:val="19"/>
        </w:rPr>
        <w:t> </w:t>
      </w:r>
      <w:r>
        <w:rPr/>
        <w:t>adicional</w:t>
      </w:r>
      <w:r>
        <w:rPr>
          <w:spacing w:val="18"/>
        </w:rPr>
        <w:t> </w:t>
      </w:r>
      <w:r>
        <w:rPr/>
        <w:t>primera;</w:t>
      </w:r>
      <w:r>
        <w:rPr>
          <w:spacing w:val="19"/>
        </w:rPr>
        <w:t> </w:t>
      </w:r>
      <w:r>
        <w:rPr/>
        <w:t>el</w:t>
      </w:r>
    </w:p>
    <w:p>
      <w:pPr>
        <w:spacing w:after="0" w:line="249" w:lineRule="auto"/>
        <w:sectPr>
          <w:pgSz w:w="11910" w:h="16840"/>
          <w:pgMar w:header="529" w:footer="570" w:top="1200" w:bottom="760" w:left="740" w:right="540"/>
        </w:sectPr>
      </w:pPr>
    </w:p>
    <w:p>
      <w:pPr>
        <w:pStyle w:val="BodyText"/>
        <w:spacing w:before="0"/>
        <w:ind w:left="0" w:firstLine="0"/>
        <w:jc w:val="left"/>
      </w:pPr>
    </w:p>
    <w:p>
      <w:pPr>
        <w:pStyle w:val="BodyText"/>
        <w:spacing w:before="7"/>
        <w:ind w:left="0" w:firstLine="0"/>
        <w:jc w:val="left"/>
        <w:rPr>
          <w:sz w:val="24"/>
        </w:rPr>
      </w:pPr>
    </w:p>
    <w:p>
      <w:pPr>
        <w:pStyle w:val="BodyText"/>
        <w:spacing w:line="249" w:lineRule="auto" w:before="126"/>
        <w:ind w:left="1754" w:right="1273" w:firstLine="0"/>
      </w:pPr>
      <w:r>
        <w:rPr/>
        <w:t>párrafo tercero, apartado 1, de la disposición adicional cuarta; disposición adicional decimocuarta; disposición adicional decimonovena; disposición adicional vigésima; disposición adicional vigésima cuarta; disposición adicional vigésima novena; disposición adicional trigésima; disposición transitoria primera; disposición final séptima, y disposición final octava.</w:t>
      </w:r>
    </w:p>
    <w:p>
      <w:pPr>
        <w:pStyle w:val="BodyText"/>
        <w:spacing w:line="249" w:lineRule="auto" w:before="4"/>
        <w:ind w:left="1754" w:right="1273"/>
      </w:pPr>
      <w:r>
        <w:rPr/>
        <w:t>A los mismos efectos previstos en el párrafo anterior tendrán la consideración de mínimas las exigencias que para los contratos menores se establecen en el artículo</w:t>
      </w:r>
    </w:p>
    <w:p>
      <w:pPr>
        <w:pStyle w:val="BodyText"/>
        <w:spacing w:line="249" w:lineRule="auto"/>
        <w:ind w:left="1754" w:right="1273" w:hanging="1"/>
      </w:pPr>
      <w:r>
        <w:rPr/>
        <w:t>118.1 y tendrán la consideración de máximos los siguientes porcentajes, cuantías o plazos:</w:t>
      </w:r>
    </w:p>
    <w:p>
      <w:pPr>
        <w:pStyle w:val="BodyText"/>
        <w:spacing w:before="172"/>
        <w:ind w:left="2094" w:firstLine="0"/>
        <w:jc w:val="left"/>
      </w:pPr>
      <w:r>
        <w:rPr/>
        <w:t>El porcentaje del 3 por 100 del artículo 106.2.</w:t>
      </w:r>
    </w:p>
    <w:p>
      <w:pPr>
        <w:pStyle w:val="BodyText"/>
        <w:spacing w:line="249" w:lineRule="auto" w:before="10"/>
        <w:ind w:left="2094" w:right="4157" w:firstLine="0"/>
        <w:jc w:val="left"/>
      </w:pPr>
      <w:r>
        <w:rPr/>
        <w:t>El porcentaje del 5 por 100 del artículo 107.1 y 2. Las cuantías del artículo 131.4.</w:t>
      </w:r>
    </w:p>
    <w:p>
      <w:pPr>
        <w:pStyle w:val="BodyText"/>
        <w:spacing w:before="1"/>
        <w:ind w:left="2094" w:firstLine="0"/>
        <w:jc w:val="left"/>
      </w:pPr>
      <w:r>
        <w:rPr/>
        <w:t>Los plazos de un mes establecidos en los apartados 2 y 4 del artículo 210.»</w:t>
      </w:r>
    </w:p>
    <w:p>
      <w:pPr>
        <w:pStyle w:val="BodyText"/>
        <w:spacing w:before="1"/>
        <w:ind w:left="0" w:firstLine="0"/>
        <w:jc w:val="left"/>
        <w:rPr>
          <w:sz w:val="21"/>
        </w:rPr>
      </w:pPr>
    </w:p>
    <w:p>
      <w:pPr>
        <w:spacing w:line="249" w:lineRule="auto" w:before="0"/>
        <w:ind w:left="1074" w:right="1275" w:hanging="1"/>
        <w:jc w:val="both"/>
        <w:rPr>
          <w:i/>
          <w:sz w:val="20"/>
        </w:rPr>
      </w:pPr>
      <w:bookmarkStart w:name="Disposición final segunda. Modificación " w:id="411"/>
      <w:bookmarkEnd w:id="411"/>
      <w:r>
        <w:rPr/>
      </w:r>
      <w:r>
        <w:rPr>
          <w:b/>
          <w:sz w:val="20"/>
        </w:rPr>
        <w:t>Disposición final segunda. </w:t>
      </w:r>
      <w:r>
        <w:rPr>
          <w:i/>
          <w:sz w:val="20"/>
        </w:rPr>
        <w:t>Modificación del Real Decreto-Ley 13/2010, de 3 de diciembre, </w:t>
      </w:r>
      <w:r>
        <w:rPr>
          <w:i/>
          <w:sz w:val="20"/>
        </w:rPr>
        <w:t>de actuaciones en el ámbito fiscal, laboral y liberalizadoras para fomentar la inversión y la creación de empleo.</w:t>
      </w:r>
    </w:p>
    <w:p>
      <w:pPr>
        <w:pStyle w:val="BodyText"/>
        <w:spacing w:line="249" w:lineRule="auto" w:before="110"/>
        <w:ind w:right="1274"/>
      </w:pPr>
      <w:r>
        <w:rPr/>
        <w:t>Se modifica el primer párrafo de la letra a) del artículo 8 del Real Decreto-Ley 13/2010, de 3 de diciembre, de actuaciones en el ámbito fiscal, laboral y liberalizadoras para fomentar la inversión y la creación de empleo que queda redactada en los siguientes</w:t>
      </w:r>
      <w:r>
        <w:rPr>
          <w:spacing w:val="-22"/>
        </w:rPr>
        <w:t> </w:t>
      </w:r>
      <w:r>
        <w:rPr/>
        <w:t>términos:</w:t>
      </w:r>
    </w:p>
    <w:p>
      <w:pPr>
        <w:pStyle w:val="BodyText"/>
        <w:spacing w:line="249" w:lineRule="auto" w:before="173"/>
        <w:ind w:left="1754" w:right="1272"/>
      </w:pPr>
      <w:r>
        <w:rPr/>
        <w:t>«a) su contratación se regirá por la Ley sobre los procedimientos de contratación en los sectores del agua, la energía, los transportes y los servicios postales o por la Ley 9/2017, de 8 de noviembre, de Contratos del Sector Público, de acuerdo con lo establecido en la disposición adicional quinta y en la disposición adicional octava de estas dos normas respectivamente.»</w:t>
      </w:r>
    </w:p>
    <w:p>
      <w:pPr>
        <w:pStyle w:val="BodyText"/>
        <w:spacing w:before="7"/>
        <w:ind w:left="0" w:firstLine="0"/>
        <w:jc w:val="left"/>
      </w:pPr>
    </w:p>
    <w:p>
      <w:pPr>
        <w:spacing w:line="249" w:lineRule="auto" w:before="0"/>
        <w:ind w:left="1074" w:right="1271" w:firstLine="0"/>
        <w:jc w:val="both"/>
        <w:rPr>
          <w:i/>
          <w:sz w:val="20"/>
        </w:rPr>
      </w:pPr>
      <w:bookmarkStart w:name="Disposición final tercera. Modificación " w:id="412"/>
      <w:bookmarkEnd w:id="412"/>
      <w:r>
        <w:rPr/>
      </w:r>
      <w:r>
        <w:rPr>
          <w:b/>
          <w:sz w:val="20"/>
        </w:rPr>
        <w:t>Disposición final tercera. </w:t>
      </w:r>
      <w:r>
        <w:rPr>
          <w:i/>
          <w:sz w:val="20"/>
        </w:rPr>
        <w:t>Modificación del texto refundido de la Ley del Impuesto sobre </w:t>
      </w:r>
      <w:r>
        <w:rPr>
          <w:i/>
          <w:sz w:val="20"/>
        </w:rPr>
        <w:t>Transmisiones Patrimoniales y Actos Jurídicos Documentados, aprobado por el Real Decreto Legislativo 1/1993, de 24 de septiembre.</w:t>
      </w:r>
    </w:p>
    <w:p>
      <w:pPr>
        <w:pStyle w:val="BodyText"/>
        <w:spacing w:line="249" w:lineRule="auto" w:before="110"/>
        <w:ind w:right="1270"/>
      </w:pPr>
      <w:r>
        <w:rPr/>
        <w:t>El texto refundido de la Ley del Impuesto sobre Transmisiones Patrimoniales y Actos Jurídicos Documentados, aprobado por el Real Decreto Legislativo 1/1993, de 24 de septiembre, se modifica como sigue:</w:t>
      </w:r>
    </w:p>
    <w:p>
      <w:pPr>
        <w:pStyle w:val="BodyText"/>
        <w:spacing w:before="122"/>
        <w:ind w:left="1414" w:firstLine="0"/>
        <w:jc w:val="left"/>
      </w:pPr>
      <w:r>
        <w:rPr/>
        <w:t>Uno. Se añade un apartado 27 en el artículo 45.I.B), con la siguiente redacción:</w:t>
      </w:r>
    </w:p>
    <w:p>
      <w:pPr>
        <w:pStyle w:val="BodyText"/>
        <w:spacing w:line="249" w:lineRule="auto" w:before="180"/>
        <w:ind w:left="1754" w:right="1272"/>
      </w:pPr>
      <w:r>
        <w:rPr/>
        <w:t>«27. La constitución, disolución y las modificaciones consistentes en aumentos y disminuciones de los fondos de pensiones regulados en el texto refundido de la Ley de Regulación de los Planes y Fondos de Pensiones, aprobado por el Real Decreto Legislativo 1/2002, de 29 de noviembre.»</w:t>
      </w:r>
    </w:p>
    <w:p>
      <w:pPr>
        <w:pStyle w:val="BodyText"/>
        <w:spacing w:before="124"/>
        <w:ind w:left="1414" w:firstLine="0"/>
        <w:jc w:val="left"/>
      </w:pPr>
      <w:r>
        <w:rPr/>
        <w:t>Dos. Se deroga el epígrafe 13.ª del artículo 45.I.C).</w:t>
      </w:r>
    </w:p>
    <w:p>
      <w:pPr>
        <w:pStyle w:val="BodyText"/>
        <w:spacing w:before="1"/>
        <w:ind w:left="0" w:firstLine="0"/>
        <w:jc w:val="left"/>
        <w:rPr>
          <w:sz w:val="21"/>
        </w:rPr>
      </w:pPr>
    </w:p>
    <w:p>
      <w:pPr>
        <w:spacing w:line="249" w:lineRule="auto" w:before="0"/>
        <w:ind w:left="1074" w:right="1272" w:firstLine="0"/>
        <w:jc w:val="both"/>
        <w:rPr>
          <w:i/>
          <w:sz w:val="20"/>
        </w:rPr>
      </w:pPr>
      <w:bookmarkStart w:name="Disposición final cuarta. Modificación d" w:id="413"/>
      <w:bookmarkEnd w:id="413"/>
      <w:r>
        <w:rPr/>
      </w:r>
      <w:r>
        <w:rPr>
          <w:b/>
          <w:sz w:val="20"/>
        </w:rPr>
        <w:t>Disposición final cuarta. </w:t>
      </w:r>
      <w:r>
        <w:rPr>
          <w:i/>
          <w:sz w:val="20"/>
        </w:rPr>
        <w:t>Modificación de la Ley 35/2006, de 28 de noviembre, del  </w:t>
      </w:r>
      <w:r>
        <w:rPr>
          <w:i/>
          <w:sz w:val="20"/>
        </w:rPr>
        <w:t>Impuesto sobre la Renta de las Personas Físicas y de modificación parcial de las leyes de los Impuestos sobre Sociedades, sobre la Renta de no Residentes y sobre el</w:t>
      </w:r>
      <w:r>
        <w:rPr>
          <w:i/>
          <w:spacing w:val="-20"/>
          <w:sz w:val="20"/>
        </w:rPr>
        <w:t> </w:t>
      </w:r>
      <w:r>
        <w:rPr>
          <w:i/>
          <w:sz w:val="20"/>
        </w:rPr>
        <w:t>Patrimonio.</w:t>
      </w:r>
    </w:p>
    <w:p>
      <w:pPr>
        <w:pStyle w:val="BodyText"/>
        <w:spacing w:line="249" w:lineRule="auto" w:before="110"/>
        <w:ind w:right="1274"/>
      </w:pPr>
      <w:r>
        <w:rPr/>
        <w:t>Se modifica el epígrafe 3.ª de la letra a) del apartado 2 del artículo 17, de la Ley 35/2006, de 28 de noviembre, del Impuesto sobre la Renta de las Personas Físicas y de modificación parcial de las leyes de los Impuestos sobre Sociedades, sobre la Renta de no Residentes y sobre el Patrimonio, quedando redactado como sigue:</w:t>
      </w:r>
    </w:p>
    <w:p>
      <w:pPr>
        <w:pStyle w:val="BodyText"/>
        <w:spacing w:line="249" w:lineRule="auto" w:before="173"/>
        <w:ind w:left="1754" w:right="1274"/>
      </w:pPr>
      <w:r>
        <w:rPr/>
        <w:t>«3.ª Las prestaciones percibidas por los beneficiarios de planes de pensiones y las percibidas de los planes de pensiones regulados en la Directiva (UE) 2016/2341 del Parlamento Europeo y del Consejo, de 14 de diciembre de 2016, relativa a las actividades y la supervisión de fondos de pensiones de empleo.</w:t>
      </w:r>
    </w:p>
    <w:p>
      <w:pPr>
        <w:pStyle w:val="BodyText"/>
        <w:spacing w:line="249" w:lineRule="auto" w:before="3"/>
        <w:ind w:left="1754" w:right="1273"/>
      </w:pPr>
      <w:r>
        <w:rPr/>
        <w:t>Asimismo, las cantidades percibidas en los supuestos contemplados en el artículo</w:t>
      </w:r>
      <w:r>
        <w:rPr>
          <w:spacing w:val="17"/>
        </w:rPr>
        <w:t> </w:t>
      </w:r>
      <w:r>
        <w:rPr/>
        <w:t>8.8</w:t>
      </w:r>
      <w:r>
        <w:rPr>
          <w:spacing w:val="17"/>
        </w:rPr>
        <w:t> </w:t>
      </w:r>
      <w:r>
        <w:rPr/>
        <w:t>del</w:t>
      </w:r>
      <w:r>
        <w:rPr>
          <w:spacing w:val="17"/>
        </w:rPr>
        <w:t> </w:t>
      </w:r>
      <w:r>
        <w:rPr/>
        <w:t>texto</w:t>
      </w:r>
      <w:r>
        <w:rPr>
          <w:spacing w:val="17"/>
        </w:rPr>
        <w:t> </w:t>
      </w:r>
      <w:r>
        <w:rPr/>
        <w:t>refundido</w:t>
      </w:r>
      <w:r>
        <w:rPr>
          <w:spacing w:val="17"/>
        </w:rPr>
        <w:t> </w:t>
      </w:r>
      <w:r>
        <w:rPr/>
        <w:t>de</w:t>
      </w:r>
      <w:r>
        <w:rPr>
          <w:spacing w:val="17"/>
        </w:rPr>
        <w:t> </w:t>
      </w:r>
      <w:r>
        <w:rPr/>
        <w:t>la</w:t>
      </w:r>
      <w:r>
        <w:rPr>
          <w:spacing w:val="17"/>
        </w:rPr>
        <w:t> </w:t>
      </w:r>
      <w:r>
        <w:rPr/>
        <w:t>Ley</w:t>
      </w:r>
      <w:r>
        <w:rPr>
          <w:spacing w:val="17"/>
        </w:rPr>
        <w:t> </w:t>
      </w:r>
      <w:r>
        <w:rPr/>
        <w:t>de</w:t>
      </w:r>
      <w:r>
        <w:rPr>
          <w:spacing w:val="17"/>
        </w:rPr>
        <w:t> </w:t>
      </w:r>
      <w:r>
        <w:rPr/>
        <w:t>Regulación</w:t>
      </w:r>
      <w:r>
        <w:rPr>
          <w:spacing w:val="17"/>
        </w:rPr>
        <w:t> </w:t>
      </w:r>
      <w:r>
        <w:rPr/>
        <w:t>de</w:t>
      </w:r>
      <w:r>
        <w:rPr>
          <w:spacing w:val="17"/>
        </w:rPr>
        <w:t> </w:t>
      </w:r>
      <w:r>
        <w:rPr/>
        <w:t>los</w:t>
      </w:r>
      <w:r>
        <w:rPr>
          <w:spacing w:val="17"/>
        </w:rPr>
        <w:t> </w:t>
      </w:r>
      <w:r>
        <w:rPr/>
        <w:t>Planes</w:t>
      </w:r>
      <w:r>
        <w:rPr>
          <w:spacing w:val="17"/>
        </w:rPr>
        <w:t> </w:t>
      </w:r>
      <w:r>
        <w:rPr/>
        <w:t>y</w:t>
      </w:r>
      <w:r>
        <w:rPr>
          <w:spacing w:val="18"/>
        </w:rPr>
        <w:t> </w:t>
      </w:r>
      <w:r>
        <w:rPr/>
        <w:t>Fondos</w:t>
      </w:r>
      <w:r>
        <w:rPr>
          <w:spacing w:val="17"/>
        </w:rPr>
        <w:t> </w:t>
      </w:r>
      <w:r>
        <w:rPr/>
        <w:t>de</w:t>
      </w:r>
    </w:p>
    <w:p>
      <w:pPr>
        <w:spacing w:after="0" w:line="249" w:lineRule="auto"/>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left="1754" w:right="1272" w:firstLine="0"/>
      </w:pPr>
      <w:r>
        <w:rPr/>
        <w:t>Pensiones, aprobado por el Real Decreto Legislativo 1/2002, de 29 de noviembre, tendrán el mismo tratamiento fiscal que las prestaciones de los planes de pensiones.»</w:t>
      </w:r>
    </w:p>
    <w:p>
      <w:pPr>
        <w:pStyle w:val="BodyText"/>
        <w:spacing w:before="4"/>
        <w:ind w:left="0" w:firstLine="0"/>
        <w:jc w:val="left"/>
      </w:pPr>
    </w:p>
    <w:p>
      <w:pPr>
        <w:spacing w:line="249" w:lineRule="auto" w:before="1"/>
        <w:ind w:left="1074" w:right="1275" w:hanging="1"/>
        <w:jc w:val="both"/>
        <w:rPr>
          <w:i/>
          <w:sz w:val="20"/>
        </w:rPr>
      </w:pPr>
      <w:bookmarkStart w:name="Disposición final quinta. Modificación d" w:id="414"/>
      <w:bookmarkEnd w:id="414"/>
      <w:r>
        <w:rPr/>
      </w:r>
      <w:r>
        <w:rPr>
          <w:b/>
          <w:sz w:val="20"/>
        </w:rPr>
        <w:t>Disposición final quinta. </w:t>
      </w:r>
      <w:r>
        <w:rPr>
          <w:i/>
          <w:sz w:val="20"/>
        </w:rPr>
        <w:t>Modificación del Real Decreto 1060/2015, de 20 de noviembre,  </w:t>
      </w:r>
      <w:r>
        <w:rPr>
          <w:i/>
          <w:sz w:val="20"/>
        </w:rPr>
        <w:t>de ordenación, supervisión y solvencia de las entidades aseguradoras y</w:t>
      </w:r>
      <w:r>
        <w:rPr>
          <w:i/>
          <w:spacing w:val="-25"/>
          <w:sz w:val="20"/>
        </w:rPr>
        <w:t> </w:t>
      </w:r>
      <w:r>
        <w:rPr>
          <w:i/>
          <w:sz w:val="20"/>
        </w:rPr>
        <w:t>reaseguradoras.</w:t>
      </w:r>
    </w:p>
    <w:p>
      <w:pPr>
        <w:pStyle w:val="BodyText"/>
        <w:spacing w:line="376" w:lineRule="auto" w:before="109"/>
        <w:ind w:left="1414" w:right="1373" w:firstLine="0"/>
      </w:pPr>
      <w:r>
        <w:rPr/>
        <w:t>Se modifica el Real Decreto 1060/2015, de 20 de noviembre, en los siguientes términos. La disposición adicional octava queda redactada como sigue:</w:t>
      </w:r>
    </w:p>
    <w:p>
      <w:pPr>
        <w:spacing w:line="249" w:lineRule="auto" w:before="110"/>
        <w:ind w:left="1754" w:right="1274" w:hanging="1"/>
        <w:jc w:val="both"/>
        <w:rPr>
          <w:i/>
          <w:sz w:val="20"/>
        </w:rPr>
      </w:pPr>
      <w:r>
        <w:rPr>
          <w:b/>
          <w:sz w:val="20"/>
        </w:rPr>
        <w:t>«Disposición adicional octava. </w:t>
      </w:r>
      <w:r>
        <w:rPr>
          <w:i/>
          <w:sz w:val="20"/>
        </w:rPr>
        <w:t>Registro administrativo de distribuidores de  </w:t>
      </w:r>
      <w:r>
        <w:rPr>
          <w:i/>
          <w:sz w:val="20"/>
        </w:rPr>
        <w:t>seguros y reaseguros.</w:t>
      </w:r>
    </w:p>
    <w:p>
      <w:pPr>
        <w:pStyle w:val="ListParagraph"/>
        <w:numPr>
          <w:ilvl w:val="0"/>
          <w:numId w:val="447"/>
        </w:numPr>
        <w:tabs>
          <w:tab w:pos="2353" w:val="left" w:leader="none"/>
        </w:tabs>
        <w:spacing w:line="249" w:lineRule="auto" w:before="110" w:after="0"/>
        <w:ind w:left="1754" w:right="1272" w:firstLine="340"/>
        <w:jc w:val="both"/>
        <w:rPr>
          <w:sz w:val="20"/>
        </w:rPr>
      </w:pPr>
      <w:r>
        <w:rPr>
          <w:sz w:val="20"/>
        </w:rPr>
        <w:t>En el registro administrativo, y en relación con los mediadores de seguros, mediadores de seguros complementarios, salvo aquellos que reúnan las condiciones para ser objeto de exención, y corredores de reaseguros, deberán inscribirse el nombre y apellidos o la denominación social, la condición de mediador de seguros o de seguros complementarios, y en su caso el sexo, la nacionalidad, el número de documento nacional de identidad o de identificación fiscal o pasaporte o documento equivalente en caso de extranjeros, el domicilio de la sede profesional o social, el ámbito de actuación, el número de inscripción, así como las modificaciones de los estatutos que por su objeto deban constar en el registro administrativo, la mención al dominio o a la dirección de Internet, las participaciones significativas, las agrupaciones de interés económico y las uniones temporales de empresas, la cancelación de la inscripción y la inhabilitación para el desempeño de la actividad de distribución, así como las sanciones que se hubieran impuesto, salvo la de amonestación privada. También se inscribirán los actos relativos al ejercicio de la actividad en régimen de derecho de establecimiento o en libre prestación de servicios en cada uno de los Estados miembros de la Unión</w:t>
      </w:r>
      <w:r>
        <w:rPr>
          <w:spacing w:val="-10"/>
          <w:sz w:val="20"/>
        </w:rPr>
        <w:t> </w:t>
      </w:r>
      <w:r>
        <w:rPr>
          <w:sz w:val="20"/>
        </w:rPr>
        <w:t>Europea.</w:t>
      </w:r>
    </w:p>
    <w:p>
      <w:pPr>
        <w:pStyle w:val="BodyText"/>
        <w:spacing w:line="249" w:lineRule="auto" w:before="13"/>
        <w:ind w:left="1754" w:right="1272"/>
      </w:pPr>
      <w:r>
        <w:rPr/>
        <w:t>En el caso de los agentes de seguros, se hará constar el carácter de exclusivo o vinculado y, en su caso, su condición de agente de un grupo de entidades aseguradoras.</w:t>
      </w:r>
    </w:p>
    <w:p>
      <w:pPr>
        <w:pStyle w:val="BodyText"/>
        <w:spacing w:line="249" w:lineRule="auto"/>
        <w:ind w:left="1754" w:right="1273"/>
      </w:pPr>
      <w:r>
        <w:rPr/>
        <w:t>Adicionalmente, en el caso de los distribuidores de seguros personas jurídicas, y respecto a los cargos de administración, de la persona responsable de la actividad de distribución o de las personas que formen parte del órgano de dirección responsable de las actividades de distribución, se inscribirán la fecha del nombramiento, la suspensión, revocación o cese de los mismos por cualquier causa, la inhabilitación y las sanciones que, en su caso, se les hubieran impuesto, salvo la de amonestación privada. Se consignarán el nombre y apellidos o denominación social, en su caso el sexo, el domicilio, la nacionalidad, el número de documento nacional de identidad o de identificación fiscal o pasaporte o documento equivalente en caso de extranjeros. Cuando dichos cargos sean desempeñados por personas jurídicas, se inscribirán los datos correspondientes a sus representantes</w:t>
      </w:r>
      <w:r>
        <w:rPr>
          <w:spacing w:val="-35"/>
        </w:rPr>
        <w:t> </w:t>
      </w:r>
      <w:r>
        <w:rPr/>
        <w:t>designados.</w:t>
      </w:r>
    </w:p>
    <w:p>
      <w:pPr>
        <w:pStyle w:val="ListParagraph"/>
        <w:numPr>
          <w:ilvl w:val="0"/>
          <w:numId w:val="447"/>
        </w:numPr>
        <w:tabs>
          <w:tab w:pos="2317" w:val="left" w:leader="none"/>
        </w:tabs>
        <w:spacing w:line="240" w:lineRule="auto" w:before="9" w:after="0"/>
        <w:ind w:left="2317" w:right="0" w:hanging="223"/>
        <w:jc w:val="both"/>
        <w:rPr>
          <w:sz w:val="20"/>
        </w:rPr>
      </w:pPr>
      <w:r>
        <w:rPr>
          <w:sz w:val="20"/>
        </w:rPr>
        <w:t>Sin perjuicio de lo dispuesto en el apartado anterior, se inscribirá</w:t>
      </w:r>
      <w:r>
        <w:rPr>
          <w:spacing w:val="-25"/>
          <w:sz w:val="20"/>
        </w:rPr>
        <w:t> </w:t>
      </w:r>
      <w:r>
        <w:rPr>
          <w:sz w:val="20"/>
        </w:rPr>
        <w:t>igualmente:</w:t>
      </w:r>
    </w:p>
    <w:p>
      <w:pPr>
        <w:pStyle w:val="ListParagraph"/>
        <w:numPr>
          <w:ilvl w:val="0"/>
          <w:numId w:val="448"/>
        </w:numPr>
        <w:tabs>
          <w:tab w:pos="2379" w:val="left" w:leader="none"/>
        </w:tabs>
        <w:spacing w:line="249" w:lineRule="auto" w:before="180" w:after="0"/>
        <w:ind w:left="1754" w:right="1273" w:firstLine="340"/>
        <w:jc w:val="both"/>
        <w:rPr>
          <w:sz w:val="20"/>
        </w:rPr>
      </w:pPr>
      <w:r>
        <w:rPr>
          <w:sz w:val="20"/>
        </w:rPr>
        <w:t>En relación con los mediadores de seguros, la designación del titular del departamento o servicio de atención al cliente o, en su caso, de la persona o entidad contratada externamente para el desempeño de las funciones del departamento o servicio de atención al cliente, y, si procede, la designación del defensor del</w:t>
      </w:r>
      <w:r>
        <w:rPr>
          <w:spacing w:val="-38"/>
          <w:sz w:val="20"/>
        </w:rPr>
        <w:t> </w:t>
      </w:r>
      <w:r>
        <w:rPr>
          <w:sz w:val="20"/>
        </w:rPr>
        <w:t>cliente.</w:t>
      </w:r>
    </w:p>
    <w:p>
      <w:pPr>
        <w:pStyle w:val="ListParagraph"/>
        <w:numPr>
          <w:ilvl w:val="0"/>
          <w:numId w:val="448"/>
        </w:numPr>
        <w:tabs>
          <w:tab w:pos="2359" w:val="left" w:leader="none"/>
        </w:tabs>
        <w:spacing w:line="249" w:lineRule="auto" w:before="4" w:after="0"/>
        <w:ind w:left="1754" w:right="1272" w:firstLine="340"/>
        <w:jc w:val="both"/>
        <w:rPr>
          <w:sz w:val="20"/>
        </w:rPr>
      </w:pPr>
      <w:r>
        <w:rPr>
          <w:sz w:val="20"/>
        </w:rPr>
        <w:t>En relación con los corredores de seguros y de reaseguros, la situación de inactividad.</w:t>
      </w:r>
    </w:p>
    <w:p>
      <w:pPr>
        <w:pStyle w:val="ListParagraph"/>
        <w:numPr>
          <w:ilvl w:val="0"/>
          <w:numId w:val="448"/>
        </w:numPr>
        <w:tabs>
          <w:tab w:pos="2363" w:val="left" w:leader="none"/>
        </w:tabs>
        <w:spacing w:line="249" w:lineRule="auto" w:before="1" w:after="0"/>
        <w:ind w:left="1754" w:right="1273" w:firstLine="340"/>
        <w:jc w:val="both"/>
        <w:rPr>
          <w:sz w:val="20"/>
        </w:rPr>
      </w:pPr>
      <w:r>
        <w:rPr>
          <w:sz w:val="20"/>
        </w:rPr>
        <w:t>En relación con los agentes de seguros, exclusivos o vinculados, se hará mención a las entidades aseguradoras con las que tienen suscritos contratos de agencia de seguros; y, en el caso de agentes de seguros exclusivos, a las autorizaciones que obtengan para ejercer su actividad de mediación de seguros con otra entidad aseguradora, indicando los productos de seguro en los que pueden mediar para la misma, así como las fechas de inicio y fin de dicha</w:t>
      </w:r>
      <w:r>
        <w:rPr>
          <w:spacing w:val="-26"/>
          <w:sz w:val="20"/>
        </w:rPr>
        <w:t> </w:t>
      </w:r>
      <w:r>
        <w:rPr>
          <w:sz w:val="20"/>
        </w:rPr>
        <w:t>autorización.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48"/>
        </w:numPr>
        <w:tabs>
          <w:tab w:pos="2332" w:val="left" w:leader="none"/>
        </w:tabs>
        <w:spacing w:line="249" w:lineRule="auto" w:before="127" w:after="0"/>
        <w:ind w:left="1754" w:right="1274" w:firstLine="340"/>
        <w:jc w:val="both"/>
        <w:rPr>
          <w:sz w:val="20"/>
        </w:rPr>
      </w:pPr>
      <w:r>
        <w:rPr>
          <w:sz w:val="20"/>
        </w:rPr>
        <w:t>En el caso de los operadores de banca-seguros se inscribirá, además, la red o las redes de las entidades de crédito o de los establecimientos financieros de crédito a través de las cuales el operador de banca-seguros distribuye los</w:t>
      </w:r>
      <w:r>
        <w:rPr>
          <w:spacing w:val="-23"/>
          <w:sz w:val="20"/>
        </w:rPr>
        <w:t> </w:t>
      </w:r>
      <w:r>
        <w:rPr>
          <w:sz w:val="20"/>
        </w:rPr>
        <w:t>seguros.</w:t>
      </w:r>
    </w:p>
    <w:p>
      <w:pPr>
        <w:pStyle w:val="ListParagraph"/>
        <w:numPr>
          <w:ilvl w:val="0"/>
          <w:numId w:val="447"/>
        </w:numPr>
        <w:tabs>
          <w:tab w:pos="2321" w:val="left" w:leader="none"/>
        </w:tabs>
        <w:spacing w:line="249" w:lineRule="auto" w:before="172" w:after="0"/>
        <w:ind w:left="1754" w:right="1272" w:firstLine="340"/>
        <w:jc w:val="both"/>
        <w:rPr>
          <w:sz w:val="20"/>
        </w:rPr>
      </w:pPr>
      <w:r>
        <w:rPr>
          <w:sz w:val="20"/>
        </w:rPr>
        <w:t>Cuando la inscripción en el registro administrativo traiga causa en acuerdos de la Administración, el asiento se practicará de oficio con fundamento en el acto administrativo correspondiente. Cuando proceda de actos del administrado deberá presentarse escrito firmado por el interesado o por el representante legal de la sociedad dentro de los quince días siguientes al de adopción de los acuerdos, adjuntando la documentación acreditativa fehaciente o, en su caso, la escritura pública en el plazo de un mes desde su inscripción en el Registro</w:t>
      </w:r>
      <w:r>
        <w:rPr>
          <w:spacing w:val="-28"/>
          <w:sz w:val="20"/>
        </w:rPr>
        <w:t> </w:t>
      </w:r>
      <w:r>
        <w:rPr>
          <w:sz w:val="20"/>
        </w:rPr>
        <w:t>Mercantil.</w:t>
      </w:r>
    </w:p>
    <w:p>
      <w:pPr>
        <w:pStyle w:val="ListParagraph"/>
        <w:numPr>
          <w:ilvl w:val="0"/>
          <w:numId w:val="447"/>
        </w:numPr>
        <w:tabs>
          <w:tab w:pos="2320" w:val="left" w:leader="none"/>
        </w:tabs>
        <w:spacing w:line="249" w:lineRule="auto" w:before="6" w:after="0"/>
        <w:ind w:left="1754" w:right="1273" w:firstLine="340"/>
        <w:jc w:val="both"/>
        <w:rPr>
          <w:sz w:val="20"/>
        </w:rPr>
      </w:pPr>
      <w:r>
        <w:rPr>
          <w:sz w:val="20"/>
        </w:rPr>
        <w:t>Las inscripciones relativas a las sanciones impuestas se cancelarán de oficio o a instancia del</w:t>
      </w:r>
      <w:r>
        <w:rPr>
          <w:spacing w:val="-4"/>
          <w:sz w:val="20"/>
        </w:rPr>
        <w:t> </w:t>
      </w:r>
      <w:r>
        <w:rPr>
          <w:sz w:val="20"/>
        </w:rPr>
        <w:t>interesado.</w:t>
      </w:r>
    </w:p>
    <w:p>
      <w:pPr>
        <w:pStyle w:val="BodyText"/>
        <w:spacing w:line="249" w:lineRule="auto"/>
        <w:ind w:left="1754" w:right="1273"/>
      </w:pPr>
      <w:r>
        <w:rPr/>
        <w:t>La cancelación de oficio procederá cuando haya recaído resolución o sentencia firme estimatoria del recurso interpuesto contra la sanción.</w:t>
      </w:r>
    </w:p>
    <w:p>
      <w:pPr>
        <w:pStyle w:val="BodyText"/>
        <w:spacing w:line="249" w:lineRule="auto" w:before="1"/>
        <w:ind w:left="1754" w:right="1273"/>
      </w:pPr>
      <w:r>
        <w:rPr/>
        <w:t>El interesado tendrá derecho a solicitar de la Dirección General de Seguros y Fondos de Pensiones la cancelación de la inscripción de la sanción que le hubiera sido impuesta, siempre que no se haya incurrido en ninguna nueva infracción, dentro de los dos años siguientes a la fecha de la firmeza de la sanción para el caso de las infracciones leves, cinco años para las graves y ocho años para las muy graves.</w:t>
      </w:r>
    </w:p>
    <w:p>
      <w:pPr>
        <w:pStyle w:val="BodyText"/>
        <w:spacing w:line="249" w:lineRule="auto" w:before="4"/>
        <w:ind w:left="1754" w:right="1272"/>
      </w:pPr>
      <w:r>
        <w:rPr/>
        <w:t>La iniciación de un expediente administrativo sancionador interrumpirá los plazos previstos en el párrafo anterior. Si el procedimiento concluyese con la imposición de una nueva sanción, las anotaciones pendientes se cancelarán cuando transcurra el plazo de cancelación aplicable a la misma, salvo que el que restase por correr de la anterior fuese superior, en cuyo caso se atenderá a la fecha de su vencimiento.</w:t>
      </w:r>
    </w:p>
    <w:p>
      <w:pPr>
        <w:pStyle w:val="BodyText"/>
        <w:spacing w:line="249" w:lineRule="auto" w:before="4"/>
        <w:ind w:left="1754" w:right="1271"/>
      </w:pPr>
      <w:r>
        <w:rPr/>
        <w:t>Producida la cancelación, la Dirección General de Seguros y Fondos de Pensiones no podrá tomar en consideración las sanciones cuya inscripción se hubiera cancelado a efectos de valorar los requisitos de honorabilidad comercial y profesional.»</w:t>
      </w:r>
    </w:p>
    <w:p>
      <w:pPr>
        <w:pStyle w:val="BodyText"/>
        <w:spacing w:before="6"/>
        <w:ind w:left="0" w:firstLine="0"/>
        <w:jc w:val="left"/>
      </w:pPr>
    </w:p>
    <w:p>
      <w:pPr>
        <w:spacing w:before="0"/>
        <w:ind w:left="1074" w:right="0" w:firstLine="0"/>
        <w:jc w:val="both"/>
        <w:rPr>
          <w:i/>
          <w:sz w:val="20"/>
        </w:rPr>
      </w:pPr>
      <w:bookmarkStart w:name="Disposición final sexta. Salvaguardia de" w:id="415"/>
      <w:bookmarkEnd w:id="415"/>
      <w:r>
        <w:rPr/>
      </w:r>
      <w:r>
        <w:rPr>
          <w:b/>
          <w:sz w:val="20"/>
        </w:rPr>
        <w:t>Disposición final sexta. </w:t>
      </w:r>
      <w:r>
        <w:rPr>
          <w:i/>
          <w:sz w:val="20"/>
        </w:rPr>
        <w:t>Salvaguardia del rango de ciertas disposiciones reglamentarias.</w:t>
      </w:r>
    </w:p>
    <w:p>
      <w:pPr>
        <w:pStyle w:val="BodyText"/>
        <w:spacing w:line="249" w:lineRule="auto" w:before="118"/>
        <w:ind w:right="1274"/>
      </w:pPr>
      <w:r>
        <w:rPr/>
        <w:t>Las modificaciones introducidas en normas reglamentarias por este real decreto-ley podrán ser modificadas por normas del rango reglamentario correspondiente a la norma en que figuran.</w:t>
      </w:r>
    </w:p>
    <w:p>
      <w:pPr>
        <w:pStyle w:val="BodyText"/>
        <w:spacing w:before="5"/>
        <w:ind w:left="0" w:firstLine="0"/>
        <w:jc w:val="left"/>
      </w:pPr>
    </w:p>
    <w:p>
      <w:pPr>
        <w:spacing w:before="0"/>
        <w:ind w:left="1074" w:right="0" w:firstLine="0"/>
        <w:jc w:val="both"/>
        <w:rPr>
          <w:i/>
          <w:sz w:val="20"/>
        </w:rPr>
      </w:pPr>
      <w:bookmarkStart w:name="Disposición final séptima. Títulos compe" w:id="416"/>
      <w:bookmarkEnd w:id="416"/>
      <w:r>
        <w:rPr/>
      </w:r>
      <w:r>
        <w:rPr>
          <w:b/>
          <w:sz w:val="20"/>
        </w:rPr>
        <w:t>Disposición final séptima. </w:t>
      </w:r>
      <w:r>
        <w:rPr>
          <w:i/>
          <w:sz w:val="20"/>
        </w:rPr>
        <w:t>Títulos competenciales y carácter de la legislación.</w:t>
      </w:r>
    </w:p>
    <w:p>
      <w:pPr>
        <w:pStyle w:val="ListParagraph"/>
        <w:numPr>
          <w:ilvl w:val="0"/>
          <w:numId w:val="449"/>
        </w:numPr>
        <w:tabs>
          <w:tab w:pos="1652" w:val="left" w:leader="none"/>
        </w:tabs>
        <w:spacing w:line="249" w:lineRule="auto" w:before="118" w:after="0"/>
        <w:ind w:left="1074" w:right="1273" w:firstLine="340"/>
        <w:jc w:val="both"/>
        <w:rPr>
          <w:sz w:val="20"/>
        </w:rPr>
      </w:pPr>
      <w:r>
        <w:rPr>
          <w:sz w:val="20"/>
        </w:rPr>
        <w:t>Lo previsto en el Libro primero del presente real decreto-ley se dicta al amparo de la competencia estatal en materia de legislación básica sobre contratos y concesiones administrativas, establecida en el artículo 149.1.18.ª de la Constitución, y en consecuencia, es de aplicación general a todas las Administraciones Públicas y organismos y entidades dependientes de ellas. No obstante, no tendrán carácter básico los siguientes artículos: 31.4; 33.4; 61, apartados 9.d) y 10; 65.1 párrafo cuarto; 73, segundo párrafo del apartado 1, apartado 2 y apartado 4; 107.8; disposición adicional décima; disposición final segunda; y disposición final</w:t>
      </w:r>
      <w:r>
        <w:rPr>
          <w:spacing w:val="-2"/>
          <w:sz w:val="20"/>
        </w:rPr>
        <w:t> </w:t>
      </w:r>
      <w:r>
        <w:rPr>
          <w:sz w:val="20"/>
        </w:rPr>
        <w:t>decimocuarta.</w:t>
      </w:r>
    </w:p>
    <w:p>
      <w:pPr>
        <w:pStyle w:val="BodyText"/>
        <w:spacing w:line="249" w:lineRule="auto" w:before="6"/>
        <w:ind w:right="1273"/>
      </w:pPr>
      <w:r>
        <w:rPr/>
        <w:t>El citado Libro primero del presente real decreto-ley asimismo se dicta al amparo de la competencia estatal en materia de legislación mercantil y civil establecida en el artículo 149.1.6.ª y 8.ª de la Constitución.</w:t>
      </w:r>
    </w:p>
    <w:p>
      <w:pPr>
        <w:pStyle w:val="ListParagraph"/>
        <w:numPr>
          <w:ilvl w:val="0"/>
          <w:numId w:val="449"/>
        </w:numPr>
        <w:tabs>
          <w:tab w:pos="1683" w:val="left" w:leader="none"/>
        </w:tabs>
        <w:spacing w:line="249" w:lineRule="auto" w:before="3" w:after="0"/>
        <w:ind w:left="1074" w:right="1273" w:firstLine="340"/>
        <w:jc w:val="both"/>
        <w:rPr>
          <w:sz w:val="20"/>
        </w:rPr>
      </w:pPr>
      <w:r>
        <w:rPr>
          <w:sz w:val="20"/>
        </w:rPr>
        <w:t>El libro segundo del real decreto-ley y las disposiciones adicionales duodécima a decimocuarta, las disposiciones transitorias segunda, tercera y quinta y la disposición final quinta se dictan al amparo del artículo 149.1.6.ª, 11.ª y 13.ª de la Constitución Española que atribuye al Estado la competencia exclusiva sobre legislación mercantil, las bases de la ordenación de los seguros y las bases y coordinación de la planificación general de la actividad económica, respectivamente, excepto los siguientes preceptos o apartados de  este:</w:t>
      </w:r>
    </w:p>
    <w:p>
      <w:pPr>
        <w:pStyle w:val="ListParagraph"/>
        <w:numPr>
          <w:ilvl w:val="0"/>
          <w:numId w:val="450"/>
        </w:numPr>
        <w:tabs>
          <w:tab w:pos="1654" w:val="left" w:leader="none"/>
        </w:tabs>
        <w:spacing w:line="249" w:lineRule="auto" w:before="125" w:after="0"/>
        <w:ind w:left="1074" w:right="1273" w:firstLine="340"/>
        <w:jc w:val="both"/>
        <w:rPr>
          <w:sz w:val="20"/>
        </w:rPr>
      </w:pPr>
      <w:r>
        <w:rPr>
          <w:sz w:val="20"/>
        </w:rPr>
        <w:t>El artículo 205 del título I, que no tendrá carácter básico, salvo en lo concerniente a la naturaleza y denominación de los Colegios de mediadores de seguros, la voluntariedad de la incorporación</w:t>
      </w:r>
      <w:r>
        <w:rPr>
          <w:spacing w:val="14"/>
          <w:sz w:val="20"/>
        </w:rPr>
        <w:t> </w:t>
      </w:r>
      <w:r>
        <w:rPr>
          <w:sz w:val="20"/>
        </w:rPr>
        <w:t>a</w:t>
      </w:r>
      <w:r>
        <w:rPr>
          <w:spacing w:val="14"/>
          <w:sz w:val="20"/>
        </w:rPr>
        <w:t> </w:t>
      </w:r>
      <w:r>
        <w:rPr>
          <w:sz w:val="20"/>
        </w:rPr>
        <w:t>estos</w:t>
      </w:r>
      <w:r>
        <w:rPr>
          <w:spacing w:val="15"/>
          <w:sz w:val="20"/>
        </w:rPr>
        <w:t> </w:t>
      </w:r>
      <w:r>
        <w:rPr>
          <w:sz w:val="20"/>
        </w:rPr>
        <w:t>y</w:t>
      </w:r>
      <w:r>
        <w:rPr>
          <w:spacing w:val="14"/>
          <w:sz w:val="20"/>
        </w:rPr>
        <w:t> </w:t>
      </w:r>
      <w:r>
        <w:rPr>
          <w:sz w:val="20"/>
        </w:rPr>
        <w:t>la</w:t>
      </w:r>
      <w:r>
        <w:rPr>
          <w:spacing w:val="15"/>
          <w:sz w:val="20"/>
        </w:rPr>
        <w:t> </w:t>
      </w:r>
      <w:r>
        <w:rPr>
          <w:sz w:val="20"/>
        </w:rPr>
        <w:t>existencia</w:t>
      </w:r>
      <w:r>
        <w:rPr>
          <w:spacing w:val="14"/>
          <w:sz w:val="20"/>
        </w:rPr>
        <w:t> </w:t>
      </w:r>
      <w:r>
        <w:rPr>
          <w:sz w:val="20"/>
        </w:rPr>
        <w:t>de</w:t>
      </w:r>
      <w:r>
        <w:rPr>
          <w:spacing w:val="15"/>
          <w:sz w:val="20"/>
        </w:rPr>
        <w:t> </w:t>
      </w:r>
      <w:r>
        <w:rPr>
          <w:sz w:val="20"/>
        </w:rPr>
        <w:t>su</w:t>
      </w:r>
      <w:r>
        <w:rPr>
          <w:spacing w:val="14"/>
          <w:sz w:val="20"/>
        </w:rPr>
        <w:t> </w:t>
      </w:r>
      <w:r>
        <w:rPr>
          <w:sz w:val="20"/>
        </w:rPr>
        <w:t>Consejo</w:t>
      </w:r>
      <w:r>
        <w:rPr>
          <w:spacing w:val="14"/>
          <w:sz w:val="20"/>
        </w:rPr>
        <w:t> </w:t>
      </w:r>
      <w:r>
        <w:rPr>
          <w:sz w:val="20"/>
        </w:rPr>
        <w:t>General,</w:t>
      </w:r>
      <w:r>
        <w:rPr>
          <w:spacing w:val="15"/>
          <w:sz w:val="20"/>
        </w:rPr>
        <w:t> </w:t>
      </w:r>
      <w:r>
        <w:rPr>
          <w:sz w:val="20"/>
        </w:rPr>
        <w:t>que</w:t>
      </w:r>
      <w:r>
        <w:rPr>
          <w:spacing w:val="14"/>
          <w:sz w:val="20"/>
        </w:rPr>
        <w:t> </w:t>
      </w:r>
      <w:r>
        <w:rPr>
          <w:sz w:val="20"/>
        </w:rPr>
        <w:t>tiene</w:t>
      </w:r>
      <w:r>
        <w:rPr>
          <w:spacing w:val="15"/>
          <w:sz w:val="20"/>
        </w:rPr>
        <w:t> </w:t>
      </w:r>
      <w:r>
        <w:rPr>
          <w:sz w:val="20"/>
        </w:rPr>
        <w:t>la</w:t>
      </w:r>
      <w:r>
        <w:rPr>
          <w:spacing w:val="14"/>
          <w:sz w:val="20"/>
        </w:rPr>
        <w:t> </w:t>
      </w:r>
      <w:r>
        <w:rPr>
          <w:sz w:val="20"/>
        </w:rPr>
        <w:t>consideración</w:t>
      </w:r>
      <w:r>
        <w:rPr>
          <w:spacing w:val="14"/>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4" w:hanging="1"/>
      </w:pPr>
      <w:r>
        <w:rPr/>
        <w:t>bases del régimen jurídico de las Administraciones Públicas al amparo del artículo 149.1.18.ª de la Constitución Española.</w:t>
      </w:r>
    </w:p>
    <w:p>
      <w:pPr>
        <w:pStyle w:val="ListParagraph"/>
        <w:numPr>
          <w:ilvl w:val="0"/>
          <w:numId w:val="450"/>
        </w:numPr>
        <w:tabs>
          <w:tab w:pos="1674" w:val="left" w:leader="none"/>
        </w:tabs>
        <w:spacing w:line="240" w:lineRule="auto" w:before="2" w:after="0"/>
        <w:ind w:left="1673" w:right="0" w:hanging="260"/>
        <w:jc w:val="both"/>
        <w:rPr>
          <w:sz w:val="20"/>
        </w:rPr>
      </w:pPr>
      <w:r>
        <w:rPr>
          <w:sz w:val="20"/>
        </w:rPr>
        <w:t>El</w:t>
      </w:r>
      <w:r>
        <w:rPr>
          <w:spacing w:val="24"/>
          <w:sz w:val="20"/>
        </w:rPr>
        <w:t> </w:t>
      </w:r>
      <w:r>
        <w:rPr>
          <w:sz w:val="20"/>
        </w:rPr>
        <w:t>segundo</w:t>
      </w:r>
      <w:r>
        <w:rPr>
          <w:spacing w:val="25"/>
          <w:sz w:val="20"/>
        </w:rPr>
        <w:t> </w:t>
      </w:r>
      <w:r>
        <w:rPr>
          <w:sz w:val="20"/>
        </w:rPr>
        <w:t>párrafo</w:t>
      </w:r>
      <w:r>
        <w:rPr>
          <w:spacing w:val="23"/>
          <w:sz w:val="20"/>
        </w:rPr>
        <w:t> </w:t>
      </w:r>
      <w:r>
        <w:rPr>
          <w:sz w:val="20"/>
        </w:rPr>
        <w:t>del</w:t>
      </w:r>
      <w:r>
        <w:rPr>
          <w:spacing w:val="24"/>
          <w:sz w:val="20"/>
        </w:rPr>
        <w:t> </w:t>
      </w:r>
      <w:r>
        <w:rPr>
          <w:sz w:val="20"/>
        </w:rPr>
        <w:t>artículo</w:t>
      </w:r>
      <w:r>
        <w:rPr>
          <w:spacing w:val="23"/>
          <w:sz w:val="20"/>
        </w:rPr>
        <w:t> </w:t>
      </w:r>
      <w:r>
        <w:rPr>
          <w:sz w:val="20"/>
        </w:rPr>
        <w:t>133.3;</w:t>
      </w:r>
      <w:r>
        <w:rPr>
          <w:spacing w:val="24"/>
          <w:sz w:val="20"/>
        </w:rPr>
        <w:t> </w:t>
      </w:r>
      <w:r>
        <w:rPr>
          <w:sz w:val="20"/>
        </w:rPr>
        <w:t>los</w:t>
      </w:r>
      <w:r>
        <w:rPr>
          <w:spacing w:val="24"/>
          <w:sz w:val="20"/>
        </w:rPr>
        <w:t> </w:t>
      </w:r>
      <w:r>
        <w:rPr>
          <w:sz w:val="20"/>
        </w:rPr>
        <w:t>artículos</w:t>
      </w:r>
      <w:r>
        <w:rPr>
          <w:spacing w:val="23"/>
          <w:sz w:val="20"/>
        </w:rPr>
        <w:t> </w:t>
      </w:r>
      <w:r>
        <w:rPr>
          <w:sz w:val="20"/>
        </w:rPr>
        <w:t>149.4</w:t>
      </w:r>
      <w:r>
        <w:rPr>
          <w:spacing w:val="24"/>
          <w:sz w:val="20"/>
        </w:rPr>
        <w:t> </w:t>
      </w:r>
      <w:r>
        <w:rPr>
          <w:sz w:val="20"/>
        </w:rPr>
        <w:t>y</w:t>
      </w:r>
      <w:r>
        <w:rPr>
          <w:spacing w:val="24"/>
          <w:sz w:val="20"/>
        </w:rPr>
        <w:t> </w:t>
      </w:r>
      <w:r>
        <w:rPr>
          <w:sz w:val="20"/>
        </w:rPr>
        <w:t>5;</w:t>
      </w:r>
      <w:r>
        <w:rPr>
          <w:spacing w:val="24"/>
          <w:sz w:val="20"/>
        </w:rPr>
        <w:t> </w:t>
      </w:r>
      <w:r>
        <w:rPr>
          <w:sz w:val="20"/>
        </w:rPr>
        <w:t>152.2</w:t>
      </w:r>
      <w:r>
        <w:rPr>
          <w:spacing w:val="24"/>
          <w:sz w:val="20"/>
        </w:rPr>
        <w:t> </w:t>
      </w:r>
      <w:r>
        <w:rPr>
          <w:sz w:val="20"/>
        </w:rPr>
        <w:t>y</w:t>
      </w:r>
      <w:r>
        <w:rPr>
          <w:spacing w:val="24"/>
          <w:sz w:val="20"/>
        </w:rPr>
        <w:t> </w:t>
      </w:r>
      <w:r>
        <w:rPr>
          <w:sz w:val="20"/>
        </w:rPr>
        <w:t>3;</w:t>
      </w:r>
      <w:r>
        <w:rPr>
          <w:spacing w:val="24"/>
          <w:sz w:val="20"/>
        </w:rPr>
        <w:t> </w:t>
      </w:r>
      <w:r>
        <w:rPr>
          <w:sz w:val="20"/>
        </w:rPr>
        <w:t>157.2</w:t>
      </w:r>
      <w:r>
        <w:rPr>
          <w:spacing w:val="23"/>
          <w:sz w:val="20"/>
        </w:rPr>
        <w:t> </w:t>
      </w:r>
      <w:r>
        <w:rPr>
          <w:sz w:val="20"/>
        </w:rPr>
        <w:t>y</w:t>
      </w:r>
      <w:r>
        <w:rPr>
          <w:spacing w:val="25"/>
          <w:sz w:val="20"/>
        </w:rPr>
        <w:t> </w:t>
      </w:r>
      <w:r>
        <w:rPr>
          <w:sz w:val="20"/>
        </w:rPr>
        <w:t>3;</w:t>
      </w:r>
    </w:p>
    <w:p>
      <w:pPr>
        <w:pStyle w:val="BodyText"/>
        <w:spacing w:line="249" w:lineRule="auto" w:before="10"/>
        <w:ind w:right="1273" w:firstLine="0"/>
      </w:pPr>
      <w:r>
        <w:rPr/>
        <w:t>162.3 y 5; y 165.2 del título I, y la disposición transitoria cuarta, que no tendrán carácter de legislación básica y solo resultan de aplicación en el ámbito de la Administración General del Estado.</w:t>
      </w:r>
    </w:p>
    <w:p>
      <w:pPr>
        <w:pStyle w:val="BodyText"/>
        <w:spacing w:line="249" w:lineRule="auto"/>
        <w:ind w:right="1272"/>
      </w:pPr>
      <w:r>
        <w:rPr/>
        <w:t>En los supuestos en los que las Comunidades Autónomas ejerzan las competencias en materia de distribución de seguros y reaseguros privados a que se refiere el artículo 132.2 del título I, las referencias que se hacen a los órganos de la Administración General del Estado se entenderán hechas al órgano competente de la Comunidad</w:t>
      </w:r>
      <w:r>
        <w:rPr>
          <w:spacing w:val="-18"/>
        </w:rPr>
        <w:t> </w:t>
      </w:r>
      <w:r>
        <w:rPr/>
        <w:t>Autónoma.</w:t>
      </w:r>
    </w:p>
    <w:p>
      <w:pPr>
        <w:pStyle w:val="ListParagraph"/>
        <w:numPr>
          <w:ilvl w:val="0"/>
          <w:numId w:val="450"/>
        </w:numPr>
        <w:tabs>
          <w:tab w:pos="1669" w:val="left" w:leader="none"/>
        </w:tabs>
        <w:spacing w:line="249" w:lineRule="auto" w:before="4" w:after="0"/>
        <w:ind w:left="1074" w:right="1274" w:firstLine="340"/>
        <w:jc w:val="both"/>
        <w:rPr>
          <w:sz w:val="20"/>
        </w:rPr>
      </w:pPr>
      <w:r>
        <w:rPr>
          <w:sz w:val="20"/>
        </w:rPr>
        <w:t>El título II del Libro segundo, la disposición adicional decimoquinta y la disposición transitoria sexta del real decreto-ley, se dictan al amparo del artículo 149.1. 11.ª y 13.ª de la Constitución Española, salvo el apartado veintiocho del artículo 212 del título II que se dicta al amparo del artículo 149.1.6ª de la Constitución que atribuye al Estado la legislación mercantil.</w:t>
      </w:r>
    </w:p>
    <w:p>
      <w:pPr>
        <w:pStyle w:val="ListParagraph"/>
        <w:numPr>
          <w:ilvl w:val="0"/>
          <w:numId w:val="450"/>
        </w:numPr>
        <w:tabs>
          <w:tab w:pos="1660" w:val="left" w:leader="none"/>
        </w:tabs>
        <w:spacing w:line="249" w:lineRule="auto" w:before="4" w:after="0"/>
        <w:ind w:left="1074" w:right="1273" w:firstLine="340"/>
        <w:jc w:val="both"/>
        <w:rPr>
          <w:sz w:val="20"/>
        </w:rPr>
      </w:pPr>
      <w:r>
        <w:rPr>
          <w:sz w:val="20"/>
        </w:rPr>
        <w:t>La disposición adicional undécima y las disposiciones finales tercera y cuarta del real decreto-ley se dictan al amparo de lo dispuesto en el artículo 149.1.14.ª de la Constitución Española que atribuye al Estado la competencia exclusiva sobre la Hacienda</w:t>
      </w:r>
      <w:r>
        <w:rPr>
          <w:spacing w:val="-23"/>
          <w:sz w:val="20"/>
        </w:rPr>
        <w:t> </w:t>
      </w:r>
      <w:r>
        <w:rPr>
          <w:sz w:val="20"/>
        </w:rPr>
        <w:t>general.</w:t>
      </w:r>
    </w:p>
    <w:p>
      <w:pPr>
        <w:pStyle w:val="ListParagraph"/>
        <w:numPr>
          <w:ilvl w:val="0"/>
          <w:numId w:val="449"/>
        </w:numPr>
        <w:tabs>
          <w:tab w:pos="1684" w:val="left" w:leader="none"/>
        </w:tabs>
        <w:spacing w:line="249" w:lineRule="auto" w:before="122" w:after="0"/>
        <w:ind w:left="1074" w:right="1273" w:firstLine="340"/>
        <w:jc w:val="both"/>
        <w:rPr>
          <w:sz w:val="20"/>
        </w:rPr>
      </w:pPr>
      <w:r>
        <w:rPr>
          <w:sz w:val="20"/>
        </w:rPr>
        <w:t>Lo previsto en el Libro tercero de este real decreto-ley se dicta al amparo de lo dispuesto en el artículo 149.1.14.ª de la Constitución Española, que atribuye al Estado las competencias en materia de Hacienda</w:t>
      </w:r>
      <w:r>
        <w:rPr>
          <w:spacing w:val="-5"/>
          <w:sz w:val="20"/>
        </w:rPr>
        <w:t> </w:t>
      </w:r>
      <w:r>
        <w:rPr>
          <w:sz w:val="20"/>
        </w:rPr>
        <w:t>general.</w:t>
      </w:r>
    </w:p>
    <w:p>
      <w:pPr>
        <w:pStyle w:val="BodyText"/>
        <w:spacing w:before="5"/>
        <w:ind w:left="0" w:firstLine="0"/>
        <w:jc w:val="left"/>
      </w:pPr>
    </w:p>
    <w:p>
      <w:pPr>
        <w:spacing w:before="0"/>
        <w:ind w:left="1074" w:right="0" w:firstLine="0"/>
        <w:jc w:val="both"/>
        <w:rPr>
          <w:i/>
          <w:sz w:val="20"/>
        </w:rPr>
      </w:pPr>
      <w:bookmarkStart w:name="Disposición final octava. Comunidad Fora" w:id="417"/>
      <w:bookmarkEnd w:id="417"/>
      <w:r>
        <w:rPr/>
      </w:r>
      <w:r>
        <w:rPr>
          <w:b/>
          <w:sz w:val="20"/>
        </w:rPr>
        <w:t>Disposición final octava. </w:t>
      </w:r>
      <w:r>
        <w:rPr>
          <w:i/>
          <w:sz w:val="20"/>
        </w:rPr>
        <w:t>Comunidad Foral de Navarra.</w:t>
      </w:r>
    </w:p>
    <w:p>
      <w:pPr>
        <w:pStyle w:val="BodyText"/>
        <w:spacing w:line="249" w:lineRule="auto" w:before="118"/>
        <w:ind w:right="1274"/>
      </w:pPr>
      <w:r>
        <w:rPr/>
        <w:t>En virtud de su régimen foral, la aplicación a la Comunidad Foral de Navarra de lo dispuesto en este real decreto-ley se llevará a cabo sin perjuicio de lo dispuesto en la Ley Orgánica 13/1982, de 10 de agosto, de Reintegración y Amejoramiento del Régimen Foral de</w:t>
      </w:r>
      <w:r>
        <w:rPr>
          <w:spacing w:val="-2"/>
        </w:rPr>
        <w:t> </w:t>
      </w:r>
      <w:r>
        <w:rPr/>
        <w:t>Navarra.</w:t>
      </w:r>
    </w:p>
    <w:p>
      <w:pPr>
        <w:pStyle w:val="BodyText"/>
        <w:spacing w:before="5"/>
        <w:ind w:left="0" w:firstLine="0"/>
        <w:jc w:val="left"/>
      </w:pPr>
    </w:p>
    <w:p>
      <w:pPr>
        <w:spacing w:before="1"/>
        <w:ind w:left="1074" w:right="0" w:firstLine="0"/>
        <w:jc w:val="both"/>
        <w:rPr>
          <w:i/>
          <w:sz w:val="20"/>
        </w:rPr>
      </w:pPr>
      <w:bookmarkStart w:name="Disposición final novena. Comunidad Autó" w:id="418"/>
      <w:bookmarkEnd w:id="418"/>
      <w:r>
        <w:rPr/>
      </w:r>
      <w:r>
        <w:rPr>
          <w:b/>
          <w:sz w:val="20"/>
        </w:rPr>
        <w:t>Disposición final novena. </w:t>
      </w:r>
      <w:r>
        <w:rPr>
          <w:i/>
          <w:sz w:val="20"/>
        </w:rPr>
        <w:t>Comunidad Autónoma del País Vasco.</w:t>
      </w:r>
    </w:p>
    <w:p>
      <w:pPr>
        <w:pStyle w:val="BodyText"/>
        <w:spacing w:line="249" w:lineRule="auto" w:before="117"/>
        <w:ind w:right="1272"/>
      </w:pPr>
      <w:r>
        <w:rPr/>
        <w:t>En virtud de su régimen foral, la aplicación a la Comunidad Autónoma del País Vasco de lo dispuesto en este real decreto-ley se entenderá sin perjuicio de lo dispuesto en la Ley 12/2002, de 23 de mayo, por la que se aprueba el Concierto Económico Vasco de la Comunidad Autónoma del País Vasco.</w:t>
      </w:r>
    </w:p>
    <w:p>
      <w:pPr>
        <w:pStyle w:val="BodyText"/>
        <w:spacing w:before="6"/>
        <w:ind w:left="0" w:firstLine="0"/>
        <w:jc w:val="left"/>
      </w:pPr>
    </w:p>
    <w:p>
      <w:pPr>
        <w:spacing w:before="0"/>
        <w:ind w:left="1074" w:right="0" w:firstLine="0"/>
        <w:jc w:val="both"/>
        <w:rPr>
          <w:i/>
          <w:sz w:val="20"/>
        </w:rPr>
      </w:pPr>
      <w:bookmarkStart w:name="Disposición final décima. Legislación su" w:id="419"/>
      <w:bookmarkEnd w:id="419"/>
      <w:r>
        <w:rPr/>
      </w:r>
      <w:r>
        <w:rPr>
          <w:b/>
          <w:sz w:val="20"/>
        </w:rPr>
        <w:t>Disposición final décima. </w:t>
      </w:r>
      <w:r>
        <w:rPr>
          <w:i/>
          <w:sz w:val="20"/>
        </w:rPr>
        <w:t>Legislación supletoria.</w:t>
      </w:r>
    </w:p>
    <w:p>
      <w:pPr>
        <w:pStyle w:val="BodyText"/>
        <w:spacing w:line="249" w:lineRule="auto" w:before="118"/>
        <w:ind w:right="1275"/>
      </w:pPr>
      <w:r>
        <w:rPr/>
        <w:t>En lo no previsto en el libro segundo de este real decreto-ley, se aplicará con carácter supletorio la Ley 20/2015, de 14 de julio.</w:t>
      </w:r>
    </w:p>
    <w:p>
      <w:pPr>
        <w:pStyle w:val="BodyText"/>
        <w:spacing w:before="4"/>
        <w:ind w:left="0" w:firstLine="0"/>
        <w:jc w:val="left"/>
      </w:pPr>
    </w:p>
    <w:p>
      <w:pPr>
        <w:spacing w:before="0"/>
        <w:ind w:left="1074" w:right="0" w:firstLine="0"/>
        <w:jc w:val="both"/>
        <w:rPr>
          <w:i/>
          <w:sz w:val="20"/>
        </w:rPr>
      </w:pPr>
      <w:bookmarkStart w:name="Disposición final undécima. Incorporació" w:id="420"/>
      <w:bookmarkEnd w:id="420"/>
      <w:r>
        <w:rPr/>
      </w:r>
      <w:r>
        <w:rPr>
          <w:b/>
          <w:sz w:val="20"/>
        </w:rPr>
        <w:t>Disposición final undécima. </w:t>
      </w:r>
      <w:r>
        <w:rPr>
          <w:i/>
          <w:sz w:val="20"/>
        </w:rPr>
        <w:t>Incorporación del Derecho de la Unión Europea.</w:t>
      </w:r>
    </w:p>
    <w:p>
      <w:pPr>
        <w:pStyle w:val="ListParagraph"/>
        <w:numPr>
          <w:ilvl w:val="0"/>
          <w:numId w:val="451"/>
        </w:numPr>
        <w:tabs>
          <w:tab w:pos="1639" w:val="left" w:leader="none"/>
        </w:tabs>
        <w:spacing w:line="249" w:lineRule="auto" w:before="118" w:after="0"/>
        <w:ind w:left="1074" w:right="1272" w:firstLine="340"/>
        <w:jc w:val="both"/>
        <w:rPr>
          <w:sz w:val="20"/>
        </w:rPr>
      </w:pPr>
      <w:r>
        <w:rPr>
          <w:sz w:val="20"/>
        </w:rPr>
        <w:t>Mediante el presente real decreto-ley se incorpora al ordenamiento jurídico la Directiva 2014/25/UE del Parlamento Europeo y del Consejo, de 26 de febrero de 2014, relativa a la contratación por entidades que operan en los sectores del agua, la energía, los transportes y los servicios postales y por la que se deroga la Directiva 2004/17/CE, cuando se celebren por entidades contratantes; así como la Directiva 2014/23/UE del Parlamento Europeo y del Consejo, de 26 de febrero de 2014, relativa a la adjudicación de contratos de concesión, cuando estos se celebren por entidades contratantes y se refieran a una o más de las actividades recogidas en los artículos 9 a 14 de este real</w:t>
      </w:r>
      <w:r>
        <w:rPr>
          <w:spacing w:val="-18"/>
          <w:sz w:val="20"/>
        </w:rPr>
        <w:t> </w:t>
      </w:r>
      <w:r>
        <w:rPr>
          <w:sz w:val="20"/>
        </w:rPr>
        <w:t>decreto-ley.</w:t>
      </w:r>
    </w:p>
    <w:p>
      <w:pPr>
        <w:pStyle w:val="ListParagraph"/>
        <w:numPr>
          <w:ilvl w:val="0"/>
          <w:numId w:val="451"/>
        </w:numPr>
        <w:tabs>
          <w:tab w:pos="1685" w:val="left" w:leader="none"/>
        </w:tabs>
        <w:spacing w:line="249" w:lineRule="auto" w:before="6" w:after="0"/>
        <w:ind w:left="1074" w:right="1272" w:firstLine="340"/>
        <w:jc w:val="both"/>
        <w:rPr>
          <w:sz w:val="20"/>
        </w:rPr>
      </w:pPr>
      <w:r>
        <w:rPr>
          <w:sz w:val="20"/>
        </w:rPr>
        <w:t>Mediante este real decreto-ley se incorpora al Derecho español la Directiva (UE) 2016/97 del Parlamento Europeo y del Consejo, de 20 de enero de 2016, sobre la distribución de seguros y se transponen parcialmente la Directiva (UE) 2016/2341 del Parlamento Europeo y del Consejo, de 14 de diciembre de 2016, relativa a las actividades y supervisión de los fondos de pensiones de empleo y la Directiva (UE) 2017/828 del Parlamento Europeo y del Consejo, de 17 de mayo de 2017, por la que se modifica la Directiva 2007/36/CE en lo que respecta al fomento de la implicación a largo plazo de los accionistas.</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51"/>
        </w:numPr>
        <w:tabs>
          <w:tab w:pos="1707" w:val="left" w:leader="none"/>
        </w:tabs>
        <w:spacing w:line="249" w:lineRule="auto" w:before="127" w:after="0"/>
        <w:ind w:left="1074" w:right="1273" w:firstLine="340"/>
        <w:jc w:val="both"/>
        <w:rPr>
          <w:sz w:val="20"/>
        </w:rPr>
      </w:pPr>
      <w:r>
        <w:rPr>
          <w:sz w:val="20"/>
        </w:rPr>
        <w:t>Se entenderán realizadas a la citada Directiva (UE) 2016/2341 del Parlamento Europeo y del Consejo, de 14 de diciembre de 2016, las referencias contenidas en las disposiciones legales y reglamentarias vigentes a la derogada Directiva 2003/41/CE del Parlamento Europeo y del Consejo, de 3 de junio de 2003, relativa a las actividades y supervisión de los fondos de pensiones de</w:t>
      </w:r>
      <w:r>
        <w:rPr>
          <w:spacing w:val="-7"/>
          <w:sz w:val="20"/>
        </w:rPr>
        <w:t> </w:t>
      </w:r>
      <w:r>
        <w:rPr>
          <w:sz w:val="20"/>
        </w:rPr>
        <w:t>empleo.</w:t>
      </w:r>
    </w:p>
    <w:p>
      <w:pPr>
        <w:pStyle w:val="ListParagraph"/>
        <w:numPr>
          <w:ilvl w:val="0"/>
          <w:numId w:val="451"/>
        </w:numPr>
        <w:tabs>
          <w:tab w:pos="1664" w:val="left" w:leader="none"/>
        </w:tabs>
        <w:spacing w:line="249" w:lineRule="auto" w:before="4" w:after="0"/>
        <w:ind w:left="1074" w:right="1273" w:firstLine="340"/>
        <w:jc w:val="both"/>
        <w:rPr>
          <w:sz w:val="20"/>
        </w:rPr>
      </w:pPr>
      <w:r>
        <w:rPr>
          <w:sz w:val="20"/>
        </w:rPr>
        <w:t>Las disposiciones incluidas en el Libro segundo de este real decreto-ley que hacen referencia a los Estados miembros de la Unión Europea, a los distribuidores de seguros y reaseguros en ellos domiciliados o a la actividad en ellos de los distribuidores de seguros y reaseguros españoles serán también aplicables a los Estados parte del Acuerdo del Espacio Económico Europeo que no son miembros de la Unión Europea, a los distribuidores de seguros y reaseguros en ellos domiciliados y a la actividad de los distribuidores de seguros y reaseguros españoles en esos</w:t>
      </w:r>
      <w:r>
        <w:rPr>
          <w:spacing w:val="-4"/>
          <w:sz w:val="20"/>
        </w:rPr>
        <w:t> </w:t>
      </w:r>
      <w:r>
        <w:rPr>
          <w:sz w:val="20"/>
        </w:rPr>
        <w:t>Estados.</w:t>
      </w:r>
    </w:p>
    <w:p>
      <w:pPr>
        <w:pStyle w:val="ListParagraph"/>
        <w:numPr>
          <w:ilvl w:val="0"/>
          <w:numId w:val="451"/>
        </w:numPr>
        <w:tabs>
          <w:tab w:pos="1676" w:val="left" w:leader="none"/>
        </w:tabs>
        <w:spacing w:line="249" w:lineRule="auto" w:before="5" w:after="0"/>
        <w:ind w:left="1074" w:right="1271" w:firstLine="340"/>
        <w:jc w:val="both"/>
        <w:rPr>
          <w:sz w:val="20"/>
        </w:rPr>
      </w:pPr>
      <w:r>
        <w:rPr>
          <w:sz w:val="20"/>
        </w:rPr>
        <w:t>Mediante este real decreto-ley se incorporan al Derecho español la Directiva (UE) 2018/1910 del Consejo, de 4 de diciembre de 2018, por la que se modifica la Directiva 2006/112/CE en lo que se refiere a la armonización y la simplificación de determinadas normas del régimen del impuesto sobre el valor añadido en la imposición de los intercambios entre los Estados miembros, y la Directiva (UE) 2019/475 del Consejo, de 18 de febrero de 2019, por la que se modifican las Directivas 2006/112/CE y 2008/118/CE en lo que respecta a la inclusión del municipio italiano de Campione d’Italia y las aguas italianas del Lago de Lugano en el territorio aduanero de la Unión y en el ámbito de aplicación territorial de la Directiva</w:t>
      </w:r>
      <w:r>
        <w:rPr>
          <w:spacing w:val="-2"/>
          <w:sz w:val="20"/>
        </w:rPr>
        <w:t> </w:t>
      </w:r>
      <w:r>
        <w:rPr>
          <w:sz w:val="20"/>
        </w:rPr>
        <w:t>2008/118/CE.</w:t>
      </w:r>
    </w:p>
    <w:p>
      <w:pPr>
        <w:pStyle w:val="ListParagraph"/>
        <w:numPr>
          <w:ilvl w:val="0"/>
          <w:numId w:val="451"/>
        </w:numPr>
        <w:tabs>
          <w:tab w:pos="1685" w:val="left" w:leader="none"/>
        </w:tabs>
        <w:spacing w:line="249" w:lineRule="auto" w:before="8" w:after="0"/>
        <w:ind w:left="1074" w:right="1272" w:firstLine="340"/>
        <w:jc w:val="both"/>
        <w:rPr>
          <w:sz w:val="20"/>
        </w:rPr>
      </w:pPr>
      <w:r>
        <w:rPr>
          <w:sz w:val="20"/>
        </w:rPr>
        <w:t>Mediante este real decreto-ley se incorpora al Derecho español la Directiva (UE) 2017/1852 del Consejo de 10 de octubre de 2017, relativa a los mecanismos de resolución de litigios fiscales en la Unión Europea, armonizando así el marco de resolución de procedimientos amistosos y reforzando la seguridad</w:t>
      </w:r>
      <w:r>
        <w:rPr>
          <w:spacing w:val="-7"/>
          <w:sz w:val="20"/>
        </w:rPr>
        <w:t> </w:t>
      </w:r>
      <w:r>
        <w:rPr>
          <w:sz w:val="20"/>
        </w:rPr>
        <w:t>jurídica.</w:t>
      </w:r>
    </w:p>
    <w:p>
      <w:pPr>
        <w:pStyle w:val="BodyText"/>
        <w:spacing w:before="6"/>
        <w:ind w:left="0" w:firstLine="0"/>
        <w:jc w:val="left"/>
      </w:pPr>
    </w:p>
    <w:p>
      <w:pPr>
        <w:spacing w:line="249" w:lineRule="auto" w:before="0"/>
        <w:ind w:left="1074" w:right="1272" w:firstLine="0"/>
        <w:jc w:val="both"/>
        <w:rPr>
          <w:i/>
          <w:sz w:val="20"/>
        </w:rPr>
      </w:pPr>
      <w:bookmarkStart w:name="Disposición final duodécima. Actualizaci" w:id="421"/>
      <w:bookmarkEnd w:id="421"/>
      <w:r>
        <w:rPr/>
      </w:r>
      <w:r>
        <w:rPr>
          <w:b/>
          <w:sz w:val="20"/>
        </w:rPr>
        <w:t>Disposición final duodécima. </w:t>
      </w:r>
      <w:r>
        <w:rPr>
          <w:i/>
          <w:sz w:val="20"/>
        </w:rPr>
        <w:t>Actualización de plazos y otras modificaciones derivadas de </w:t>
      </w:r>
      <w:r>
        <w:rPr>
          <w:i/>
          <w:sz w:val="20"/>
        </w:rPr>
        <w:t>los anexos de directivas comunitarias.</w:t>
      </w:r>
    </w:p>
    <w:p>
      <w:pPr>
        <w:pStyle w:val="BodyText"/>
        <w:spacing w:line="249" w:lineRule="auto" w:before="109"/>
        <w:ind w:right="1273"/>
      </w:pPr>
      <w:r>
        <w:rPr/>
        <w:t>Se autoriza al Ministro de Hacienda para que pueda modificar, previo informe de la Junta Consultiva de Contratación Pública del Estado, las previsiones que en el presente real decreto-ley contiene en materia de plazos para su adaptación a los que establezca la Unión Europea.</w:t>
      </w:r>
    </w:p>
    <w:p>
      <w:pPr>
        <w:pStyle w:val="BodyText"/>
        <w:spacing w:line="249" w:lineRule="auto" w:before="3"/>
        <w:ind w:right="1275"/>
      </w:pPr>
      <w:r>
        <w:rPr/>
        <w:t>Asimismo, se autoriza al Ministro de Hacienda a incorporar al real decreto-ley las oportunas modificaciones derivadas de los anexos de las directivas comunitarias que regulan la contratación pública.</w:t>
      </w:r>
    </w:p>
    <w:p>
      <w:pPr>
        <w:pStyle w:val="BodyText"/>
        <w:spacing w:before="5"/>
        <w:ind w:left="0" w:firstLine="0"/>
        <w:jc w:val="left"/>
      </w:pPr>
    </w:p>
    <w:p>
      <w:pPr>
        <w:spacing w:before="0"/>
        <w:ind w:left="1074" w:right="0" w:firstLine="0"/>
        <w:jc w:val="both"/>
        <w:rPr>
          <w:i/>
          <w:sz w:val="20"/>
        </w:rPr>
      </w:pPr>
      <w:bookmarkStart w:name="Disposición final decimotercera. Modelos" w:id="422"/>
      <w:bookmarkEnd w:id="422"/>
      <w:r>
        <w:rPr/>
      </w:r>
      <w:r>
        <w:rPr>
          <w:b/>
          <w:sz w:val="20"/>
        </w:rPr>
        <w:t>Disposición final decimotercera. </w:t>
      </w:r>
      <w:r>
        <w:rPr>
          <w:i/>
          <w:sz w:val="20"/>
        </w:rPr>
        <w:t>Modelos de notificación de adjudicación de contratos.</w:t>
      </w:r>
    </w:p>
    <w:p>
      <w:pPr>
        <w:pStyle w:val="BodyText"/>
        <w:spacing w:line="249" w:lineRule="auto" w:before="118"/>
        <w:ind w:right="1273"/>
      </w:pPr>
      <w:r>
        <w:rPr/>
        <w:t>Se autoriza al Ministro de Hacienda, previo informe de la Junta Consultiva de Contratación Pública del Estado, oídas las Comunidades Autónomas, para establecer los modelos de notificación de la adjudicación de contratos al Registro de Contratos del Sector Público a que se refiere el artículo 125, así como a la modificación de los plazos que a tal fin se establecen.</w:t>
      </w:r>
    </w:p>
    <w:p>
      <w:pPr>
        <w:pStyle w:val="BodyText"/>
        <w:spacing w:before="6"/>
        <w:ind w:left="0" w:firstLine="0"/>
        <w:jc w:val="left"/>
      </w:pPr>
    </w:p>
    <w:p>
      <w:pPr>
        <w:spacing w:before="1"/>
        <w:ind w:left="1074" w:right="0" w:firstLine="0"/>
        <w:jc w:val="both"/>
        <w:rPr>
          <w:i/>
          <w:sz w:val="20"/>
        </w:rPr>
      </w:pPr>
      <w:bookmarkStart w:name="Disposición final decimocuarta. Habilita" w:id="423"/>
      <w:bookmarkEnd w:id="423"/>
      <w:r>
        <w:rPr/>
      </w:r>
      <w:r>
        <w:rPr>
          <w:b/>
          <w:sz w:val="20"/>
        </w:rPr>
        <w:t>Disposición final decimocuarta. </w:t>
      </w:r>
      <w:r>
        <w:rPr>
          <w:i/>
          <w:sz w:val="20"/>
        </w:rPr>
        <w:t>Habilitación normativa.</w:t>
      </w:r>
    </w:p>
    <w:p>
      <w:pPr>
        <w:pStyle w:val="ListParagraph"/>
        <w:numPr>
          <w:ilvl w:val="0"/>
          <w:numId w:val="452"/>
        </w:numPr>
        <w:tabs>
          <w:tab w:pos="1646" w:val="left" w:leader="none"/>
        </w:tabs>
        <w:spacing w:line="249" w:lineRule="auto" w:before="117" w:after="0"/>
        <w:ind w:left="1074" w:right="1272" w:firstLine="340"/>
        <w:jc w:val="both"/>
        <w:rPr>
          <w:sz w:val="20"/>
        </w:rPr>
      </w:pPr>
      <w:r>
        <w:rPr>
          <w:sz w:val="20"/>
        </w:rPr>
        <w:t>Se habilita al Gobierno, a la persona titular del Ministerio de Hacienda y del Ministerio de Asuntos Económicos y Transformación Digital en el ámbito de sus competencias, para dictar cuantas disposiciones sean necesarias para el desarrollo y aplicación de lo establecido en este real</w:t>
      </w:r>
      <w:r>
        <w:rPr>
          <w:spacing w:val="-3"/>
          <w:sz w:val="20"/>
        </w:rPr>
        <w:t> </w:t>
      </w:r>
      <w:r>
        <w:rPr>
          <w:sz w:val="20"/>
        </w:rPr>
        <w:t>decreto-ley.</w:t>
      </w:r>
    </w:p>
    <w:p>
      <w:pPr>
        <w:pStyle w:val="ListParagraph"/>
        <w:numPr>
          <w:ilvl w:val="0"/>
          <w:numId w:val="452"/>
        </w:numPr>
        <w:tabs>
          <w:tab w:pos="1649" w:val="left" w:leader="none"/>
        </w:tabs>
        <w:spacing w:line="249" w:lineRule="auto" w:before="3" w:after="0"/>
        <w:ind w:left="1074" w:right="1271" w:firstLine="340"/>
        <w:jc w:val="both"/>
        <w:rPr>
          <w:sz w:val="20"/>
        </w:rPr>
      </w:pPr>
      <w:r>
        <w:rPr>
          <w:sz w:val="20"/>
        </w:rPr>
        <w:t>En concreto, queda facultada la persona titular del Ministerio de Asuntos Económicos y Transformación Digital, a propuesta del Director General de Seguros y Fondos de Pensiones y previa audiencia de la Junta Consultiva de Seguros y Fondos de Pensiones para llevar a cabo las modificaciones que resulten necesarias en la regulación de los libros- registro y en los modelos de información estadístico-contable anual, al objeto de adaptar el Real Decreto 764/2010, de 11 de junio, por el que se desarrolla la Ley 26/2006, de 17 de julio, de mediación de seguros y reaseguros privados en materia de información estadístico- contable y del negocio, y de competencia</w:t>
      </w:r>
      <w:r>
        <w:rPr>
          <w:spacing w:val="-6"/>
          <w:sz w:val="20"/>
        </w:rPr>
        <w:t> </w:t>
      </w:r>
      <w:r>
        <w:rPr>
          <w:sz w:val="20"/>
        </w:rPr>
        <w:t>profesional.</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rPr>
          <w:sz w:val="21"/>
        </w:rPr>
      </w:pPr>
    </w:p>
    <w:p>
      <w:pPr>
        <w:spacing w:line="249" w:lineRule="auto" w:before="0"/>
        <w:ind w:left="1074" w:right="1273" w:hanging="1"/>
        <w:jc w:val="both"/>
        <w:rPr>
          <w:i/>
          <w:sz w:val="20"/>
        </w:rPr>
      </w:pPr>
      <w:bookmarkStart w:name="Disposición final decimoquinta. Cumplimi" w:id="424"/>
      <w:bookmarkEnd w:id="424"/>
      <w:r>
        <w:rPr/>
      </w:r>
      <w:r>
        <w:rPr>
          <w:b/>
          <w:sz w:val="20"/>
        </w:rPr>
        <w:t>Disposición final decimoquinta. </w:t>
      </w:r>
      <w:r>
        <w:rPr>
          <w:i/>
          <w:sz w:val="20"/>
        </w:rPr>
        <w:t>Cumplimiento de los requisitos mínimos en materia de </w:t>
      </w:r>
      <w:r>
        <w:rPr>
          <w:i/>
          <w:sz w:val="20"/>
        </w:rPr>
        <w:t>competencia y conocimientos profesionales por parte de los empleados de entidades aseguradoras que participan en la distribución de seguros.</w:t>
      </w:r>
    </w:p>
    <w:p>
      <w:pPr>
        <w:pStyle w:val="BodyText"/>
        <w:spacing w:line="249" w:lineRule="auto" w:before="110"/>
        <w:ind w:right="1272"/>
      </w:pPr>
      <w:r>
        <w:rPr/>
        <w:t>El artículo 139.2 del título I del Libro segundo del real decreto-ley entrará en vigor  cuando se apruebe la normativa que la desarrolle en materia de formación. En tanto no se apruebe dicha normativa de desarrollo, las entidades aseguradoras y reaseguradoras, se asegurarán de que los empleados que participen directamente en actividades  de distribución, así como la persona responsable de la actividad de distribución o, en su caso, al menos la mitad de las personas que formen parte del órgano de dirección responsable de la actividad de distribución, cumplen con los requisitos mínimos en materia de competencia y conocimientos profesionales establecidos en el anexo XII de este real</w:t>
      </w:r>
      <w:r>
        <w:rPr>
          <w:spacing w:val="-23"/>
        </w:rPr>
        <w:t> </w:t>
      </w:r>
      <w:r>
        <w:rPr/>
        <w:t>decreto-ley.</w:t>
      </w:r>
    </w:p>
    <w:p>
      <w:pPr>
        <w:pStyle w:val="BodyText"/>
        <w:spacing w:before="9"/>
        <w:ind w:left="0" w:firstLine="0"/>
        <w:jc w:val="left"/>
      </w:pPr>
    </w:p>
    <w:p>
      <w:pPr>
        <w:spacing w:before="0"/>
        <w:ind w:left="1074" w:right="0" w:firstLine="0"/>
        <w:jc w:val="both"/>
        <w:rPr>
          <w:i/>
          <w:sz w:val="20"/>
        </w:rPr>
      </w:pPr>
      <w:bookmarkStart w:name="Disposición final decimosexta. Entrada e" w:id="425"/>
      <w:bookmarkEnd w:id="425"/>
      <w:r>
        <w:rPr/>
      </w:r>
      <w:r>
        <w:rPr>
          <w:b/>
          <w:sz w:val="20"/>
        </w:rPr>
        <w:t>Disposición final decimosexta. </w:t>
      </w:r>
      <w:r>
        <w:rPr>
          <w:i/>
          <w:sz w:val="20"/>
        </w:rPr>
        <w:t>Entrada en vigor.</w:t>
      </w:r>
    </w:p>
    <w:p>
      <w:pPr>
        <w:pStyle w:val="ListParagraph"/>
        <w:numPr>
          <w:ilvl w:val="0"/>
          <w:numId w:val="453"/>
        </w:numPr>
        <w:tabs>
          <w:tab w:pos="1644" w:val="left" w:leader="none"/>
        </w:tabs>
        <w:spacing w:line="240" w:lineRule="auto" w:before="118" w:after="0"/>
        <w:ind w:left="1643" w:right="0" w:hanging="230"/>
        <w:jc w:val="both"/>
        <w:rPr>
          <w:sz w:val="20"/>
        </w:rPr>
      </w:pPr>
      <w:r>
        <w:rPr>
          <w:sz w:val="20"/>
        </w:rPr>
        <w:t>El</w:t>
      </w:r>
      <w:r>
        <w:rPr>
          <w:spacing w:val="4"/>
          <w:sz w:val="20"/>
        </w:rPr>
        <w:t> </w:t>
      </w:r>
      <w:r>
        <w:rPr>
          <w:sz w:val="20"/>
        </w:rPr>
        <w:t>presente</w:t>
      </w:r>
      <w:r>
        <w:rPr>
          <w:spacing w:val="5"/>
          <w:sz w:val="20"/>
        </w:rPr>
        <w:t> </w:t>
      </w:r>
      <w:r>
        <w:rPr>
          <w:sz w:val="20"/>
        </w:rPr>
        <w:t>real</w:t>
      </w:r>
      <w:r>
        <w:rPr>
          <w:spacing w:val="5"/>
          <w:sz w:val="20"/>
        </w:rPr>
        <w:t> </w:t>
      </w:r>
      <w:r>
        <w:rPr>
          <w:sz w:val="20"/>
        </w:rPr>
        <w:t>decreto-ley</w:t>
      </w:r>
      <w:r>
        <w:rPr>
          <w:spacing w:val="5"/>
          <w:sz w:val="20"/>
        </w:rPr>
        <w:t> </w:t>
      </w:r>
      <w:r>
        <w:rPr>
          <w:sz w:val="20"/>
        </w:rPr>
        <w:t>entrará</w:t>
      </w:r>
      <w:r>
        <w:rPr>
          <w:spacing w:val="5"/>
          <w:sz w:val="20"/>
        </w:rPr>
        <w:t> </w:t>
      </w:r>
      <w:r>
        <w:rPr>
          <w:sz w:val="20"/>
        </w:rPr>
        <w:t>en</w:t>
      </w:r>
      <w:r>
        <w:rPr>
          <w:spacing w:val="5"/>
          <w:sz w:val="20"/>
        </w:rPr>
        <w:t> </w:t>
      </w:r>
      <w:r>
        <w:rPr>
          <w:sz w:val="20"/>
        </w:rPr>
        <w:t>vigor</w:t>
      </w:r>
      <w:r>
        <w:rPr>
          <w:spacing w:val="4"/>
          <w:sz w:val="20"/>
        </w:rPr>
        <w:t> </w:t>
      </w:r>
      <w:r>
        <w:rPr>
          <w:sz w:val="20"/>
        </w:rPr>
        <w:t>el</w:t>
      </w:r>
      <w:r>
        <w:rPr>
          <w:spacing w:val="5"/>
          <w:sz w:val="20"/>
        </w:rPr>
        <w:t> </w:t>
      </w:r>
      <w:r>
        <w:rPr>
          <w:sz w:val="20"/>
        </w:rPr>
        <w:t>día</w:t>
      </w:r>
      <w:r>
        <w:rPr>
          <w:spacing w:val="5"/>
          <w:sz w:val="20"/>
        </w:rPr>
        <w:t> </w:t>
      </w:r>
      <w:r>
        <w:rPr>
          <w:sz w:val="20"/>
        </w:rPr>
        <w:t>siguiente</w:t>
      </w:r>
      <w:r>
        <w:rPr>
          <w:spacing w:val="5"/>
          <w:sz w:val="20"/>
        </w:rPr>
        <w:t> </w:t>
      </w:r>
      <w:r>
        <w:rPr>
          <w:sz w:val="20"/>
        </w:rPr>
        <w:t>al</w:t>
      </w:r>
      <w:r>
        <w:rPr>
          <w:spacing w:val="5"/>
          <w:sz w:val="20"/>
        </w:rPr>
        <w:t> </w:t>
      </w:r>
      <w:r>
        <w:rPr>
          <w:sz w:val="20"/>
        </w:rPr>
        <w:t>de</w:t>
      </w:r>
      <w:r>
        <w:rPr>
          <w:spacing w:val="5"/>
          <w:sz w:val="20"/>
        </w:rPr>
        <w:t> </w:t>
      </w:r>
      <w:r>
        <w:rPr>
          <w:sz w:val="20"/>
        </w:rPr>
        <w:t>su</w:t>
      </w:r>
      <w:r>
        <w:rPr>
          <w:spacing w:val="5"/>
          <w:sz w:val="20"/>
        </w:rPr>
        <w:t> </w:t>
      </w:r>
      <w:r>
        <w:rPr>
          <w:sz w:val="20"/>
        </w:rPr>
        <w:t>publicación</w:t>
      </w:r>
      <w:r>
        <w:rPr>
          <w:spacing w:val="4"/>
          <w:sz w:val="20"/>
        </w:rPr>
        <w:t> </w:t>
      </w:r>
      <w:r>
        <w:rPr>
          <w:sz w:val="20"/>
        </w:rPr>
        <w:t>en</w:t>
      </w:r>
      <w:r>
        <w:rPr>
          <w:spacing w:val="5"/>
          <w:sz w:val="20"/>
        </w:rPr>
        <w:t> </w:t>
      </w:r>
      <w:r>
        <w:rPr>
          <w:sz w:val="20"/>
        </w:rPr>
        <w:t>el</w:t>
      </w:r>
    </w:p>
    <w:p>
      <w:pPr>
        <w:pStyle w:val="BodyText"/>
        <w:spacing w:before="10"/>
        <w:ind w:firstLine="0"/>
      </w:pPr>
      <w:r>
        <w:rPr/>
        <w:t>«Boletín Oficial del Estado».</w:t>
      </w:r>
    </w:p>
    <w:p>
      <w:pPr>
        <w:pStyle w:val="ListParagraph"/>
        <w:numPr>
          <w:ilvl w:val="0"/>
          <w:numId w:val="453"/>
        </w:numPr>
        <w:tabs>
          <w:tab w:pos="1709" w:val="left" w:leader="none"/>
        </w:tabs>
        <w:spacing w:line="249" w:lineRule="auto" w:before="10" w:after="0"/>
        <w:ind w:left="1074" w:right="1273" w:firstLine="340"/>
        <w:jc w:val="both"/>
        <w:rPr>
          <w:sz w:val="20"/>
        </w:rPr>
      </w:pPr>
      <w:r>
        <w:rPr>
          <w:sz w:val="20"/>
        </w:rPr>
        <w:t>No obstante lo anterior, el libro primero, las disposiciones adicionales primera, segunda, tercera, cuarta, quinta, sexta, séptima, octava, novena, décima, decimosexta y decimoséptima; la disposición transitoria primera y el apartado primero de la disposición derogatoria única, entrarán en vigor a los veinte días de su publicación en el «Boletín Oficial del Estado», a excepción del artículo 126, que lo hará al día siguiente de la referida publicación y del artículo 72.2 que lo hará al mismo tiempo que la disposición reglamentaria a la que se refiere el</w:t>
      </w:r>
      <w:r>
        <w:rPr>
          <w:spacing w:val="-5"/>
          <w:sz w:val="20"/>
        </w:rPr>
        <w:t> </w:t>
      </w:r>
      <w:r>
        <w:rPr>
          <w:sz w:val="20"/>
        </w:rPr>
        <w:t>mismo.</w:t>
      </w:r>
    </w:p>
    <w:p>
      <w:pPr>
        <w:pStyle w:val="ListParagraph"/>
        <w:numPr>
          <w:ilvl w:val="0"/>
          <w:numId w:val="453"/>
        </w:numPr>
        <w:tabs>
          <w:tab w:pos="1656" w:val="left" w:leader="none"/>
        </w:tabs>
        <w:spacing w:line="249" w:lineRule="auto" w:before="6" w:after="0"/>
        <w:ind w:left="1074" w:right="1273" w:firstLine="340"/>
        <w:jc w:val="both"/>
        <w:rPr>
          <w:sz w:val="20"/>
        </w:rPr>
      </w:pPr>
      <w:r>
        <w:rPr>
          <w:sz w:val="20"/>
        </w:rPr>
        <w:t>Los apartados dos, tres, cuatro, cinco, seis, siete, ocho y nueve del artículo 214; los apartados dos, tres, cuatro y cinco del artículo 216 y la disposición transitoria séptima, entrarán en vigor el 1 de marzo de</w:t>
      </w:r>
      <w:r>
        <w:rPr>
          <w:spacing w:val="-8"/>
          <w:sz w:val="20"/>
        </w:rPr>
        <w:t> </w:t>
      </w:r>
      <w:r>
        <w:rPr>
          <w:sz w:val="20"/>
        </w:rPr>
        <w:t>2020.</w:t>
      </w:r>
    </w:p>
    <w:p>
      <w:pPr>
        <w:pStyle w:val="BodyText"/>
        <w:spacing w:before="122"/>
        <w:ind w:left="1414" w:firstLine="0"/>
        <w:jc w:val="left"/>
      </w:pPr>
      <w:bookmarkStart w:name="[Firma]" w:id="426"/>
      <w:bookmarkEnd w:id="426"/>
      <w:r>
        <w:rPr/>
      </w:r>
      <w:r>
        <w:rPr/>
        <w:t>Dado en Madrid, el 4 de febrero de 2020.</w:t>
      </w:r>
    </w:p>
    <w:p>
      <w:pPr>
        <w:pStyle w:val="BodyText"/>
        <w:spacing w:before="180"/>
        <w:ind w:left="0" w:right="1271" w:firstLine="0"/>
        <w:jc w:val="right"/>
      </w:pPr>
      <w:r>
        <w:rPr/>
        <w:t>FELIPE R.</w:t>
      </w:r>
    </w:p>
    <w:p>
      <w:pPr>
        <w:spacing w:line="261" w:lineRule="auto" w:before="131"/>
        <w:ind w:left="3781" w:right="3966" w:firstLine="452"/>
        <w:jc w:val="left"/>
        <w:rPr>
          <w:sz w:val="16"/>
        </w:rPr>
      </w:pPr>
      <w:r>
        <w:rPr>
          <w:sz w:val="16"/>
        </w:rPr>
        <w:t>El Presidente del Gobierno, PEDRO SÁNCHEZ PÉREZ-CASTEJÓN</w:t>
      </w:r>
    </w:p>
    <w:p>
      <w:pPr>
        <w:pStyle w:val="BodyText"/>
        <w:spacing w:before="0"/>
        <w:ind w:left="0" w:firstLine="0"/>
        <w:jc w:val="left"/>
      </w:pPr>
    </w:p>
    <w:p>
      <w:pPr>
        <w:pStyle w:val="BodyText"/>
        <w:ind w:left="0" w:firstLine="0"/>
        <w:jc w:val="left"/>
        <w:rPr>
          <w:sz w:val="19"/>
        </w:rPr>
      </w:pPr>
    </w:p>
    <w:p>
      <w:pPr>
        <w:pStyle w:val="Heading1"/>
        <w:spacing w:before="1"/>
        <w:ind w:left="2929"/>
      </w:pPr>
      <w:bookmarkStart w:name="ANEXO I. Servicios a que se refieren los" w:id="427"/>
      <w:bookmarkEnd w:id="427"/>
      <w:r>
        <w:rPr>
          <w:b w:val="0"/>
        </w:rPr>
      </w:r>
      <w:bookmarkStart w:name="_bookmark82" w:id="428"/>
      <w:bookmarkEnd w:id="428"/>
      <w:r>
        <w:rPr>
          <w:b w:val="0"/>
        </w:rPr>
      </w:r>
      <w:r>
        <w:rPr/>
        <w:t>ANEXO I</w:t>
      </w:r>
    </w:p>
    <w:p>
      <w:pPr>
        <w:spacing w:before="123"/>
        <w:ind w:left="1414" w:right="1613" w:firstLine="0"/>
        <w:jc w:val="center"/>
        <w:rPr>
          <w:b/>
          <w:sz w:val="20"/>
        </w:rPr>
      </w:pPr>
      <w:r>
        <w:rPr>
          <w:b/>
          <w:sz w:val="20"/>
        </w:rPr>
        <w:t>Servicios a que se refieren los artículos 1.1.a) y 76.1</w:t>
      </w:r>
    </w:p>
    <w:p>
      <w:pPr>
        <w:pStyle w:val="BodyText"/>
        <w:spacing w:before="0"/>
        <w:ind w:left="0" w:firstLine="0"/>
        <w:jc w:val="left"/>
        <w:rPr>
          <w:b/>
        </w:rPr>
      </w:pPr>
    </w:p>
    <w:p>
      <w:pPr>
        <w:pStyle w:val="BodyText"/>
        <w:spacing w:before="1"/>
        <w:ind w:left="0" w:firstLine="0"/>
        <w:jc w:val="left"/>
        <w:rPr>
          <w:b/>
          <w:sz w:val="11"/>
        </w:rPr>
      </w:pPr>
    </w:p>
    <w:tbl>
      <w:tblPr>
        <w:tblW w:w="0" w:type="auto"/>
        <w:jc w:val="left"/>
        <w:tblInd w:w="117"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CellMar>
          <w:top w:w="0" w:type="dxa"/>
          <w:left w:w="0" w:type="dxa"/>
          <w:bottom w:w="0" w:type="dxa"/>
          <w:right w:w="0" w:type="dxa"/>
        </w:tblCellMar>
        <w:tblLook w:val="01E0"/>
      </w:tblPr>
      <w:tblGrid>
        <w:gridCol w:w="7458"/>
        <w:gridCol w:w="2746"/>
      </w:tblGrid>
      <w:tr>
        <w:trPr>
          <w:trHeight w:val="162" w:hRule="atLeast"/>
        </w:trPr>
        <w:tc>
          <w:tcPr>
            <w:tcW w:w="7458" w:type="dxa"/>
            <w:shd w:val="clear" w:color="auto" w:fill="EDEDED"/>
          </w:tcPr>
          <w:p>
            <w:pPr>
              <w:pStyle w:val="TableParagraph"/>
              <w:spacing w:line="143" w:lineRule="exact"/>
              <w:ind w:left="3322" w:right="3317"/>
              <w:jc w:val="center"/>
              <w:rPr>
                <w:b/>
                <w:sz w:val="14"/>
              </w:rPr>
            </w:pPr>
            <w:r>
              <w:rPr>
                <w:b/>
                <w:w w:val="95"/>
                <w:sz w:val="14"/>
              </w:rPr>
              <w:t>Código CPV</w:t>
            </w:r>
          </w:p>
        </w:tc>
        <w:tc>
          <w:tcPr>
            <w:tcW w:w="2746" w:type="dxa"/>
            <w:shd w:val="clear" w:color="auto" w:fill="EDEDED"/>
          </w:tcPr>
          <w:p>
            <w:pPr>
              <w:pStyle w:val="TableParagraph"/>
              <w:spacing w:line="143" w:lineRule="exact"/>
              <w:ind w:left="990" w:right="984"/>
              <w:jc w:val="center"/>
              <w:rPr>
                <w:b/>
                <w:sz w:val="14"/>
              </w:rPr>
            </w:pPr>
            <w:r>
              <w:rPr>
                <w:b/>
                <w:w w:val="90"/>
                <w:sz w:val="14"/>
              </w:rPr>
              <w:t>Descripción</w:t>
            </w:r>
          </w:p>
        </w:tc>
      </w:tr>
      <w:tr>
        <w:trPr>
          <w:trHeight w:val="836" w:hRule="atLeast"/>
        </w:trPr>
        <w:tc>
          <w:tcPr>
            <w:tcW w:w="7458" w:type="dxa"/>
            <w:tcBorders>
              <w:left w:val="single" w:sz="4" w:space="0" w:color="CCCCCC"/>
              <w:bottom w:val="single" w:sz="4" w:space="0" w:color="CCCCCC"/>
              <w:right w:val="single" w:sz="4" w:space="0" w:color="CCCCCC"/>
            </w:tcBorders>
          </w:tcPr>
          <w:p>
            <w:pPr>
              <w:pStyle w:val="TableParagraph"/>
              <w:spacing w:line="148" w:lineRule="exact"/>
              <w:ind w:left="40"/>
              <w:rPr>
                <w:sz w:val="14"/>
              </w:rPr>
            </w:pPr>
            <w:r>
              <w:rPr>
                <w:w w:val="95"/>
                <w:sz w:val="14"/>
              </w:rPr>
              <w:t>75200000-8;</w:t>
            </w:r>
            <w:r>
              <w:rPr>
                <w:spacing w:val="-25"/>
                <w:w w:val="95"/>
                <w:sz w:val="14"/>
              </w:rPr>
              <w:t> </w:t>
            </w:r>
            <w:r>
              <w:rPr>
                <w:w w:val="95"/>
                <w:sz w:val="14"/>
              </w:rPr>
              <w:t>75231200-6;</w:t>
            </w:r>
            <w:r>
              <w:rPr>
                <w:spacing w:val="-24"/>
                <w:w w:val="95"/>
                <w:sz w:val="14"/>
              </w:rPr>
              <w:t> </w:t>
            </w:r>
            <w:r>
              <w:rPr>
                <w:w w:val="95"/>
                <w:sz w:val="14"/>
              </w:rPr>
              <w:t>75231240-8;</w:t>
            </w:r>
            <w:r>
              <w:rPr>
                <w:spacing w:val="-25"/>
                <w:w w:val="95"/>
                <w:sz w:val="14"/>
              </w:rPr>
              <w:t> </w:t>
            </w:r>
            <w:r>
              <w:rPr>
                <w:w w:val="95"/>
                <w:sz w:val="14"/>
              </w:rPr>
              <w:t>79611000-0;</w:t>
            </w:r>
            <w:r>
              <w:rPr>
                <w:spacing w:val="-24"/>
                <w:w w:val="95"/>
                <w:sz w:val="14"/>
              </w:rPr>
              <w:t> </w:t>
            </w:r>
            <w:r>
              <w:rPr>
                <w:w w:val="95"/>
                <w:sz w:val="14"/>
              </w:rPr>
              <w:t>79622000-0</w:t>
            </w:r>
            <w:r>
              <w:rPr>
                <w:spacing w:val="-25"/>
                <w:w w:val="95"/>
                <w:sz w:val="14"/>
              </w:rPr>
              <w:t> </w:t>
            </w:r>
            <w:r>
              <w:rPr>
                <w:w w:val="95"/>
                <w:sz w:val="14"/>
              </w:rPr>
              <w:t>[Servicios</w:t>
            </w:r>
            <w:r>
              <w:rPr>
                <w:spacing w:val="-24"/>
                <w:w w:val="95"/>
                <w:sz w:val="14"/>
              </w:rPr>
              <w:t> </w:t>
            </w:r>
            <w:r>
              <w:rPr>
                <w:w w:val="95"/>
                <w:sz w:val="14"/>
              </w:rPr>
              <w:t>de</w:t>
            </w:r>
            <w:r>
              <w:rPr>
                <w:spacing w:val="-25"/>
                <w:w w:val="95"/>
                <w:sz w:val="14"/>
              </w:rPr>
              <w:t> </w:t>
            </w:r>
            <w:r>
              <w:rPr>
                <w:w w:val="95"/>
                <w:sz w:val="14"/>
              </w:rPr>
              <w:t>suministro</w:t>
            </w:r>
            <w:r>
              <w:rPr>
                <w:spacing w:val="-24"/>
                <w:w w:val="95"/>
                <w:sz w:val="14"/>
              </w:rPr>
              <w:t> </w:t>
            </w:r>
            <w:r>
              <w:rPr>
                <w:w w:val="95"/>
                <w:sz w:val="14"/>
              </w:rPr>
              <w:t>de</w:t>
            </w:r>
            <w:r>
              <w:rPr>
                <w:spacing w:val="-25"/>
                <w:w w:val="95"/>
                <w:sz w:val="14"/>
              </w:rPr>
              <w:t> </w:t>
            </w:r>
            <w:r>
              <w:rPr>
                <w:w w:val="95"/>
                <w:sz w:val="14"/>
              </w:rPr>
              <w:t>personal</w:t>
            </w:r>
            <w:r>
              <w:rPr>
                <w:spacing w:val="-24"/>
                <w:w w:val="95"/>
                <w:sz w:val="14"/>
              </w:rPr>
              <w:t> </w:t>
            </w:r>
            <w:r>
              <w:rPr>
                <w:w w:val="95"/>
                <w:sz w:val="14"/>
              </w:rPr>
              <w:t>doméstico]</w:t>
            </w:r>
            <w:r>
              <w:rPr>
                <w:spacing w:val="-25"/>
                <w:w w:val="95"/>
                <w:sz w:val="14"/>
              </w:rPr>
              <w:t> </w:t>
            </w:r>
            <w:r>
              <w:rPr>
                <w:w w:val="95"/>
                <w:sz w:val="14"/>
              </w:rPr>
              <w:t>79624000-4</w:t>
            </w:r>
          </w:p>
          <w:p>
            <w:pPr>
              <w:pStyle w:val="TableParagraph"/>
              <w:spacing w:line="160" w:lineRule="atLeast" w:before="7"/>
              <w:ind w:left="40" w:right="46"/>
              <w:rPr>
                <w:sz w:val="14"/>
              </w:rPr>
            </w:pPr>
            <w:r>
              <w:rPr>
                <w:w w:val="95"/>
                <w:sz w:val="14"/>
              </w:rPr>
              <w:t>[Servicios</w:t>
            </w:r>
            <w:r>
              <w:rPr>
                <w:spacing w:val="-24"/>
                <w:w w:val="95"/>
                <w:sz w:val="14"/>
              </w:rPr>
              <w:t> </w:t>
            </w:r>
            <w:r>
              <w:rPr>
                <w:w w:val="95"/>
                <w:sz w:val="14"/>
              </w:rPr>
              <w:t>de</w:t>
            </w:r>
            <w:r>
              <w:rPr>
                <w:spacing w:val="-24"/>
                <w:w w:val="95"/>
                <w:sz w:val="14"/>
              </w:rPr>
              <w:t> </w:t>
            </w:r>
            <w:r>
              <w:rPr>
                <w:w w:val="95"/>
                <w:sz w:val="14"/>
              </w:rPr>
              <w:t>suministro</w:t>
            </w:r>
            <w:r>
              <w:rPr>
                <w:spacing w:val="-24"/>
                <w:w w:val="95"/>
                <w:sz w:val="14"/>
              </w:rPr>
              <w:t> </w:t>
            </w:r>
            <w:r>
              <w:rPr>
                <w:w w:val="95"/>
                <w:sz w:val="14"/>
              </w:rPr>
              <w:t>de</w:t>
            </w:r>
            <w:r>
              <w:rPr>
                <w:spacing w:val="-23"/>
                <w:w w:val="95"/>
                <w:sz w:val="14"/>
              </w:rPr>
              <w:t> </w:t>
            </w:r>
            <w:r>
              <w:rPr>
                <w:w w:val="95"/>
                <w:sz w:val="14"/>
              </w:rPr>
              <w:t>personal</w:t>
            </w:r>
            <w:r>
              <w:rPr>
                <w:spacing w:val="-24"/>
                <w:w w:val="95"/>
                <w:sz w:val="14"/>
              </w:rPr>
              <w:t> </w:t>
            </w:r>
            <w:r>
              <w:rPr>
                <w:w w:val="95"/>
                <w:sz w:val="14"/>
              </w:rPr>
              <w:t>de</w:t>
            </w:r>
            <w:r>
              <w:rPr>
                <w:spacing w:val="-24"/>
                <w:w w:val="95"/>
                <w:sz w:val="14"/>
              </w:rPr>
              <w:t> </w:t>
            </w:r>
            <w:r>
              <w:rPr>
                <w:w w:val="95"/>
                <w:sz w:val="14"/>
              </w:rPr>
              <w:t>enfermería]</w:t>
            </w:r>
            <w:r>
              <w:rPr>
                <w:spacing w:val="-24"/>
                <w:w w:val="95"/>
                <w:sz w:val="14"/>
              </w:rPr>
              <w:t> </w:t>
            </w:r>
            <w:r>
              <w:rPr>
                <w:w w:val="95"/>
                <w:sz w:val="14"/>
              </w:rPr>
              <w:t>y</w:t>
            </w:r>
            <w:r>
              <w:rPr>
                <w:spacing w:val="-23"/>
                <w:w w:val="95"/>
                <w:sz w:val="14"/>
              </w:rPr>
              <w:t> </w:t>
            </w:r>
            <w:r>
              <w:rPr>
                <w:w w:val="95"/>
                <w:sz w:val="14"/>
              </w:rPr>
              <w:t>79625000-1</w:t>
            </w:r>
            <w:r>
              <w:rPr>
                <w:spacing w:val="-24"/>
                <w:w w:val="95"/>
                <w:sz w:val="14"/>
              </w:rPr>
              <w:t> </w:t>
            </w:r>
            <w:r>
              <w:rPr>
                <w:w w:val="95"/>
                <w:sz w:val="14"/>
              </w:rPr>
              <w:t>[Servicios</w:t>
            </w:r>
            <w:r>
              <w:rPr>
                <w:spacing w:val="-24"/>
                <w:w w:val="95"/>
                <w:sz w:val="14"/>
              </w:rPr>
              <w:t> </w:t>
            </w:r>
            <w:r>
              <w:rPr>
                <w:w w:val="95"/>
                <w:sz w:val="14"/>
              </w:rPr>
              <w:t>de</w:t>
            </w:r>
            <w:r>
              <w:rPr>
                <w:spacing w:val="-24"/>
                <w:w w:val="95"/>
                <w:sz w:val="14"/>
              </w:rPr>
              <w:t> </w:t>
            </w:r>
            <w:r>
              <w:rPr>
                <w:w w:val="95"/>
                <w:sz w:val="14"/>
              </w:rPr>
              <w:t>suministro</w:t>
            </w:r>
            <w:r>
              <w:rPr>
                <w:spacing w:val="-23"/>
                <w:w w:val="95"/>
                <w:sz w:val="14"/>
              </w:rPr>
              <w:t> </w:t>
            </w:r>
            <w:r>
              <w:rPr>
                <w:w w:val="95"/>
                <w:sz w:val="14"/>
              </w:rPr>
              <w:t>de</w:t>
            </w:r>
            <w:r>
              <w:rPr>
                <w:spacing w:val="-24"/>
                <w:w w:val="95"/>
                <w:sz w:val="14"/>
              </w:rPr>
              <w:t> </w:t>
            </w:r>
            <w:r>
              <w:rPr>
                <w:w w:val="95"/>
                <w:sz w:val="14"/>
              </w:rPr>
              <w:t>personal</w:t>
            </w:r>
            <w:r>
              <w:rPr>
                <w:spacing w:val="-24"/>
                <w:w w:val="95"/>
                <w:sz w:val="14"/>
              </w:rPr>
              <w:t> </w:t>
            </w:r>
            <w:r>
              <w:rPr>
                <w:w w:val="95"/>
                <w:sz w:val="14"/>
              </w:rPr>
              <w:t>médico]</w:t>
            </w:r>
            <w:r>
              <w:rPr>
                <w:spacing w:val="-24"/>
                <w:w w:val="95"/>
                <w:sz w:val="14"/>
              </w:rPr>
              <w:t> </w:t>
            </w:r>
            <w:r>
              <w:rPr>
                <w:w w:val="95"/>
                <w:sz w:val="14"/>
              </w:rPr>
              <w:t>de</w:t>
            </w:r>
            <w:r>
              <w:rPr>
                <w:spacing w:val="-23"/>
                <w:w w:val="95"/>
                <w:sz w:val="14"/>
              </w:rPr>
              <w:t> </w:t>
            </w:r>
            <w:r>
              <w:rPr>
                <w:w w:val="95"/>
                <w:sz w:val="14"/>
              </w:rPr>
              <w:t>85000000-9</w:t>
            </w:r>
            <w:r>
              <w:rPr>
                <w:spacing w:val="-24"/>
                <w:w w:val="95"/>
                <w:sz w:val="14"/>
              </w:rPr>
              <w:t> </w:t>
            </w:r>
            <w:r>
              <w:rPr>
                <w:w w:val="95"/>
                <w:sz w:val="14"/>
              </w:rPr>
              <w:t>a </w:t>
            </w:r>
            <w:r>
              <w:rPr>
                <w:w w:val="90"/>
                <w:sz w:val="14"/>
              </w:rPr>
              <w:t>85323000-9; 98133100-5, 98133000-4; 98200000-5 y; 98500000-8 [Casas particulares con personas empleadas] y 98513000-2 a 98514000-9</w:t>
            </w:r>
            <w:r>
              <w:rPr>
                <w:spacing w:val="-14"/>
                <w:w w:val="90"/>
                <w:sz w:val="14"/>
              </w:rPr>
              <w:t> </w:t>
            </w:r>
            <w:r>
              <w:rPr>
                <w:w w:val="90"/>
                <w:sz w:val="14"/>
              </w:rPr>
              <w:t>[Servicios</w:t>
            </w:r>
            <w:r>
              <w:rPr>
                <w:spacing w:val="-13"/>
                <w:w w:val="90"/>
                <w:sz w:val="14"/>
              </w:rPr>
              <w:t> </w:t>
            </w:r>
            <w:r>
              <w:rPr>
                <w:w w:val="90"/>
                <w:sz w:val="14"/>
              </w:rPr>
              <w:t>de</w:t>
            </w:r>
            <w:r>
              <w:rPr>
                <w:spacing w:val="-13"/>
                <w:w w:val="90"/>
                <w:sz w:val="14"/>
              </w:rPr>
              <w:t> </w:t>
            </w:r>
            <w:r>
              <w:rPr>
                <w:w w:val="90"/>
                <w:sz w:val="14"/>
              </w:rPr>
              <w:t>mano</w:t>
            </w:r>
            <w:r>
              <w:rPr>
                <w:spacing w:val="-14"/>
                <w:w w:val="90"/>
                <w:sz w:val="14"/>
              </w:rPr>
              <w:t> </w:t>
            </w:r>
            <w:r>
              <w:rPr>
                <w:w w:val="90"/>
                <w:sz w:val="14"/>
              </w:rPr>
              <w:t>de</w:t>
            </w:r>
            <w:r>
              <w:rPr>
                <w:spacing w:val="-13"/>
                <w:w w:val="90"/>
                <w:sz w:val="14"/>
              </w:rPr>
              <w:t> </w:t>
            </w:r>
            <w:r>
              <w:rPr>
                <w:w w:val="90"/>
                <w:sz w:val="14"/>
              </w:rPr>
              <w:t>obra</w:t>
            </w:r>
            <w:r>
              <w:rPr>
                <w:spacing w:val="-13"/>
                <w:w w:val="90"/>
                <w:sz w:val="14"/>
              </w:rPr>
              <w:t> </w:t>
            </w:r>
            <w:r>
              <w:rPr>
                <w:w w:val="90"/>
                <w:sz w:val="14"/>
              </w:rPr>
              <w:t>para</w:t>
            </w:r>
            <w:r>
              <w:rPr>
                <w:spacing w:val="-14"/>
                <w:w w:val="90"/>
                <w:sz w:val="14"/>
              </w:rPr>
              <w:t> </w:t>
            </w:r>
            <w:r>
              <w:rPr>
                <w:w w:val="90"/>
                <w:sz w:val="14"/>
              </w:rPr>
              <w:t>hogares,</w:t>
            </w:r>
            <w:r>
              <w:rPr>
                <w:spacing w:val="-13"/>
                <w:w w:val="90"/>
                <w:sz w:val="14"/>
              </w:rPr>
              <w:t> </w:t>
            </w:r>
            <w:r>
              <w:rPr>
                <w:w w:val="90"/>
                <w:sz w:val="14"/>
              </w:rPr>
              <w:t>Servicios</w:t>
            </w:r>
            <w:r>
              <w:rPr>
                <w:spacing w:val="-13"/>
                <w:w w:val="90"/>
                <w:sz w:val="14"/>
              </w:rPr>
              <w:t> </w:t>
            </w:r>
            <w:r>
              <w:rPr>
                <w:w w:val="90"/>
                <w:sz w:val="14"/>
              </w:rPr>
              <w:t>de</w:t>
            </w:r>
            <w:r>
              <w:rPr>
                <w:spacing w:val="-14"/>
                <w:w w:val="90"/>
                <w:sz w:val="14"/>
              </w:rPr>
              <w:t> </w:t>
            </w:r>
            <w:r>
              <w:rPr>
                <w:w w:val="90"/>
                <w:sz w:val="14"/>
              </w:rPr>
              <w:t>personal</w:t>
            </w:r>
            <w:r>
              <w:rPr>
                <w:spacing w:val="-13"/>
                <w:w w:val="90"/>
                <w:sz w:val="14"/>
              </w:rPr>
              <w:t> </w:t>
            </w:r>
            <w:r>
              <w:rPr>
                <w:w w:val="90"/>
                <w:sz w:val="14"/>
              </w:rPr>
              <w:t>de</w:t>
            </w:r>
            <w:r>
              <w:rPr>
                <w:spacing w:val="-14"/>
                <w:w w:val="90"/>
                <w:sz w:val="14"/>
              </w:rPr>
              <w:t> </w:t>
            </w:r>
            <w:r>
              <w:rPr>
                <w:w w:val="90"/>
                <w:sz w:val="14"/>
              </w:rPr>
              <w:t>agencia</w:t>
            </w:r>
            <w:r>
              <w:rPr>
                <w:spacing w:val="-13"/>
                <w:w w:val="90"/>
                <w:sz w:val="14"/>
              </w:rPr>
              <w:t> </w:t>
            </w:r>
            <w:r>
              <w:rPr>
                <w:w w:val="90"/>
                <w:sz w:val="14"/>
              </w:rPr>
              <w:t>para</w:t>
            </w:r>
            <w:r>
              <w:rPr>
                <w:spacing w:val="-13"/>
                <w:w w:val="90"/>
                <w:sz w:val="14"/>
              </w:rPr>
              <w:t> </w:t>
            </w:r>
            <w:r>
              <w:rPr>
                <w:w w:val="90"/>
                <w:sz w:val="14"/>
              </w:rPr>
              <w:t>hogares,</w:t>
            </w:r>
            <w:r>
              <w:rPr>
                <w:spacing w:val="-14"/>
                <w:w w:val="90"/>
                <w:sz w:val="14"/>
              </w:rPr>
              <w:t> </w:t>
            </w:r>
            <w:r>
              <w:rPr>
                <w:w w:val="90"/>
                <w:sz w:val="14"/>
              </w:rPr>
              <w:t>Servicios</w:t>
            </w:r>
            <w:r>
              <w:rPr>
                <w:spacing w:val="-13"/>
                <w:w w:val="90"/>
                <w:sz w:val="14"/>
              </w:rPr>
              <w:t> </w:t>
            </w:r>
            <w:r>
              <w:rPr>
                <w:w w:val="90"/>
                <w:sz w:val="14"/>
              </w:rPr>
              <w:t>de</w:t>
            </w:r>
            <w:r>
              <w:rPr>
                <w:spacing w:val="-13"/>
                <w:w w:val="90"/>
                <w:sz w:val="14"/>
              </w:rPr>
              <w:t> </w:t>
            </w:r>
            <w:r>
              <w:rPr>
                <w:w w:val="90"/>
                <w:sz w:val="14"/>
              </w:rPr>
              <w:t>personal</w:t>
            </w:r>
            <w:r>
              <w:rPr>
                <w:spacing w:val="-14"/>
                <w:w w:val="90"/>
                <w:sz w:val="14"/>
              </w:rPr>
              <w:t> </w:t>
            </w:r>
            <w:r>
              <w:rPr>
                <w:w w:val="90"/>
                <w:sz w:val="14"/>
              </w:rPr>
              <w:t>de</w:t>
            </w:r>
            <w:r>
              <w:rPr>
                <w:spacing w:val="-13"/>
                <w:w w:val="90"/>
                <w:sz w:val="14"/>
              </w:rPr>
              <w:t> </w:t>
            </w:r>
            <w:r>
              <w:rPr>
                <w:w w:val="90"/>
                <w:sz w:val="14"/>
              </w:rPr>
              <w:t>oficina </w:t>
            </w:r>
            <w:r>
              <w:rPr>
                <w:w w:val="95"/>
                <w:sz w:val="14"/>
              </w:rPr>
              <w:t>para</w:t>
            </w:r>
            <w:r>
              <w:rPr>
                <w:spacing w:val="-14"/>
                <w:w w:val="95"/>
                <w:sz w:val="14"/>
              </w:rPr>
              <w:t> </w:t>
            </w:r>
            <w:r>
              <w:rPr>
                <w:w w:val="95"/>
                <w:sz w:val="14"/>
              </w:rPr>
              <w:t>hogares,</w:t>
            </w:r>
            <w:r>
              <w:rPr>
                <w:spacing w:val="-13"/>
                <w:w w:val="95"/>
                <w:sz w:val="14"/>
              </w:rPr>
              <w:t> </w:t>
            </w:r>
            <w:r>
              <w:rPr>
                <w:w w:val="95"/>
                <w:sz w:val="14"/>
              </w:rPr>
              <w:t>Personal</w:t>
            </w:r>
            <w:r>
              <w:rPr>
                <w:spacing w:val="-13"/>
                <w:w w:val="95"/>
                <w:sz w:val="14"/>
              </w:rPr>
              <w:t> </w:t>
            </w:r>
            <w:r>
              <w:rPr>
                <w:w w:val="95"/>
                <w:sz w:val="14"/>
              </w:rPr>
              <w:t>interino</w:t>
            </w:r>
            <w:r>
              <w:rPr>
                <w:spacing w:val="-14"/>
                <w:w w:val="95"/>
                <w:sz w:val="14"/>
              </w:rPr>
              <w:t> </w:t>
            </w:r>
            <w:r>
              <w:rPr>
                <w:w w:val="95"/>
                <w:sz w:val="14"/>
              </w:rPr>
              <w:t>para</w:t>
            </w:r>
            <w:r>
              <w:rPr>
                <w:spacing w:val="-13"/>
                <w:w w:val="95"/>
                <w:sz w:val="14"/>
              </w:rPr>
              <w:t> </w:t>
            </w:r>
            <w:r>
              <w:rPr>
                <w:w w:val="95"/>
                <w:sz w:val="14"/>
              </w:rPr>
              <w:t>hogares,</w:t>
            </w:r>
            <w:r>
              <w:rPr>
                <w:spacing w:val="-13"/>
                <w:w w:val="95"/>
                <w:sz w:val="14"/>
              </w:rPr>
              <w:t> </w:t>
            </w:r>
            <w:r>
              <w:rPr>
                <w:w w:val="95"/>
                <w:sz w:val="14"/>
              </w:rPr>
              <w:t>Servicios</w:t>
            </w:r>
            <w:r>
              <w:rPr>
                <w:spacing w:val="-14"/>
                <w:w w:val="95"/>
                <w:sz w:val="14"/>
              </w:rPr>
              <w:t> </w:t>
            </w:r>
            <w:r>
              <w:rPr>
                <w:w w:val="95"/>
                <w:sz w:val="14"/>
              </w:rPr>
              <w:t>de</w:t>
            </w:r>
            <w:r>
              <w:rPr>
                <w:spacing w:val="-13"/>
                <w:w w:val="95"/>
                <w:sz w:val="14"/>
              </w:rPr>
              <w:t> </w:t>
            </w:r>
            <w:r>
              <w:rPr>
                <w:w w:val="95"/>
                <w:sz w:val="14"/>
              </w:rPr>
              <w:t>ayuda</w:t>
            </w:r>
            <w:r>
              <w:rPr>
                <w:spacing w:val="-13"/>
                <w:w w:val="95"/>
                <w:sz w:val="14"/>
              </w:rPr>
              <w:t> </w:t>
            </w:r>
            <w:r>
              <w:rPr>
                <w:w w:val="95"/>
                <w:sz w:val="14"/>
              </w:rPr>
              <w:t>en</w:t>
            </w:r>
            <w:r>
              <w:rPr>
                <w:spacing w:val="-13"/>
                <w:w w:val="95"/>
                <w:sz w:val="14"/>
              </w:rPr>
              <w:t> </w:t>
            </w:r>
            <w:r>
              <w:rPr>
                <w:w w:val="95"/>
                <w:sz w:val="14"/>
              </w:rPr>
              <w:t>tareas</w:t>
            </w:r>
            <w:r>
              <w:rPr>
                <w:spacing w:val="-14"/>
                <w:w w:val="95"/>
                <w:sz w:val="14"/>
              </w:rPr>
              <w:t> </w:t>
            </w:r>
            <w:r>
              <w:rPr>
                <w:w w:val="95"/>
                <w:sz w:val="14"/>
              </w:rPr>
              <w:t>domésticas</w:t>
            </w:r>
            <w:r>
              <w:rPr>
                <w:spacing w:val="-13"/>
                <w:w w:val="95"/>
                <w:sz w:val="14"/>
              </w:rPr>
              <w:t> </w:t>
            </w:r>
            <w:r>
              <w:rPr>
                <w:w w:val="95"/>
                <w:sz w:val="14"/>
              </w:rPr>
              <w:t>y</w:t>
            </w:r>
            <w:r>
              <w:rPr>
                <w:spacing w:val="-13"/>
                <w:w w:val="95"/>
                <w:sz w:val="14"/>
              </w:rPr>
              <w:t> </w:t>
            </w:r>
            <w:r>
              <w:rPr>
                <w:w w:val="95"/>
                <w:sz w:val="14"/>
              </w:rPr>
              <w:t>Servicios</w:t>
            </w:r>
            <w:r>
              <w:rPr>
                <w:spacing w:val="-14"/>
                <w:w w:val="95"/>
                <w:sz w:val="14"/>
              </w:rPr>
              <w:t> </w:t>
            </w:r>
            <w:r>
              <w:rPr>
                <w:w w:val="95"/>
                <w:sz w:val="14"/>
              </w:rPr>
              <w:t>domésticos].</w:t>
            </w:r>
          </w:p>
        </w:tc>
        <w:tc>
          <w:tcPr>
            <w:tcW w:w="2746" w:type="dxa"/>
            <w:tcBorders>
              <w:left w:val="single" w:sz="4" w:space="0" w:color="CCCCCC"/>
              <w:bottom w:val="single" w:sz="4" w:space="0" w:color="CCCCCC"/>
              <w:right w:val="single" w:sz="4" w:space="0" w:color="CCCCCC"/>
            </w:tcBorders>
          </w:tcPr>
          <w:p>
            <w:pPr>
              <w:pStyle w:val="TableParagraph"/>
              <w:spacing w:before="9"/>
              <w:rPr>
                <w:b/>
                <w:sz w:val="20"/>
              </w:rPr>
            </w:pPr>
          </w:p>
          <w:p>
            <w:pPr>
              <w:pStyle w:val="TableParagraph"/>
              <w:spacing w:line="249" w:lineRule="auto"/>
              <w:ind w:left="40" w:right="442"/>
              <w:rPr>
                <w:sz w:val="14"/>
              </w:rPr>
            </w:pPr>
            <w:r>
              <w:rPr>
                <w:w w:val="90"/>
                <w:sz w:val="14"/>
              </w:rPr>
              <w:t>Servicios sociales y de salud y servicios </w:t>
            </w:r>
            <w:r>
              <w:rPr>
                <w:sz w:val="14"/>
              </w:rPr>
              <w:t>conexos.</w:t>
            </w:r>
          </w:p>
        </w:tc>
      </w:tr>
      <w:tr>
        <w:trPr>
          <w:trHeight w:val="1003"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w w:val="90"/>
                <w:sz w:val="14"/>
              </w:rPr>
              <w:t>85321000-5 y 85322000-2, 75000000-6 [Servicios de administración pública, defensa y servicios de seguridad social], 75121000-0,</w:t>
            </w:r>
          </w:p>
          <w:p>
            <w:pPr>
              <w:pStyle w:val="TableParagraph"/>
              <w:spacing w:before="7"/>
              <w:ind w:left="40"/>
              <w:rPr>
                <w:sz w:val="14"/>
              </w:rPr>
            </w:pPr>
            <w:r>
              <w:rPr>
                <w:w w:val="95"/>
                <w:sz w:val="14"/>
              </w:rPr>
              <w:t>75122000-7,</w:t>
            </w:r>
            <w:r>
              <w:rPr>
                <w:spacing w:val="-24"/>
                <w:w w:val="95"/>
                <w:sz w:val="14"/>
              </w:rPr>
              <w:t> </w:t>
            </w:r>
            <w:r>
              <w:rPr>
                <w:w w:val="95"/>
                <w:sz w:val="14"/>
              </w:rPr>
              <w:t>75124000-1;</w:t>
            </w:r>
            <w:r>
              <w:rPr>
                <w:spacing w:val="-23"/>
                <w:w w:val="95"/>
                <w:sz w:val="14"/>
              </w:rPr>
              <w:t> </w:t>
            </w:r>
            <w:r>
              <w:rPr>
                <w:w w:val="95"/>
                <w:sz w:val="14"/>
              </w:rPr>
              <w:t>de</w:t>
            </w:r>
            <w:r>
              <w:rPr>
                <w:spacing w:val="-23"/>
                <w:w w:val="95"/>
                <w:sz w:val="14"/>
              </w:rPr>
              <w:t> </w:t>
            </w:r>
            <w:r>
              <w:rPr>
                <w:w w:val="95"/>
                <w:sz w:val="14"/>
              </w:rPr>
              <w:t>79995000-5</w:t>
            </w:r>
            <w:r>
              <w:rPr>
                <w:spacing w:val="-23"/>
                <w:w w:val="95"/>
                <w:sz w:val="14"/>
              </w:rPr>
              <w:t> </w:t>
            </w:r>
            <w:r>
              <w:rPr>
                <w:w w:val="95"/>
                <w:sz w:val="14"/>
              </w:rPr>
              <w:t>a</w:t>
            </w:r>
            <w:r>
              <w:rPr>
                <w:spacing w:val="-23"/>
                <w:w w:val="95"/>
                <w:sz w:val="14"/>
              </w:rPr>
              <w:t> </w:t>
            </w:r>
            <w:r>
              <w:rPr>
                <w:w w:val="95"/>
                <w:sz w:val="14"/>
              </w:rPr>
              <w:t>79995200-7;</w:t>
            </w:r>
            <w:r>
              <w:rPr>
                <w:spacing w:val="-23"/>
                <w:w w:val="95"/>
                <w:sz w:val="14"/>
              </w:rPr>
              <w:t> </w:t>
            </w:r>
            <w:r>
              <w:rPr>
                <w:w w:val="95"/>
                <w:sz w:val="14"/>
              </w:rPr>
              <w:t>de</w:t>
            </w:r>
            <w:r>
              <w:rPr>
                <w:spacing w:val="-23"/>
                <w:w w:val="95"/>
                <w:sz w:val="14"/>
              </w:rPr>
              <w:t> </w:t>
            </w:r>
            <w:r>
              <w:rPr>
                <w:w w:val="95"/>
                <w:sz w:val="14"/>
              </w:rPr>
              <w:t>80000000-4</w:t>
            </w:r>
            <w:r>
              <w:rPr>
                <w:spacing w:val="-23"/>
                <w:w w:val="95"/>
                <w:sz w:val="14"/>
              </w:rPr>
              <w:t> </w:t>
            </w:r>
            <w:r>
              <w:rPr>
                <w:w w:val="95"/>
                <w:sz w:val="14"/>
              </w:rPr>
              <w:t>Servicios</w:t>
            </w:r>
            <w:r>
              <w:rPr>
                <w:spacing w:val="-23"/>
                <w:w w:val="95"/>
                <w:sz w:val="14"/>
              </w:rPr>
              <w:t> </w:t>
            </w:r>
            <w:r>
              <w:rPr>
                <w:w w:val="95"/>
                <w:sz w:val="14"/>
              </w:rPr>
              <w:t>educativos</w:t>
            </w:r>
            <w:r>
              <w:rPr>
                <w:spacing w:val="-23"/>
                <w:w w:val="95"/>
                <w:sz w:val="14"/>
              </w:rPr>
              <w:t> </w:t>
            </w:r>
            <w:r>
              <w:rPr>
                <w:w w:val="95"/>
                <w:sz w:val="14"/>
              </w:rPr>
              <w:t>y</w:t>
            </w:r>
            <w:r>
              <w:rPr>
                <w:spacing w:val="-23"/>
                <w:w w:val="95"/>
                <w:sz w:val="14"/>
              </w:rPr>
              <w:t> </w:t>
            </w:r>
            <w:r>
              <w:rPr>
                <w:w w:val="95"/>
                <w:sz w:val="14"/>
              </w:rPr>
              <w:t>de</w:t>
            </w:r>
            <w:r>
              <w:rPr>
                <w:spacing w:val="-23"/>
                <w:w w:val="95"/>
                <w:sz w:val="14"/>
              </w:rPr>
              <w:t> </w:t>
            </w:r>
            <w:r>
              <w:rPr>
                <w:w w:val="95"/>
                <w:sz w:val="14"/>
              </w:rPr>
              <w:t>formación</w:t>
            </w:r>
            <w:r>
              <w:rPr>
                <w:spacing w:val="-23"/>
                <w:w w:val="95"/>
                <w:sz w:val="14"/>
              </w:rPr>
              <w:t> </w:t>
            </w:r>
            <w:r>
              <w:rPr>
                <w:w w:val="95"/>
                <w:sz w:val="14"/>
              </w:rPr>
              <w:t>a</w:t>
            </w:r>
            <w:r>
              <w:rPr>
                <w:spacing w:val="-23"/>
                <w:w w:val="95"/>
                <w:sz w:val="14"/>
              </w:rPr>
              <w:t> </w:t>
            </w:r>
            <w:r>
              <w:rPr>
                <w:w w:val="95"/>
                <w:sz w:val="14"/>
              </w:rPr>
              <w:t>80660000-8;</w:t>
            </w:r>
            <w:r>
              <w:rPr>
                <w:spacing w:val="-23"/>
                <w:w w:val="95"/>
                <w:sz w:val="14"/>
              </w:rPr>
              <w:t> </w:t>
            </w:r>
            <w:r>
              <w:rPr>
                <w:w w:val="95"/>
                <w:sz w:val="14"/>
              </w:rPr>
              <w:t>de</w:t>
            </w:r>
          </w:p>
          <w:p>
            <w:pPr>
              <w:pStyle w:val="TableParagraph"/>
              <w:spacing w:line="249" w:lineRule="auto" w:before="7"/>
              <w:ind w:left="40" w:right="52"/>
              <w:rPr>
                <w:sz w:val="14"/>
              </w:rPr>
            </w:pPr>
            <w:r>
              <w:rPr>
                <w:w w:val="90"/>
                <w:sz w:val="14"/>
              </w:rPr>
              <w:t>92000000-1</w:t>
            </w:r>
            <w:r>
              <w:rPr>
                <w:spacing w:val="-17"/>
                <w:w w:val="90"/>
                <w:sz w:val="14"/>
              </w:rPr>
              <w:t> </w:t>
            </w:r>
            <w:r>
              <w:rPr>
                <w:w w:val="90"/>
                <w:sz w:val="14"/>
              </w:rPr>
              <w:t>a</w:t>
            </w:r>
            <w:r>
              <w:rPr>
                <w:spacing w:val="-17"/>
                <w:w w:val="90"/>
                <w:sz w:val="14"/>
              </w:rPr>
              <w:t> </w:t>
            </w:r>
            <w:r>
              <w:rPr>
                <w:w w:val="90"/>
                <w:sz w:val="14"/>
              </w:rPr>
              <w:t>92342200-2;</w:t>
            </w:r>
            <w:r>
              <w:rPr>
                <w:spacing w:val="-17"/>
                <w:w w:val="90"/>
                <w:sz w:val="14"/>
              </w:rPr>
              <w:t> </w:t>
            </w:r>
            <w:r>
              <w:rPr>
                <w:w w:val="90"/>
                <w:sz w:val="14"/>
              </w:rPr>
              <w:t>de</w:t>
            </w:r>
            <w:r>
              <w:rPr>
                <w:spacing w:val="-16"/>
                <w:w w:val="90"/>
                <w:sz w:val="14"/>
              </w:rPr>
              <w:t> </w:t>
            </w:r>
            <w:r>
              <w:rPr>
                <w:w w:val="90"/>
                <w:sz w:val="14"/>
              </w:rPr>
              <w:t>92360000-2</w:t>
            </w:r>
            <w:r>
              <w:rPr>
                <w:spacing w:val="-17"/>
                <w:w w:val="90"/>
                <w:sz w:val="14"/>
              </w:rPr>
              <w:t> </w:t>
            </w:r>
            <w:r>
              <w:rPr>
                <w:w w:val="90"/>
                <w:sz w:val="14"/>
              </w:rPr>
              <w:t>a</w:t>
            </w:r>
            <w:r>
              <w:rPr>
                <w:spacing w:val="-17"/>
                <w:w w:val="90"/>
                <w:sz w:val="14"/>
              </w:rPr>
              <w:t> </w:t>
            </w:r>
            <w:r>
              <w:rPr>
                <w:w w:val="90"/>
                <w:sz w:val="14"/>
              </w:rPr>
              <w:t>92700000-8;</w:t>
            </w:r>
            <w:r>
              <w:rPr>
                <w:spacing w:val="-16"/>
                <w:w w:val="90"/>
                <w:sz w:val="14"/>
              </w:rPr>
              <w:t> </w:t>
            </w:r>
            <w:r>
              <w:rPr>
                <w:w w:val="90"/>
                <w:sz w:val="14"/>
              </w:rPr>
              <w:t>79950000-8</w:t>
            </w:r>
            <w:r>
              <w:rPr>
                <w:spacing w:val="-17"/>
                <w:w w:val="90"/>
                <w:sz w:val="14"/>
              </w:rPr>
              <w:t> </w:t>
            </w:r>
            <w:r>
              <w:rPr>
                <w:w w:val="90"/>
                <w:sz w:val="14"/>
              </w:rPr>
              <w:t>[Servicios</w:t>
            </w:r>
            <w:r>
              <w:rPr>
                <w:spacing w:val="-17"/>
                <w:w w:val="90"/>
                <w:sz w:val="14"/>
              </w:rPr>
              <w:t> </w:t>
            </w:r>
            <w:r>
              <w:rPr>
                <w:w w:val="90"/>
                <w:sz w:val="14"/>
              </w:rPr>
              <w:t>de</w:t>
            </w:r>
            <w:r>
              <w:rPr>
                <w:spacing w:val="-16"/>
                <w:w w:val="90"/>
                <w:sz w:val="14"/>
              </w:rPr>
              <w:t> </w:t>
            </w:r>
            <w:r>
              <w:rPr>
                <w:w w:val="90"/>
                <w:sz w:val="14"/>
              </w:rPr>
              <w:t>organización</w:t>
            </w:r>
            <w:r>
              <w:rPr>
                <w:spacing w:val="-17"/>
                <w:w w:val="90"/>
                <w:sz w:val="14"/>
              </w:rPr>
              <w:t> </w:t>
            </w:r>
            <w:r>
              <w:rPr>
                <w:w w:val="90"/>
                <w:sz w:val="14"/>
              </w:rPr>
              <w:t>de</w:t>
            </w:r>
            <w:r>
              <w:rPr>
                <w:spacing w:val="-17"/>
                <w:w w:val="90"/>
                <w:sz w:val="14"/>
              </w:rPr>
              <w:t> </w:t>
            </w:r>
            <w:r>
              <w:rPr>
                <w:w w:val="90"/>
                <w:sz w:val="14"/>
              </w:rPr>
              <w:t>exposiciones,</w:t>
            </w:r>
            <w:r>
              <w:rPr>
                <w:spacing w:val="-16"/>
                <w:w w:val="90"/>
                <w:sz w:val="14"/>
              </w:rPr>
              <w:t> </w:t>
            </w:r>
            <w:r>
              <w:rPr>
                <w:w w:val="90"/>
                <w:sz w:val="14"/>
              </w:rPr>
              <w:t>ferias</w:t>
            </w:r>
            <w:r>
              <w:rPr>
                <w:spacing w:val="-17"/>
                <w:w w:val="90"/>
                <w:sz w:val="14"/>
              </w:rPr>
              <w:t> </w:t>
            </w:r>
            <w:r>
              <w:rPr>
                <w:w w:val="90"/>
                <w:sz w:val="14"/>
              </w:rPr>
              <w:t>y</w:t>
            </w:r>
            <w:r>
              <w:rPr>
                <w:spacing w:val="-17"/>
                <w:w w:val="90"/>
                <w:sz w:val="14"/>
              </w:rPr>
              <w:t> </w:t>
            </w:r>
            <w:r>
              <w:rPr>
                <w:w w:val="90"/>
                <w:sz w:val="14"/>
              </w:rPr>
              <w:t>congresos], 79951000-5</w:t>
            </w:r>
            <w:r>
              <w:rPr>
                <w:spacing w:val="-14"/>
                <w:w w:val="90"/>
                <w:sz w:val="14"/>
              </w:rPr>
              <w:t> </w:t>
            </w:r>
            <w:r>
              <w:rPr>
                <w:w w:val="90"/>
                <w:sz w:val="14"/>
              </w:rPr>
              <w:t>[Servicio</w:t>
            </w:r>
            <w:r>
              <w:rPr>
                <w:spacing w:val="-14"/>
                <w:w w:val="90"/>
                <w:sz w:val="14"/>
              </w:rPr>
              <w:t> </w:t>
            </w:r>
            <w:r>
              <w:rPr>
                <w:w w:val="90"/>
                <w:sz w:val="14"/>
              </w:rPr>
              <w:t>de</w:t>
            </w:r>
            <w:r>
              <w:rPr>
                <w:spacing w:val="-13"/>
                <w:w w:val="90"/>
                <w:sz w:val="14"/>
              </w:rPr>
              <w:t> </w:t>
            </w:r>
            <w:r>
              <w:rPr>
                <w:w w:val="90"/>
                <w:sz w:val="14"/>
              </w:rPr>
              <w:t>organización</w:t>
            </w:r>
            <w:r>
              <w:rPr>
                <w:spacing w:val="-14"/>
                <w:w w:val="90"/>
                <w:sz w:val="14"/>
              </w:rPr>
              <w:t> </w:t>
            </w:r>
            <w:r>
              <w:rPr>
                <w:w w:val="90"/>
                <w:sz w:val="14"/>
              </w:rPr>
              <w:t>de</w:t>
            </w:r>
            <w:r>
              <w:rPr>
                <w:spacing w:val="-13"/>
                <w:w w:val="90"/>
                <w:sz w:val="14"/>
              </w:rPr>
              <w:t> </w:t>
            </w:r>
            <w:r>
              <w:rPr>
                <w:w w:val="90"/>
                <w:sz w:val="14"/>
              </w:rPr>
              <w:t>seminarios],</w:t>
            </w:r>
            <w:r>
              <w:rPr>
                <w:spacing w:val="-14"/>
                <w:w w:val="90"/>
                <w:sz w:val="14"/>
              </w:rPr>
              <w:t> </w:t>
            </w:r>
            <w:r>
              <w:rPr>
                <w:w w:val="90"/>
                <w:sz w:val="14"/>
              </w:rPr>
              <w:t>79952000-2</w:t>
            </w:r>
            <w:r>
              <w:rPr>
                <w:spacing w:val="-13"/>
                <w:w w:val="90"/>
                <w:sz w:val="14"/>
              </w:rPr>
              <w:t> </w:t>
            </w:r>
            <w:r>
              <w:rPr>
                <w:w w:val="90"/>
                <w:sz w:val="14"/>
              </w:rPr>
              <w:t>[Servicios</w:t>
            </w:r>
            <w:r>
              <w:rPr>
                <w:spacing w:val="-14"/>
                <w:w w:val="90"/>
                <w:sz w:val="14"/>
              </w:rPr>
              <w:t> </w:t>
            </w:r>
            <w:r>
              <w:rPr>
                <w:w w:val="90"/>
                <w:sz w:val="14"/>
              </w:rPr>
              <w:t>de</w:t>
            </w:r>
            <w:r>
              <w:rPr>
                <w:spacing w:val="-13"/>
                <w:w w:val="90"/>
                <w:sz w:val="14"/>
              </w:rPr>
              <w:t> </w:t>
            </w:r>
            <w:r>
              <w:rPr>
                <w:w w:val="90"/>
                <w:sz w:val="14"/>
              </w:rPr>
              <w:t>eventos],</w:t>
            </w:r>
            <w:r>
              <w:rPr>
                <w:spacing w:val="-14"/>
                <w:w w:val="90"/>
                <w:sz w:val="14"/>
              </w:rPr>
              <w:t> </w:t>
            </w:r>
            <w:r>
              <w:rPr>
                <w:w w:val="90"/>
                <w:sz w:val="14"/>
              </w:rPr>
              <w:t>79952100-3</w:t>
            </w:r>
            <w:r>
              <w:rPr>
                <w:spacing w:val="-13"/>
                <w:w w:val="90"/>
                <w:sz w:val="14"/>
              </w:rPr>
              <w:t> </w:t>
            </w:r>
            <w:r>
              <w:rPr>
                <w:w w:val="90"/>
                <w:sz w:val="14"/>
              </w:rPr>
              <w:t>[Servicios</w:t>
            </w:r>
            <w:r>
              <w:rPr>
                <w:spacing w:val="-14"/>
                <w:w w:val="90"/>
                <w:sz w:val="14"/>
              </w:rPr>
              <w:t> </w:t>
            </w:r>
            <w:r>
              <w:rPr>
                <w:w w:val="90"/>
                <w:sz w:val="14"/>
              </w:rPr>
              <w:t>de</w:t>
            </w:r>
            <w:r>
              <w:rPr>
                <w:spacing w:val="-13"/>
                <w:w w:val="90"/>
                <w:sz w:val="14"/>
              </w:rPr>
              <w:t> </w:t>
            </w:r>
            <w:r>
              <w:rPr>
                <w:w w:val="90"/>
                <w:sz w:val="14"/>
              </w:rPr>
              <w:t>organización</w:t>
            </w:r>
            <w:r>
              <w:rPr>
                <w:spacing w:val="-14"/>
                <w:w w:val="90"/>
                <w:sz w:val="14"/>
              </w:rPr>
              <w:t> </w:t>
            </w:r>
            <w:r>
              <w:rPr>
                <w:w w:val="90"/>
                <w:sz w:val="14"/>
              </w:rPr>
              <w:t>de </w:t>
            </w:r>
            <w:r>
              <w:rPr>
                <w:w w:val="95"/>
                <w:sz w:val="14"/>
              </w:rPr>
              <w:t>eventos</w:t>
            </w:r>
            <w:r>
              <w:rPr>
                <w:spacing w:val="-22"/>
                <w:w w:val="95"/>
                <w:sz w:val="14"/>
              </w:rPr>
              <w:t> </w:t>
            </w:r>
            <w:r>
              <w:rPr>
                <w:w w:val="95"/>
                <w:sz w:val="14"/>
              </w:rPr>
              <w:t>culturales],</w:t>
            </w:r>
            <w:r>
              <w:rPr>
                <w:spacing w:val="-22"/>
                <w:w w:val="95"/>
                <w:sz w:val="14"/>
              </w:rPr>
              <w:t> </w:t>
            </w:r>
            <w:r>
              <w:rPr>
                <w:w w:val="95"/>
                <w:sz w:val="14"/>
              </w:rPr>
              <w:t>79953000-9</w:t>
            </w:r>
            <w:r>
              <w:rPr>
                <w:spacing w:val="-21"/>
                <w:w w:val="95"/>
                <w:sz w:val="14"/>
              </w:rPr>
              <w:t> </w:t>
            </w:r>
            <w:r>
              <w:rPr>
                <w:w w:val="95"/>
                <w:sz w:val="14"/>
              </w:rPr>
              <w:t>[Servicios</w:t>
            </w:r>
            <w:r>
              <w:rPr>
                <w:spacing w:val="-22"/>
                <w:w w:val="95"/>
                <w:sz w:val="14"/>
              </w:rPr>
              <w:t> </w:t>
            </w:r>
            <w:r>
              <w:rPr>
                <w:w w:val="95"/>
                <w:sz w:val="14"/>
              </w:rPr>
              <w:t>de</w:t>
            </w:r>
            <w:r>
              <w:rPr>
                <w:spacing w:val="-22"/>
                <w:w w:val="95"/>
                <w:sz w:val="14"/>
              </w:rPr>
              <w:t> </w:t>
            </w:r>
            <w:r>
              <w:rPr>
                <w:w w:val="95"/>
                <w:sz w:val="14"/>
              </w:rPr>
              <w:t>organización</w:t>
            </w:r>
            <w:r>
              <w:rPr>
                <w:spacing w:val="-21"/>
                <w:w w:val="95"/>
                <w:sz w:val="14"/>
              </w:rPr>
              <w:t> </w:t>
            </w:r>
            <w:r>
              <w:rPr>
                <w:w w:val="95"/>
                <w:sz w:val="14"/>
              </w:rPr>
              <w:t>de</w:t>
            </w:r>
            <w:r>
              <w:rPr>
                <w:spacing w:val="-22"/>
                <w:w w:val="95"/>
                <w:sz w:val="14"/>
              </w:rPr>
              <w:t> </w:t>
            </w:r>
            <w:r>
              <w:rPr>
                <w:w w:val="95"/>
                <w:sz w:val="14"/>
              </w:rPr>
              <w:t>festivales],</w:t>
            </w:r>
            <w:r>
              <w:rPr>
                <w:spacing w:val="-22"/>
                <w:w w:val="95"/>
                <w:sz w:val="14"/>
              </w:rPr>
              <w:t> </w:t>
            </w:r>
            <w:r>
              <w:rPr>
                <w:w w:val="95"/>
                <w:sz w:val="14"/>
              </w:rPr>
              <w:t>79954000-6</w:t>
            </w:r>
            <w:r>
              <w:rPr>
                <w:spacing w:val="-21"/>
                <w:w w:val="95"/>
                <w:sz w:val="14"/>
              </w:rPr>
              <w:t> </w:t>
            </w:r>
            <w:r>
              <w:rPr>
                <w:w w:val="95"/>
                <w:sz w:val="14"/>
              </w:rPr>
              <w:t>[Servicios</w:t>
            </w:r>
            <w:r>
              <w:rPr>
                <w:spacing w:val="-22"/>
                <w:w w:val="95"/>
                <w:sz w:val="14"/>
              </w:rPr>
              <w:t> </w:t>
            </w:r>
            <w:r>
              <w:rPr>
                <w:w w:val="95"/>
                <w:sz w:val="14"/>
              </w:rPr>
              <w:t>de</w:t>
            </w:r>
            <w:r>
              <w:rPr>
                <w:spacing w:val="-22"/>
                <w:w w:val="95"/>
                <w:sz w:val="14"/>
              </w:rPr>
              <w:t> </w:t>
            </w:r>
            <w:r>
              <w:rPr>
                <w:w w:val="95"/>
                <w:sz w:val="14"/>
              </w:rPr>
              <w:t>organización</w:t>
            </w:r>
            <w:r>
              <w:rPr>
                <w:spacing w:val="-21"/>
                <w:w w:val="95"/>
                <w:sz w:val="14"/>
              </w:rPr>
              <w:t> </w:t>
            </w:r>
            <w:r>
              <w:rPr>
                <w:w w:val="95"/>
                <w:sz w:val="14"/>
              </w:rPr>
              <w:t>de</w:t>
            </w:r>
            <w:r>
              <w:rPr>
                <w:spacing w:val="-22"/>
                <w:w w:val="95"/>
                <w:sz w:val="14"/>
              </w:rPr>
              <w:t> </w:t>
            </w:r>
            <w:r>
              <w:rPr>
                <w:w w:val="95"/>
                <w:sz w:val="14"/>
              </w:rPr>
              <w:t>fiestas],</w:t>
            </w:r>
          </w:p>
          <w:p>
            <w:pPr>
              <w:pStyle w:val="TableParagraph"/>
              <w:spacing w:line="157" w:lineRule="exact" w:before="1"/>
              <w:ind w:left="40"/>
              <w:rPr>
                <w:sz w:val="14"/>
              </w:rPr>
            </w:pPr>
            <w:r>
              <w:rPr>
                <w:w w:val="95"/>
                <w:sz w:val="14"/>
              </w:rPr>
              <w:t>79955000-3</w:t>
            </w:r>
            <w:r>
              <w:rPr>
                <w:spacing w:val="-24"/>
                <w:w w:val="95"/>
                <w:sz w:val="14"/>
              </w:rPr>
              <w:t> </w:t>
            </w:r>
            <w:r>
              <w:rPr>
                <w:w w:val="95"/>
                <w:sz w:val="14"/>
              </w:rPr>
              <w:t>[Servicios</w:t>
            </w:r>
            <w:r>
              <w:rPr>
                <w:spacing w:val="-23"/>
                <w:w w:val="95"/>
                <w:sz w:val="14"/>
              </w:rPr>
              <w:t> </w:t>
            </w:r>
            <w:r>
              <w:rPr>
                <w:w w:val="95"/>
                <w:sz w:val="14"/>
              </w:rPr>
              <w:t>de</w:t>
            </w:r>
            <w:r>
              <w:rPr>
                <w:spacing w:val="-23"/>
                <w:w w:val="95"/>
                <w:sz w:val="14"/>
              </w:rPr>
              <w:t> </w:t>
            </w:r>
            <w:r>
              <w:rPr>
                <w:w w:val="95"/>
                <w:sz w:val="14"/>
              </w:rPr>
              <w:t>organización</w:t>
            </w:r>
            <w:r>
              <w:rPr>
                <w:spacing w:val="-23"/>
                <w:w w:val="95"/>
                <w:sz w:val="14"/>
              </w:rPr>
              <w:t> </w:t>
            </w:r>
            <w:r>
              <w:rPr>
                <w:w w:val="95"/>
                <w:sz w:val="14"/>
              </w:rPr>
              <w:t>de</w:t>
            </w:r>
            <w:r>
              <w:rPr>
                <w:spacing w:val="-23"/>
                <w:w w:val="95"/>
                <w:sz w:val="14"/>
              </w:rPr>
              <w:t> </w:t>
            </w:r>
            <w:r>
              <w:rPr>
                <w:w w:val="95"/>
                <w:sz w:val="14"/>
              </w:rPr>
              <w:t>desfiles</w:t>
            </w:r>
            <w:r>
              <w:rPr>
                <w:spacing w:val="-23"/>
                <w:w w:val="95"/>
                <w:sz w:val="14"/>
              </w:rPr>
              <w:t> </w:t>
            </w:r>
            <w:r>
              <w:rPr>
                <w:w w:val="95"/>
                <w:sz w:val="14"/>
              </w:rPr>
              <w:t>de</w:t>
            </w:r>
            <w:r>
              <w:rPr>
                <w:spacing w:val="-23"/>
                <w:w w:val="95"/>
                <w:sz w:val="14"/>
              </w:rPr>
              <w:t> </w:t>
            </w:r>
            <w:r>
              <w:rPr>
                <w:w w:val="95"/>
                <w:sz w:val="14"/>
              </w:rPr>
              <w:t>modas],</w:t>
            </w:r>
            <w:r>
              <w:rPr>
                <w:spacing w:val="-23"/>
                <w:w w:val="95"/>
                <w:sz w:val="14"/>
              </w:rPr>
              <w:t> </w:t>
            </w:r>
            <w:r>
              <w:rPr>
                <w:w w:val="95"/>
                <w:sz w:val="14"/>
              </w:rPr>
              <w:t>79956000-0</w:t>
            </w:r>
            <w:r>
              <w:rPr>
                <w:spacing w:val="-23"/>
                <w:w w:val="95"/>
                <w:sz w:val="14"/>
              </w:rPr>
              <w:t> </w:t>
            </w:r>
            <w:r>
              <w:rPr>
                <w:w w:val="95"/>
                <w:sz w:val="14"/>
              </w:rPr>
              <w:t>[Servicios</w:t>
            </w:r>
            <w:r>
              <w:rPr>
                <w:spacing w:val="-23"/>
                <w:w w:val="95"/>
                <w:sz w:val="14"/>
              </w:rPr>
              <w:t> </w:t>
            </w:r>
            <w:r>
              <w:rPr>
                <w:w w:val="95"/>
                <w:sz w:val="14"/>
              </w:rPr>
              <w:t>de</w:t>
            </w:r>
            <w:r>
              <w:rPr>
                <w:spacing w:val="-23"/>
                <w:w w:val="95"/>
                <w:sz w:val="14"/>
              </w:rPr>
              <w:t> </w:t>
            </w:r>
            <w:r>
              <w:rPr>
                <w:w w:val="95"/>
                <w:sz w:val="14"/>
              </w:rPr>
              <w:t>organización</w:t>
            </w:r>
            <w:r>
              <w:rPr>
                <w:spacing w:val="-23"/>
                <w:w w:val="95"/>
                <w:sz w:val="14"/>
              </w:rPr>
              <w:t> </w:t>
            </w:r>
            <w:r>
              <w:rPr>
                <w:w w:val="95"/>
                <w:sz w:val="14"/>
              </w:rPr>
              <w:t>de</w:t>
            </w:r>
            <w:r>
              <w:rPr>
                <w:spacing w:val="-23"/>
                <w:w w:val="95"/>
                <w:sz w:val="14"/>
              </w:rPr>
              <w:t> </w:t>
            </w:r>
            <w:r>
              <w:rPr>
                <w:w w:val="95"/>
                <w:sz w:val="14"/>
              </w:rPr>
              <w:t>ferias</w:t>
            </w:r>
            <w:r>
              <w:rPr>
                <w:spacing w:val="-23"/>
                <w:w w:val="95"/>
                <w:sz w:val="14"/>
              </w:rPr>
              <w:t> </w:t>
            </w:r>
            <w:r>
              <w:rPr>
                <w:w w:val="95"/>
                <w:sz w:val="14"/>
              </w:rPr>
              <w:t>y</w:t>
            </w:r>
            <w:r>
              <w:rPr>
                <w:spacing w:val="-23"/>
                <w:w w:val="95"/>
                <w:sz w:val="14"/>
              </w:rPr>
              <w:t> </w:t>
            </w:r>
            <w:r>
              <w:rPr>
                <w:w w:val="95"/>
                <w:sz w:val="14"/>
              </w:rPr>
              <w:t>exposiciones].</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rPr>
                <w:b/>
                <w:sz w:val="18"/>
              </w:rPr>
            </w:pPr>
          </w:p>
          <w:p>
            <w:pPr>
              <w:pStyle w:val="TableParagraph"/>
              <w:spacing w:line="249" w:lineRule="auto" w:before="115"/>
              <w:ind w:left="40"/>
              <w:rPr>
                <w:sz w:val="14"/>
              </w:rPr>
            </w:pPr>
            <w:r>
              <w:rPr>
                <w:w w:val="85"/>
                <w:sz w:val="14"/>
              </w:rPr>
              <w:t>Servicios administrativos sociales, educativos, </w:t>
            </w:r>
            <w:r>
              <w:rPr>
                <w:sz w:val="14"/>
              </w:rPr>
              <w:t>sanitarios y culturales.</w:t>
            </w:r>
          </w:p>
        </w:tc>
      </w:tr>
      <w:tr>
        <w:trPr>
          <w:trHeight w:val="331"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before="70"/>
              <w:ind w:left="40"/>
              <w:rPr>
                <w:sz w:val="14"/>
              </w:rPr>
            </w:pPr>
            <w:r>
              <w:rPr>
                <w:sz w:val="14"/>
              </w:rPr>
              <w:t>75300000-9.</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sz w:val="14"/>
              </w:rPr>
              <w:t>Servicios de seguridad social de afiliación</w:t>
            </w:r>
          </w:p>
          <w:p>
            <w:pPr>
              <w:pStyle w:val="TableParagraph"/>
              <w:spacing w:line="157" w:lineRule="exact" w:before="7"/>
              <w:ind w:left="40"/>
              <w:rPr>
                <w:sz w:val="14"/>
              </w:rPr>
            </w:pPr>
            <w:r>
              <w:rPr>
                <w:sz w:val="14"/>
              </w:rPr>
              <w:t>obligatoria.</w:t>
            </w:r>
          </w:p>
        </w:tc>
      </w:tr>
      <w:tr>
        <w:trPr>
          <w:trHeight w:val="163"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w w:val="95"/>
                <w:sz w:val="14"/>
              </w:rPr>
              <w:t>75310000-2, 75311000-9, 75312000-6, 75313000-3, 75313100-4, 75314000-0, 75320000-5, 75330000-8, 75340000-1.</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Servicios de prestaciones sociales.</w:t>
            </w:r>
          </w:p>
        </w:tc>
      </w:tr>
      <w:tr>
        <w:trPr>
          <w:trHeight w:val="835"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rPr>
                <w:b/>
                <w:sz w:val="18"/>
              </w:rPr>
            </w:pPr>
          </w:p>
          <w:p>
            <w:pPr>
              <w:pStyle w:val="TableParagraph"/>
              <w:spacing w:before="115"/>
              <w:ind w:left="40"/>
              <w:rPr>
                <w:sz w:val="14"/>
              </w:rPr>
            </w:pPr>
            <w:r>
              <w:rPr>
                <w:sz w:val="14"/>
              </w:rPr>
              <w:t>98000000-3, 98120000-0; 98132000-7; 98133110-8 y 98130000-3.</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sz w:val="14"/>
              </w:rPr>
              <w:t>Otros servicios comunitarios, sociales y</w:t>
            </w:r>
          </w:p>
          <w:p>
            <w:pPr>
              <w:pStyle w:val="TableParagraph"/>
              <w:spacing w:line="160" w:lineRule="atLeast" w:before="7"/>
              <w:ind w:left="40" w:right="63"/>
              <w:rPr>
                <w:sz w:val="14"/>
              </w:rPr>
            </w:pPr>
            <w:r>
              <w:rPr>
                <w:w w:val="90"/>
                <w:sz w:val="14"/>
              </w:rPr>
              <w:t>personales,</w:t>
            </w:r>
            <w:r>
              <w:rPr>
                <w:spacing w:val="-19"/>
                <w:w w:val="90"/>
                <w:sz w:val="14"/>
              </w:rPr>
              <w:t> </w:t>
            </w:r>
            <w:r>
              <w:rPr>
                <w:w w:val="90"/>
                <w:sz w:val="14"/>
              </w:rPr>
              <w:t>incluidos</w:t>
            </w:r>
            <w:r>
              <w:rPr>
                <w:spacing w:val="-18"/>
                <w:w w:val="90"/>
                <w:sz w:val="14"/>
              </w:rPr>
              <w:t> </w:t>
            </w:r>
            <w:r>
              <w:rPr>
                <w:w w:val="90"/>
                <w:sz w:val="14"/>
              </w:rPr>
              <w:t>los</w:t>
            </w:r>
            <w:r>
              <w:rPr>
                <w:spacing w:val="-18"/>
                <w:w w:val="90"/>
                <w:sz w:val="14"/>
              </w:rPr>
              <w:t> </w:t>
            </w:r>
            <w:r>
              <w:rPr>
                <w:w w:val="90"/>
                <w:sz w:val="14"/>
              </w:rPr>
              <w:t>servicios</w:t>
            </w:r>
            <w:r>
              <w:rPr>
                <w:spacing w:val="-18"/>
                <w:w w:val="90"/>
                <w:sz w:val="14"/>
              </w:rPr>
              <w:t> </w:t>
            </w:r>
            <w:r>
              <w:rPr>
                <w:w w:val="90"/>
                <w:sz w:val="14"/>
              </w:rPr>
              <w:t>prestados</w:t>
            </w:r>
            <w:r>
              <w:rPr>
                <w:spacing w:val="-18"/>
                <w:w w:val="90"/>
                <w:sz w:val="14"/>
              </w:rPr>
              <w:t> </w:t>
            </w:r>
            <w:r>
              <w:rPr>
                <w:w w:val="90"/>
                <w:sz w:val="14"/>
              </w:rPr>
              <w:t>por </w:t>
            </w:r>
            <w:r>
              <w:rPr>
                <w:sz w:val="14"/>
              </w:rPr>
              <w:t>sindicatos, organizaciones políticas, asociaciones</w:t>
            </w:r>
            <w:r>
              <w:rPr>
                <w:spacing w:val="-27"/>
                <w:sz w:val="14"/>
              </w:rPr>
              <w:t> </w:t>
            </w:r>
            <w:r>
              <w:rPr>
                <w:sz w:val="14"/>
              </w:rPr>
              <w:t>juveniles</w:t>
            </w:r>
            <w:r>
              <w:rPr>
                <w:spacing w:val="-26"/>
                <w:sz w:val="14"/>
              </w:rPr>
              <w:t> </w:t>
            </w:r>
            <w:r>
              <w:rPr>
                <w:sz w:val="14"/>
              </w:rPr>
              <w:t>y</w:t>
            </w:r>
            <w:r>
              <w:rPr>
                <w:spacing w:val="-26"/>
                <w:sz w:val="14"/>
              </w:rPr>
              <w:t> </w:t>
            </w:r>
            <w:r>
              <w:rPr>
                <w:sz w:val="14"/>
              </w:rPr>
              <w:t>otros</w:t>
            </w:r>
            <w:r>
              <w:rPr>
                <w:spacing w:val="-27"/>
                <w:sz w:val="14"/>
              </w:rPr>
              <w:t> </w:t>
            </w:r>
            <w:r>
              <w:rPr>
                <w:sz w:val="14"/>
              </w:rPr>
              <w:t>servicios</w:t>
            </w:r>
            <w:r>
              <w:rPr>
                <w:spacing w:val="-26"/>
                <w:sz w:val="14"/>
              </w:rPr>
              <w:t> </w:t>
            </w:r>
            <w:r>
              <w:rPr>
                <w:sz w:val="14"/>
              </w:rPr>
              <w:t>de organizaciones</w:t>
            </w:r>
            <w:r>
              <w:rPr>
                <w:spacing w:val="-12"/>
                <w:sz w:val="14"/>
              </w:rPr>
              <w:t> </w:t>
            </w:r>
            <w:r>
              <w:rPr>
                <w:sz w:val="14"/>
              </w:rPr>
              <w:t>asociativas.</w:t>
            </w:r>
          </w:p>
        </w:tc>
      </w:tr>
      <w:tr>
        <w:trPr>
          <w:trHeight w:val="163"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98131000-0.</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Servicios religiosos</w:t>
            </w:r>
          </w:p>
        </w:tc>
      </w:tr>
      <w:tr>
        <w:trPr>
          <w:trHeight w:val="1003"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w w:val="90"/>
                <w:sz w:val="14"/>
              </w:rPr>
              <w:t>55100000-1 a 55410000-7 55521000-8 a 55521200-0 [55521000-8 Servicios de suministro de comidas para hogares, 55521100-9</w:t>
            </w:r>
          </w:p>
          <w:p>
            <w:pPr>
              <w:pStyle w:val="TableParagraph"/>
              <w:spacing w:line="160" w:lineRule="atLeast" w:before="7"/>
              <w:ind w:left="40" w:right="37"/>
              <w:rPr>
                <w:sz w:val="14"/>
              </w:rPr>
            </w:pPr>
            <w:r>
              <w:rPr>
                <w:w w:val="95"/>
                <w:sz w:val="14"/>
              </w:rPr>
              <w:t>Servicios</w:t>
            </w:r>
            <w:r>
              <w:rPr>
                <w:spacing w:val="-22"/>
                <w:w w:val="95"/>
                <w:sz w:val="14"/>
              </w:rPr>
              <w:t> </w:t>
            </w:r>
            <w:r>
              <w:rPr>
                <w:w w:val="95"/>
                <w:sz w:val="14"/>
              </w:rPr>
              <w:t>de</w:t>
            </w:r>
            <w:r>
              <w:rPr>
                <w:spacing w:val="-21"/>
                <w:w w:val="95"/>
                <w:sz w:val="14"/>
              </w:rPr>
              <w:t> </w:t>
            </w:r>
            <w:r>
              <w:rPr>
                <w:w w:val="95"/>
                <w:sz w:val="14"/>
              </w:rPr>
              <w:t>entrega</w:t>
            </w:r>
            <w:r>
              <w:rPr>
                <w:spacing w:val="-22"/>
                <w:w w:val="95"/>
                <w:sz w:val="14"/>
              </w:rPr>
              <w:t> </w:t>
            </w:r>
            <w:r>
              <w:rPr>
                <w:w w:val="95"/>
                <w:sz w:val="14"/>
              </w:rPr>
              <w:t>de</w:t>
            </w:r>
            <w:r>
              <w:rPr>
                <w:spacing w:val="-21"/>
                <w:w w:val="95"/>
                <w:sz w:val="14"/>
              </w:rPr>
              <w:t> </w:t>
            </w:r>
            <w:r>
              <w:rPr>
                <w:w w:val="95"/>
                <w:sz w:val="14"/>
              </w:rPr>
              <w:t>comidas</w:t>
            </w:r>
            <w:r>
              <w:rPr>
                <w:spacing w:val="-22"/>
                <w:w w:val="95"/>
                <w:sz w:val="14"/>
              </w:rPr>
              <w:t> </w:t>
            </w:r>
            <w:r>
              <w:rPr>
                <w:w w:val="95"/>
                <w:sz w:val="14"/>
              </w:rPr>
              <w:t>a</w:t>
            </w:r>
            <w:r>
              <w:rPr>
                <w:spacing w:val="-21"/>
                <w:w w:val="95"/>
                <w:sz w:val="14"/>
              </w:rPr>
              <w:t> </w:t>
            </w:r>
            <w:r>
              <w:rPr>
                <w:w w:val="95"/>
                <w:sz w:val="14"/>
              </w:rPr>
              <w:t>domicilio,</w:t>
            </w:r>
            <w:r>
              <w:rPr>
                <w:spacing w:val="-22"/>
                <w:w w:val="95"/>
                <w:sz w:val="14"/>
              </w:rPr>
              <w:t> </w:t>
            </w:r>
            <w:r>
              <w:rPr>
                <w:w w:val="95"/>
                <w:sz w:val="14"/>
              </w:rPr>
              <w:t>55521200-0</w:t>
            </w:r>
            <w:r>
              <w:rPr>
                <w:spacing w:val="-21"/>
                <w:w w:val="95"/>
                <w:sz w:val="14"/>
              </w:rPr>
              <w:t> </w:t>
            </w:r>
            <w:r>
              <w:rPr>
                <w:w w:val="95"/>
                <w:sz w:val="14"/>
              </w:rPr>
              <w:t>Servicios</w:t>
            </w:r>
            <w:r>
              <w:rPr>
                <w:spacing w:val="-21"/>
                <w:w w:val="95"/>
                <w:sz w:val="14"/>
              </w:rPr>
              <w:t> </w:t>
            </w:r>
            <w:r>
              <w:rPr>
                <w:w w:val="95"/>
                <w:sz w:val="14"/>
              </w:rPr>
              <w:t>de</w:t>
            </w:r>
            <w:r>
              <w:rPr>
                <w:spacing w:val="-22"/>
                <w:w w:val="95"/>
                <w:sz w:val="14"/>
              </w:rPr>
              <w:t> </w:t>
            </w:r>
            <w:r>
              <w:rPr>
                <w:w w:val="95"/>
                <w:sz w:val="14"/>
              </w:rPr>
              <w:t>entrega</w:t>
            </w:r>
            <w:r>
              <w:rPr>
                <w:spacing w:val="-21"/>
                <w:w w:val="95"/>
                <w:sz w:val="14"/>
              </w:rPr>
              <w:t> </w:t>
            </w:r>
            <w:r>
              <w:rPr>
                <w:w w:val="95"/>
                <w:sz w:val="14"/>
              </w:rPr>
              <w:t>de</w:t>
            </w:r>
            <w:r>
              <w:rPr>
                <w:spacing w:val="-22"/>
                <w:w w:val="95"/>
                <w:sz w:val="14"/>
              </w:rPr>
              <w:t> </w:t>
            </w:r>
            <w:r>
              <w:rPr>
                <w:w w:val="95"/>
                <w:sz w:val="14"/>
              </w:rPr>
              <w:t>comidas]</w:t>
            </w:r>
            <w:r>
              <w:rPr>
                <w:spacing w:val="-21"/>
                <w:w w:val="95"/>
                <w:sz w:val="14"/>
              </w:rPr>
              <w:t> </w:t>
            </w:r>
            <w:r>
              <w:rPr>
                <w:w w:val="95"/>
                <w:sz w:val="14"/>
              </w:rPr>
              <w:t>55510000-8</w:t>
            </w:r>
            <w:r>
              <w:rPr>
                <w:spacing w:val="-22"/>
                <w:w w:val="95"/>
                <w:sz w:val="14"/>
              </w:rPr>
              <w:t> </w:t>
            </w:r>
            <w:r>
              <w:rPr>
                <w:w w:val="95"/>
                <w:sz w:val="14"/>
              </w:rPr>
              <w:t>[Servicios</w:t>
            </w:r>
            <w:r>
              <w:rPr>
                <w:spacing w:val="-21"/>
                <w:w w:val="95"/>
                <w:sz w:val="14"/>
              </w:rPr>
              <w:t> </w:t>
            </w:r>
            <w:r>
              <w:rPr>
                <w:w w:val="95"/>
                <w:sz w:val="14"/>
              </w:rPr>
              <w:t>de</w:t>
            </w:r>
            <w:r>
              <w:rPr>
                <w:spacing w:val="-22"/>
                <w:w w:val="95"/>
                <w:sz w:val="14"/>
              </w:rPr>
              <w:t> </w:t>
            </w:r>
            <w:r>
              <w:rPr>
                <w:w w:val="95"/>
                <w:sz w:val="14"/>
              </w:rPr>
              <w:t>cantina], </w:t>
            </w:r>
            <w:r>
              <w:rPr>
                <w:w w:val="90"/>
                <w:sz w:val="14"/>
              </w:rPr>
              <w:t>55511000-5</w:t>
            </w:r>
            <w:r>
              <w:rPr>
                <w:spacing w:val="-14"/>
                <w:w w:val="90"/>
                <w:sz w:val="14"/>
              </w:rPr>
              <w:t> </w:t>
            </w:r>
            <w:r>
              <w:rPr>
                <w:w w:val="90"/>
                <w:sz w:val="14"/>
              </w:rPr>
              <w:t>[Servicios</w:t>
            </w:r>
            <w:r>
              <w:rPr>
                <w:spacing w:val="-14"/>
                <w:w w:val="90"/>
                <w:sz w:val="14"/>
              </w:rPr>
              <w:t> </w:t>
            </w:r>
            <w:r>
              <w:rPr>
                <w:w w:val="90"/>
                <w:sz w:val="14"/>
              </w:rPr>
              <w:t>de</w:t>
            </w:r>
            <w:r>
              <w:rPr>
                <w:spacing w:val="-14"/>
                <w:w w:val="90"/>
                <w:sz w:val="14"/>
              </w:rPr>
              <w:t> </w:t>
            </w:r>
            <w:r>
              <w:rPr>
                <w:w w:val="90"/>
                <w:sz w:val="14"/>
              </w:rPr>
              <w:t>cantina</w:t>
            </w:r>
            <w:r>
              <w:rPr>
                <w:spacing w:val="-13"/>
                <w:w w:val="90"/>
                <w:sz w:val="14"/>
              </w:rPr>
              <w:t> </w:t>
            </w:r>
            <w:r>
              <w:rPr>
                <w:w w:val="90"/>
                <w:sz w:val="14"/>
              </w:rPr>
              <w:t>y</w:t>
            </w:r>
            <w:r>
              <w:rPr>
                <w:spacing w:val="-14"/>
                <w:w w:val="90"/>
                <w:sz w:val="14"/>
              </w:rPr>
              <w:t> </w:t>
            </w:r>
            <w:r>
              <w:rPr>
                <w:w w:val="90"/>
                <w:sz w:val="14"/>
              </w:rPr>
              <w:t>otros</w:t>
            </w:r>
            <w:r>
              <w:rPr>
                <w:spacing w:val="-14"/>
                <w:w w:val="90"/>
                <w:sz w:val="14"/>
              </w:rPr>
              <w:t> </w:t>
            </w:r>
            <w:r>
              <w:rPr>
                <w:w w:val="90"/>
                <w:sz w:val="14"/>
              </w:rPr>
              <w:t>servicios</w:t>
            </w:r>
            <w:r>
              <w:rPr>
                <w:spacing w:val="-13"/>
                <w:w w:val="90"/>
                <w:sz w:val="14"/>
              </w:rPr>
              <w:t> </w:t>
            </w:r>
            <w:r>
              <w:rPr>
                <w:w w:val="90"/>
                <w:sz w:val="14"/>
              </w:rPr>
              <w:t>de</w:t>
            </w:r>
            <w:r>
              <w:rPr>
                <w:spacing w:val="-14"/>
                <w:w w:val="90"/>
                <w:sz w:val="14"/>
              </w:rPr>
              <w:t> </w:t>
            </w:r>
            <w:r>
              <w:rPr>
                <w:w w:val="90"/>
                <w:sz w:val="14"/>
              </w:rPr>
              <w:t>cafetería</w:t>
            </w:r>
            <w:r>
              <w:rPr>
                <w:spacing w:val="-14"/>
                <w:w w:val="90"/>
                <w:sz w:val="14"/>
              </w:rPr>
              <w:t> </w:t>
            </w:r>
            <w:r>
              <w:rPr>
                <w:w w:val="90"/>
                <w:sz w:val="14"/>
              </w:rPr>
              <w:t>para</w:t>
            </w:r>
            <w:r>
              <w:rPr>
                <w:spacing w:val="-13"/>
                <w:w w:val="90"/>
                <w:sz w:val="14"/>
              </w:rPr>
              <w:t> </w:t>
            </w:r>
            <w:r>
              <w:rPr>
                <w:w w:val="90"/>
                <w:sz w:val="14"/>
              </w:rPr>
              <w:t>clientela</w:t>
            </w:r>
            <w:r>
              <w:rPr>
                <w:spacing w:val="-14"/>
                <w:w w:val="90"/>
                <w:sz w:val="14"/>
              </w:rPr>
              <w:t> </w:t>
            </w:r>
            <w:r>
              <w:rPr>
                <w:w w:val="90"/>
                <w:sz w:val="14"/>
              </w:rPr>
              <w:t>restringida],</w:t>
            </w:r>
            <w:r>
              <w:rPr>
                <w:spacing w:val="-14"/>
                <w:w w:val="90"/>
                <w:sz w:val="14"/>
              </w:rPr>
              <w:t> </w:t>
            </w:r>
            <w:r>
              <w:rPr>
                <w:w w:val="90"/>
                <w:sz w:val="14"/>
              </w:rPr>
              <w:t>55512000-2</w:t>
            </w:r>
            <w:r>
              <w:rPr>
                <w:spacing w:val="-14"/>
                <w:w w:val="90"/>
                <w:sz w:val="14"/>
              </w:rPr>
              <w:t> </w:t>
            </w:r>
            <w:r>
              <w:rPr>
                <w:w w:val="90"/>
                <w:sz w:val="14"/>
              </w:rPr>
              <w:t>[Servicios</w:t>
            </w:r>
            <w:r>
              <w:rPr>
                <w:spacing w:val="-13"/>
                <w:w w:val="90"/>
                <w:sz w:val="14"/>
              </w:rPr>
              <w:t> </w:t>
            </w:r>
            <w:r>
              <w:rPr>
                <w:w w:val="90"/>
                <w:sz w:val="14"/>
              </w:rPr>
              <w:t>de</w:t>
            </w:r>
            <w:r>
              <w:rPr>
                <w:spacing w:val="-14"/>
                <w:w w:val="90"/>
                <w:sz w:val="14"/>
              </w:rPr>
              <w:t> </w:t>
            </w:r>
            <w:r>
              <w:rPr>
                <w:w w:val="90"/>
                <w:sz w:val="14"/>
              </w:rPr>
              <w:t>gestión</w:t>
            </w:r>
            <w:r>
              <w:rPr>
                <w:spacing w:val="-14"/>
                <w:w w:val="90"/>
                <w:sz w:val="14"/>
              </w:rPr>
              <w:t> </w:t>
            </w:r>
            <w:r>
              <w:rPr>
                <w:w w:val="90"/>
                <w:sz w:val="14"/>
              </w:rPr>
              <w:t>de</w:t>
            </w:r>
            <w:r>
              <w:rPr>
                <w:spacing w:val="-13"/>
                <w:w w:val="90"/>
                <w:sz w:val="14"/>
              </w:rPr>
              <w:t> </w:t>
            </w:r>
            <w:r>
              <w:rPr>
                <w:w w:val="90"/>
                <w:sz w:val="14"/>
              </w:rPr>
              <w:t>cantina], 55523100-3 [Servicios de comidas para escuelas] 55520000-1 [Servicios de suministro de comidas desde el exterior], 55522000-5 </w:t>
            </w:r>
            <w:r>
              <w:rPr>
                <w:w w:val="95"/>
                <w:sz w:val="14"/>
              </w:rPr>
              <w:t>[Servicios</w:t>
            </w:r>
            <w:r>
              <w:rPr>
                <w:spacing w:val="-22"/>
                <w:w w:val="95"/>
                <w:sz w:val="14"/>
              </w:rPr>
              <w:t> </w:t>
            </w:r>
            <w:r>
              <w:rPr>
                <w:w w:val="95"/>
                <w:sz w:val="14"/>
              </w:rPr>
              <w:t>de</w:t>
            </w:r>
            <w:r>
              <w:rPr>
                <w:spacing w:val="-22"/>
                <w:w w:val="95"/>
                <w:sz w:val="14"/>
              </w:rPr>
              <w:t> </w:t>
            </w:r>
            <w:r>
              <w:rPr>
                <w:w w:val="95"/>
                <w:sz w:val="14"/>
              </w:rPr>
              <w:t>suministro</w:t>
            </w:r>
            <w:r>
              <w:rPr>
                <w:spacing w:val="-21"/>
                <w:w w:val="95"/>
                <w:sz w:val="14"/>
              </w:rPr>
              <w:t> </w:t>
            </w:r>
            <w:r>
              <w:rPr>
                <w:w w:val="95"/>
                <w:sz w:val="14"/>
              </w:rPr>
              <w:t>de</w:t>
            </w:r>
            <w:r>
              <w:rPr>
                <w:spacing w:val="-22"/>
                <w:w w:val="95"/>
                <w:sz w:val="14"/>
              </w:rPr>
              <w:t> </w:t>
            </w:r>
            <w:r>
              <w:rPr>
                <w:w w:val="95"/>
                <w:sz w:val="14"/>
              </w:rPr>
              <w:t>comidas</w:t>
            </w:r>
            <w:r>
              <w:rPr>
                <w:spacing w:val="-21"/>
                <w:w w:val="95"/>
                <w:sz w:val="14"/>
              </w:rPr>
              <w:t> </w:t>
            </w:r>
            <w:r>
              <w:rPr>
                <w:w w:val="95"/>
                <w:sz w:val="14"/>
              </w:rPr>
              <w:t>para</w:t>
            </w:r>
            <w:r>
              <w:rPr>
                <w:spacing w:val="-22"/>
                <w:w w:val="95"/>
                <w:sz w:val="14"/>
              </w:rPr>
              <w:t> </w:t>
            </w:r>
            <w:r>
              <w:rPr>
                <w:w w:val="95"/>
                <w:sz w:val="14"/>
              </w:rPr>
              <w:t>empresas</w:t>
            </w:r>
            <w:r>
              <w:rPr>
                <w:spacing w:val="-21"/>
                <w:w w:val="95"/>
                <w:sz w:val="14"/>
              </w:rPr>
              <w:t> </w:t>
            </w:r>
            <w:r>
              <w:rPr>
                <w:w w:val="95"/>
                <w:sz w:val="14"/>
              </w:rPr>
              <w:t>de</w:t>
            </w:r>
            <w:r>
              <w:rPr>
                <w:spacing w:val="-22"/>
                <w:w w:val="95"/>
                <w:sz w:val="14"/>
              </w:rPr>
              <w:t> </w:t>
            </w:r>
            <w:r>
              <w:rPr>
                <w:w w:val="95"/>
                <w:sz w:val="14"/>
              </w:rPr>
              <w:t>transporte],</w:t>
            </w:r>
            <w:r>
              <w:rPr>
                <w:spacing w:val="-21"/>
                <w:w w:val="95"/>
                <w:sz w:val="14"/>
              </w:rPr>
              <w:t> </w:t>
            </w:r>
            <w:r>
              <w:rPr>
                <w:w w:val="95"/>
                <w:sz w:val="14"/>
              </w:rPr>
              <w:t>55523000-2</w:t>
            </w:r>
            <w:r>
              <w:rPr>
                <w:spacing w:val="-22"/>
                <w:w w:val="95"/>
                <w:sz w:val="14"/>
              </w:rPr>
              <w:t> </w:t>
            </w:r>
            <w:r>
              <w:rPr>
                <w:w w:val="95"/>
                <w:sz w:val="14"/>
              </w:rPr>
              <w:t>[Servicios</w:t>
            </w:r>
            <w:r>
              <w:rPr>
                <w:spacing w:val="-21"/>
                <w:w w:val="95"/>
                <w:sz w:val="14"/>
              </w:rPr>
              <w:t> </w:t>
            </w:r>
            <w:r>
              <w:rPr>
                <w:w w:val="95"/>
                <w:sz w:val="14"/>
              </w:rPr>
              <w:t>de</w:t>
            </w:r>
            <w:r>
              <w:rPr>
                <w:spacing w:val="-22"/>
                <w:w w:val="95"/>
                <w:sz w:val="14"/>
              </w:rPr>
              <w:t> </w:t>
            </w:r>
            <w:r>
              <w:rPr>
                <w:w w:val="95"/>
                <w:sz w:val="14"/>
              </w:rPr>
              <w:t>suministro</w:t>
            </w:r>
            <w:r>
              <w:rPr>
                <w:spacing w:val="-21"/>
                <w:w w:val="95"/>
                <w:sz w:val="14"/>
              </w:rPr>
              <w:t> </w:t>
            </w:r>
            <w:r>
              <w:rPr>
                <w:w w:val="95"/>
                <w:sz w:val="14"/>
              </w:rPr>
              <w:t>de</w:t>
            </w:r>
            <w:r>
              <w:rPr>
                <w:spacing w:val="-22"/>
                <w:w w:val="95"/>
                <w:sz w:val="14"/>
              </w:rPr>
              <w:t> </w:t>
            </w:r>
            <w:r>
              <w:rPr>
                <w:w w:val="95"/>
                <w:sz w:val="14"/>
              </w:rPr>
              <w:t>comidas</w:t>
            </w:r>
            <w:r>
              <w:rPr>
                <w:spacing w:val="-21"/>
                <w:w w:val="95"/>
                <w:sz w:val="14"/>
              </w:rPr>
              <w:t> </w:t>
            </w:r>
            <w:r>
              <w:rPr>
                <w:w w:val="95"/>
                <w:sz w:val="14"/>
              </w:rPr>
              <w:t>para</w:t>
            </w:r>
            <w:r>
              <w:rPr>
                <w:spacing w:val="-22"/>
                <w:w w:val="95"/>
                <w:sz w:val="14"/>
              </w:rPr>
              <w:t> </w:t>
            </w:r>
            <w:r>
              <w:rPr>
                <w:w w:val="95"/>
                <w:sz w:val="14"/>
              </w:rPr>
              <w:t>otras </w:t>
            </w:r>
            <w:r>
              <w:rPr>
                <w:sz w:val="14"/>
              </w:rPr>
              <w:t>empresas</w:t>
            </w:r>
            <w:r>
              <w:rPr>
                <w:spacing w:val="-14"/>
                <w:sz w:val="14"/>
              </w:rPr>
              <w:t> </w:t>
            </w:r>
            <w:r>
              <w:rPr>
                <w:sz w:val="14"/>
              </w:rPr>
              <w:t>e</w:t>
            </w:r>
            <w:r>
              <w:rPr>
                <w:spacing w:val="-14"/>
                <w:sz w:val="14"/>
              </w:rPr>
              <w:t> </w:t>
            </w:r>
            <w:r>
              <w:rPr>
                <w:sz w:val="14"/>
              </w:rPr>
              <w:t>instituciones],</w:t>
            </w:r>
            <w:r>
              <w:rPr>
                <w:spacing w:val="-13"/>
                <w:sz w:val="14"/>
              </w:rPr>
              <w:t> </w:t>
            </w:r>
            <w:r>
              <w:rPr>
                <w:sz w:val="14"/>
              </w:rPr>
              <w:t>55524000-9</w:t>
            </w:r>
            <w:r>
              <w:rPr>
                <w:spacing w:val="-14"/>
                <w:sz w:val="14"/>
              </w:rPr>
              <w:t> </w:t>
            </w:r>
            <w:r>
              <w:rPr>
                <w:sz w:val="14"/>
              </w:rPr>
              <w:t>[Servicios</w:t>
            </w:r>
            <w:r>
              <w:rPr>
                <w:spacing w:val="-13"/>
                <w:sz w:val="14"/>
              </w:rPr>
              <w:t> </w:t>
            </w:r>
            <w:r>
              <w:rPr>
                <w:sz w:val="14"/>
              </w:rPr>
              <w:t>de</w:t>
            </w:r>
            <w:r>
              <w:rPr>
                <w:spacing w:val="-14"/>
                <w:sz w:val="14"/>
              </w:rPr>
              <w:t> </w:t>
            </w:r>
            <w:r>
              <w:rPr>
                <w:sz w:val="14"/>
              </w:rPr>
              <w:t>suministro</w:t>
            </w:r>
            <w:r>
              <w:rPr>
                <w:spacing w:val="-13"/>
                <w:sz w:val="14"/>
              </w:rPr>
              <w:t> </w:t>
            </w:r>
            <w:r>
              <w:rPr>
                <w:sz w:val="14"/>
              </w:rPr>
              <w:t>de</w:t>
            </w:r>
            <w:r>
              <w:rPr>
                <w:spacing w:val="-14"/>
                <w:sz w:val="14"/>
              </w:rPr>
              <w:t> </w:t>
            </w:r>
            <w:r>
              <w:rPr>
                <w:sz w:val="14"/>
              </w:rPr>
              <w:t>comidas</w:t>
            </w:r>
            <w:r>
              <w:rPr>
                <w:spacing w:val="-13"/>
                <w:sz w:val="14"/>
              </w:rPr>
              <w:t> </w:t>
            </w:r>
            <w:r>
              <w:rPr>
                <w:sz w:val="14"/>
              </w:rPr>
              <w:t>para</w:t>
            </w:r>
            <w:r>
              <w:rPr>
                <w:spacing w:val="-14"/>
                <w:sz w:val="14"/>
              </w:rPr>
              <w:t> </w:t>
            </w:r>
            <w:r>
              <w:rPr>
                <w:sz w:val="14"/>
              </w:rPr>
              <w:t>escuelas].</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rPr>
                <w:b/>
                <w:sz w:val="18"/>
              </w:rPr>
            </w:pPr>
          </w:p>
          <w:p>
            <w:pPr>
              <w:pStyle w:val="TableParagraph"/>
              <w:spacing w:before="4"/>
              <w:rPr>
                <w:b/>
                <w:sz w:val="17"/>
              </w:rPr>
            </w:pPr>
          </w:p>
          <w:p>
            <w:pPr>
              <w:pStyle w:val="TableParagraph"/>
              <w:ind w:left="40"/>
              <w:rPr>
                <w:sz w:val="14"/>
              </w:rPr>
            </w:pPr>
            <w:r>
              <w:rPr>
                <w:sz w:val="14"/>
              </w:rPr>
              <w:t>Servicios de hostelería y restaurante.</w:t>
            </w:r>
          </w:p>
        </w:tc>
      </w:tr>
    </w:tbl>
    <w:p>
      <w:pPr>
        <w:spacing w:after="0"/>
        <w:rPr>
          <w:sz w:val="14"/>
        </w:rPr>
        <w:sectPr>
          <w:pgSz w:w="11910" w:h="16840"/>
          <w:pgMar w:header="529" w:footer="570" w:top="1200" w:bottom="760" w:left="740" w:right="540"/>
        </w:sectPr>
      </w:pPr>
    </w:p>
    <w:p>
      <w:pPr>
        <w:pStyle w:val="BodyText"/>
        <w:spacing w:before="0"/>
        <w:ind w:left="0" w:firstLine="0"/>
        <w:jc w:val="left"/>
        <w:rPr>
          <w:b/>
        </w:rPr>
      </w:pPr>
    </w:p>
    <w:p>
      <w:pPr>
        <w:pStyle w:val="BodyText"/>
        <w:spacing w:before="10" w:after="1"/>
        <w:ind w:left="0" w:firstLine="0"/>
        <w:jc w:val="left"/>
        <w:rPr>
          <w:b/>
          <w:sz w:val="21"/>
        </w:rPr>
      </w:pPr>
    </w:p>
    <w:tbl>
      <w:tblPr>
        <w:tblW w:w="0" w:type="auto"/>
        <w:jc w:val="left"/>
        <w:tblInd w:w="117"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CellMar>
          <w:top w:w="0" w:type="dxa"/>
          <w:left w:w="0" w:type="dxa"/>
          <w:bottom w:w="0" w:type="dxa"/>
          <w:right w:w="0" w:type="dxa"/>
        </w:tblCellMar>
        <w:tblLook w:val="01E0"/>
      </w:tblPr>
      <w:tblGrid>
        <w:gridCol w:w="7458"/>
        <w:gridCol w:w="2746"/>
      </w:tblGrid>
      <w:tr>
        <w:trPr>
          <w:trHeight w:val="162" w:hRule="atLeast"/>
        </w:trPr>
        <w:tc>
          <w:tcPr>
            <w:tcW w:w="7458" w:type="dxa"/>
            <w:shd w:val="clear" w:color="auto" w:fill="EDEDED"/>
          </w:tcPr>
          <w:p>
            <w:pPr>
              <w:pStyle w:val="TableParagraph"/>
              <w:spacing w:line="143" w:lineRule="exact"/>
              <w:ind w:left="3322" w:right="3317"/>
              <w:jc w:val="center"/>
              <w:rPr>
                <w:b/>
                <w:sz w:val="14"/>
              </w:rPr>
            </w:pPr>
            <w:r>
              <w:rPr>
                <w:b/>
                <w:w w:val="95"/>
                <w:sz w:val="14"/>
              </w:rPr>
              <w:t>Código CPV</w:t>
            </w:r>
          </w:p>
        </w:tc>
        <w:tc>
          <w:tcPr>
            <w:tcW w:w="2746" w:type="dxa"/>
            <w:shd w:val="clear" w:color="auto" w:fill="EDEDED"/>
          </w:tcPr>
          <w:p>
            <w:pPr>
              <w:pStyle w:val="TableParagraph"/>
              <w:spacing w:line="143" w:lineRule="exact"/>
              <w:ind w:left="990" w:right="984"/>
              <w:jc w:val="center"/>
              <w:rPr>
                <w:b/>
                <w:sz w:val="14"/>
              </w:rPr>
            </w:pPr>
            <w:r>
              <w:rPr>
                <w:b/>
                <w:w w:val="90"/>
                <w:sz w:val="14"/>
              </w:rPr>
              <w:t>Descripción</w:t>
            </w:r>
          </w:p>
        </w:tc>
      </w:tr>
      <w:tr>
        <w:trPr>
          <w:trHeight w:val="332" w:hRule="atLeast"/>
        </w:trPr>
        <w:tc>
          <w:tcPr>
            <w:tcW w:w="7458" w:type="dxa"/>
            <w:tcBorders>
              <w:left w:val="single" w:sz="4" w:space="0" w:color="CCCCCC"/>
              <w:bottom w:val="single" w:sz="4" w:space="0" w:color="CCCCCC"/>
              <w:right w:val="single" w:sz="4" w:space="0" w:color="CCCCCC"/>
            </w:tcBorders>
          </w:tcPr>
          <w:p>
            <w:pPr>
              <w:pStyle w:val="TableParagraph"/>
              <w:spacing w:before="71"/>
              <w:ind w:left="40"/>
              <w:rPr>
                <w:sz w:val="14"/>
              </w:rPr>
            </w:pPr>
            <w:r>
              <w:rPr>
                <w:sz w:val="14"/>
              </w:rPr>
              <w:t>79100000-5 a 79140000-7 75231100-5.</w:t>
            </w:r>
          </w:p>
        </w:tc>
        <w:tc>
          <w:tcPr>
            <w:tcW w:w="2746" w:type="dxa"/>
            <w:tcBorders>
              <w:left w:val="single" w:sz="4" w:space="0" w:color="CCCCCC"/>
              <w:bottom w:val="single" w:sz="4" w:space="0" w:color="CCCCCC"/>
              <w:right w:val="single" w:sz="4" w:space="0" w:color="CCCCCC"/>
            </w:tcBorders>
          </w:tcPr>
          <w:p>
            <w:pPr>
              <w:pStyle w:val="TableParagraph"/>
              <w:spacing w:line="148" w:lineRule="exact"/>
              <w:ind w:left="40"/>
              <w:rPr>
                <w:sz w:val="14"/>
              </w:rPr>
            </w:pPr>
            <w:r>
              <w:rPr>
                <w:sz w:val="14"/>
              </w:rPr>
              <w:t>Servicios jurídicos, en la medida en que no</w:t>
            </w:r>
          </w:p>
          <w:p>
            <w:pPr>
              <w:pStyle w:val="TableParagraph"/>
              <w:spacing w:line="157" w:lineRule="exact" w:before="7"/>
              <w:ind w:left="40"/>
              <w:rPr>
                <w:sz w:val="14"/>
              </w:rPr>
            </w:pPr>
            <w:r>
              <w:rPr>
                <w:w w:val="95"/>
                <w:sz w:val="14"/>
              </w:rPr>
              <w:t>estén</w:t>
            </w:r>
            <w:r>
              <w:rPr>
                <w:spacing w:val="-25"/>
                <w:w w:val="95"/>
                <w:sz w:val="14"/>
              </w:rPr>
              <w:t> </w:t>
            </w:r>
            <w:r>
              <w:rPr>
                <w:w w:val="95"/>
                <w:sz w:val="14"/>
              </w:rPr>
              <w:t>excluidos</w:t>
            </w:r>
            <w:r>
              <w:rPr>
                <w:spacing w:val="-24"/>
                <w:w w:val="95"/>
                <w:sz w:val="14"/>
              </w:rPr>
              <w:t> </w:t>
            </w:r>
            <w:r>
              <w:rPr>
                <w:w w:val="95"/>
                <w:sz w:val="14"/>
              </w:rPr>
              <w:t>en</w:t>
            </w:r>
            <w:r>
              <w:rPr>
                <w:spacing w:val="-24"/>
                <w:w w:val="95"/>
                <w:sz w:val="14"/>
              </w:rPr>
              <w:t> </w:t>
            </w:r>
            <w:r>
              <w:rPr>
                <w:w w:val="95"/>
                <w:sz w:val="14"/>
              </w:rPr>
              <w:t>virtud</w:t>
            </w:r>
            <w:r>
              <w:rPr>
                <w:spacing w:val="-24"/>
                <w:w w:val="95"/>
                <w:sz w:val="14"/>
              </w:rPr>
              <w:t> </w:t>
            </w:r>
            <w:r>
              <w:rPr>
                <w:w w:val="95"/>
                <w:sz w:val="14"/>
              </w:rPr>
              <w:t>del</w:t>
            </w:r>
            <w:r>
              <w:rPr>
                <w:spacing w:val="-25"/>
                <w:w w:val="95"/>
                <w:sz w:val="14"/>
              </w:rPr>
              <w:t> </w:t>
            </w:r>
            <w:r>
              <w:rPr>
                <w:w w:val="95"/>
                <w:sz w:val="14"/>
              </w:rPr>
              <w:t>artículo</w:t>
            </w:r>
            <w:r>
              <w:rPr>
                <w:spacing w:val="-24"/>
                <w:w w:val="95"/>
                <w:sz w:val="14"/>
              </w:rPr>
              <w:t> </w:t>
            </w:r>
            <w:r>
              <w:rPr>
                <w:w w:val="95"/>
                <w:sz w:val="14"/>
              </w:rPr>
              <w:t>20,</w:t>
            </w:r>
            <w:r>
              <w:rPr>
                <w:spacing w:val="-24"/>
                <w:w w:val="95"/>
                <w:sz w:val="14"/>
              </w:rPr>
              <w:t> </w:t>
            </w:r>
            <w:r>
              <w:rPr>
                <w:w w:val="95"/>
                <w:sz w:val="14"/>
              </w:rPr>
              <w:t>letra</w:t>
            </w:r>
            <w:r>
              <w:rPr>
                <w:spacing w:val="-24"/>
                <w:w w:val="95"/>
                <w:sz w:val="14"/>
              </w:rPr>
              <w:t> </w:t>
            </w:r>
            <w:r>
              <w:rPr>
                <w:w w:val="95"/>
                <w:sz w:val="14"/>
              </w:rPr>
              <w:t>c).</w:t>
            </w:r>
          </w:p>
        </w:tc>
      </w:tr>
      <w:tr>
        <w:trPr>
          <w:trHeight w:val="331"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before="70"/>
              <w:ind w:left="40"/>
              <w:rPr>
                <w:sz w:val="14"/>
              </w:rPr>
            </w:pPr>
            <w:r>
              <w:rPr>
                <w:sz w:val="14"/>
              </w:rPr>
              <w:t>75100000-7 a 75120000-3; 75123000-4. 75125000-8 a 75131000-3.</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sz w:val="14"/>
              </w:rPr>
              <w:t>Otros servicios administrativos y servicios</w:t>
            </w:r>
          </w:p>
          <w:p>
            <w:pPr>
              <w:pStyle w:val="TableParagraph"/>
              <w:spacing w:line="157" w:lineRule="exact" w:before="7"/>
              <w:ind w:left="40"/>
              <w:rPr>
                <w:sz w:val="14"/>
              </w:rPr>
            </w:pPr>
            <w:r>
              <w:rPr>
                <w:sz w:val="14"/>
              </w:rPr>
              <w:t>gubernamentales.</w:t>
            </w:r>
          </w:p>
        </w:tc>
      </w:tr>
      <w:tr>
        <w:trPr>
          <w:trHeight w:val="163"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75200000-8 a 75231000-4.</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Prestación de servicios para la comunidad.</w:t>
            </w:r>
          </w:p>
        </w:tc>
      </w:tr>
      <w:tr>
        <w:trPr>
          <w:trHeight w:val="667"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before="8"/>
              <w:rPr>
                <w:b/>
                <w:sz w:val="20"/>
              </w:rPr>
            </w:pPr>
          </w:p>
          <w:p>
            <w:pPr>
              <w:pStyle w:val="TableParagraph"/>
              <w:spacing w:before="1"/>
              <w:ind w:left="40"/>
              <w:rPr>
                <w:sz w:val="14"/>
              </w:rPr>
            </w:pPr>
            <w:r>
              <w:rPr>
                <w:sz w:val="14"/>
              </w:rPr>
              <w:t>75231210-9 a 75231230-5; 75240000-0 a 75252000-7; 794300000-7; 98113100-9.</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sz w:val="14"/>
              </w:rPr>
              <w:t>Servicios relacionados con las prisiones,</w:t>
            </w:r>
          </w:p>
          <w:p>
            <w:pPr>
              <w:pStyle w:val="TableParagraph"/>
              <w:spacing w:line="160" w:lineRule="atLeast" w:before="7"/>
              <w:ind w:left="40" w:right="189"/>
              <w:rPr>
                <w:sz w:val="14"/>
              </w:rPr>
            </w:pPr>
            <w:r>
              <w:rPr>
                <w:w w:val="90"/>
                <w:sz w:val="14"/>
              </w:rPr>
              <w:t>servicios de seguridad pública y servicios de </w:t>
            </w:r>
            <w:r>
              <w:rPr>
                <w:w w:val="95"/>
                <w:sz w:val="14"/>
              </w:rPr>
              <w:t>salvamento en la medida en que no estén </w:t>
            </w:r>
            <w:r>
              <w:rPr>
                <w:sz w:val="14"/>
              </w:rPr>
              <w:t>excluidos en virtud del artículo 20.h).</w:t>
            </w:r>
          </w:p>
        </w:tc>
      </w:tr>
      <w:tr>
        <w:trPr>
          <w:trHeight w:val="667"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w w:val="95"/>
                <w:sz w:val="14"/>
              </w:rPr>
              <w:t>79700000-1</w:t>
            </w:r>
            <w:r>
              <w:rPr>
                <w:spacing w:val="-24"/>
                <w:w w:val="95"/>
                <w:sz w:val="14"/>
              </w:rPr>
              <w:t> </w:t>
            </w:r>
            <w:r>
              <w:rPr>
                <w:w w:val="95"/>
                <w:sz w:val="14"/>
              </w:rPr>
              <w:t>a</w:t>
            </w:r>
            <w:r>
              <w:rPr>
                <w:spacing w:val="-24"/>
                <w:w w:val="95"/>
                <w:sz w:val="14"/>
              </w:rPr>
              <w:t> </w:t>
            </w:r>
            <w:r>
              <w:rPr>
                <w:w w:val="95"/>
                <w:sz w:val="14"/>
              </w:rPr>
              <w:t>79721000-4</w:t>
            </w:r>
            <w:r>
              <w:rPr>
                <w:spacing w:val="-24"/>
                <w:w w:val="95"/>
                <w:sz w:val="14"/>
              </w:rPr>
              <w:t> </w:t>
            </w:r>
            <w:r>
              <w:rPr>
                <w:w w:val="95"/>
                <w:sz w:val="14"/>
              </w:rPr>
              <w:t>[Servicios</w:t>
            </w:r>
            <w:r>
              <w:rPr>
                <w:spacing w:val="-24"/>
                <w:w w:val="95"/>
                <w:sz w:val="14"/>
              </w:rPr>
              <w:t> </w:t>
            </w:r>
            <w:r>
              <w:rPr>
                <w:w w:val="95"/>
                <w:sz w:val="14"/>
              </w:rPr>
              <w:t>de</w:t>
            </w:r>
            <w:r>
              <w:rPr>
                <w:spacing w:val="-24"/>
                <w:w w:val="95"/>
                <w:sz w:val="14"/>
              </w:rPr>
              <w:t> </w:t>
            </w:r>
            <w:r>
              <w:rPr>
                <w:w w:val="95"/>
                <w:sz w:val="14"/>
              </w:rPr>
              <w:t>investigación</w:t>
            </w:r>
            <w:r>
              <w:rPr>
                <w:spacing w:val="-24"/>
                <w:w w:val="95"/>
                <w:sz w:val="14"/>
              </w:rPr>
              <w:t> </w:t>
            </w:r>
            <w:r>
              <w:rPr>
                <w:w w:val="95"/>
                <w:sz w:val="14"/>
              </w:rPr>
              <w:t>y</w:t>
            </w:r>
            <w:r>
              <w:rPr>
                <w:spacing w:val="-24"/>
                <w:w w:val="95"/>
                <w:sz w:val="14"/>
              </w:rPr>
              <w:t> </w:t>
            </w:r>
            <w:r>
              <w:rPr>
                <w:w w:val="95"/>
                <w:sz w:val="14"/>
              </w:rPr>
              <w:t>seguridad,</w:t>
            </w:r>
            <w:r>
              <w:rPr>
                <w:spacing w:val="-24"/>
                <w:w w:val="95"/>
                <w:sz w:val="14"/>
              </w:rPr>
              <w:t> </w:t>
            </w:r>
            <w:r>
              <w:rPr>
                <w:w w:val="95"/>
                <w:sz w:val="14"/>
              </w:rPr>
              <w:t>Servicios</w:t>
            </w:r>
            <w:r>
              <w:rPr>
                <w:spacing w:val="-24"/>
                <w:w w:val="95"/>
                <w:sz w:val="14"/>
              </w:rPr>
              <w:t> </w:t>
            </w:r>
            <w:r>
              <w:rPr>
                <w:w w:val="95"/>
                <w:sz w:val="14"/>
              </w:rPr>
              <w:t>de</w:t>
            </w:r>
            <w:r>
              <w:rPr>
                <w:spacing w:val="-24"/>
                <w:w w:val="95"/>
                <w:sz w:val="14"/>
              </w:rPr>
              <w:t> </w:t>
            </w:r>
            <w:r>
              <w:rPr>
                <w:w w:val="95"/>
                <w:sz w:val="14"/>
              </w:rPr>
              <w:t>seguridad,</w:t>
            </w:r>
            <w:r>
              <w:rPr>
                <w:spacing w:val="-24"/>
                <w:w w:val="95"/>
                <w:sz w:val="14"/>
              </w:rPr>
              <w:t> </w:t>
            </w:r>
            <w:r>
              <w:rPr>
                <w:w w:val="95"/>
                <w:sz w:val="14"/>
              </w:rPr>
              <w:t>Servicios</w:t>
            </w:r>
            <w:r>
              <w:rPr>
                <w:spacing w:val="-24"/>
                <w:w w:val="95"/>
                <w:sz w:val="14"/>
              </w:rPr>
              <w:t> </w:t>
            </w:r>
            <w:r>
              <w:rPr>
                <w:w w:val="95"/>
                <w:sz w:val="14"/>
              </w:rPr>
              <w:t>de</w:t>
            </w:r>
            <w:r>
              <w:rPr>
                <w:spacing w:val="-23"/>
                <w:w w:val="95"/>
                <w:sz w:val="14"/>
              </w:rPr>
              <w:t> </w:t>
            </w:r>
            <w:r>
              <w:rPr>
                <w:w w:val="95"/>
                <w:sz w:val="14"/>
              </w:rPr>
              <w:t>vigilancia</w:t>
            </w:r>
            <w:r>
              <w:rPr>
                <w:spacing w:val="-24"/>
                <w:w w:val="95"/>
                <w:sz w:val="14"/>
              </w:rPr>
              <w:t> </w:t>
            </w:r>
            <w:r>
              <w:rPr>
                <w:w w:val="95"/>
                <w:sz w:val="14"/>
              </w:rPr>
              <w:t>de</w:t>
            </w:r>
            <w:r>
              <w:rPr>
                <w:spacing w:val="-24"/>
                <w:w w:val="95"/>
                <w:sz w:val="14"/>
              </w:rPr>
              <w:t> </w:t>
            </w:r>
            <w:r>
              <w:rPr>
                <w:w w:val="95"/>
                <w:sz w:val="14"/>
              </w:rPr>
              <w:t>sistemas</w:t>
            </w:r>
            <w:r>
              <w:rPr>
                <w:spacing w:val="-24"/>
                <w:w w:val="95"/>
                <w:sz w:val="14"/>
              </w:rPr>
              <w:t> </w:t>
            </w:r>
            <w:r>
              <w:rPr>
                <w:w w:val="95"/>
                <w:sz w:val="14"/>
              </w:rPr>
              <w:t>de</w:t>
            </w:r>
          </w:p>
          <w:p>
            <w:pPr>
              <w:pStyle w:val="TableParagraph"/>
              <w:spacing w:line="160" w:lineRule="atLeast" w:before="7"/>
              <w:ind w:left="40" w:right="87"/>
              <w:rPr>
                <w:sz w:val="14"/>
              </w:rPr>
            </w:pPr>
            <w:r>
              <w:rPr>
                <w:w w:val="90"/>
                <w:sz w:val="14"/>
              </w:rPr>
              <w:t>alarma,</w:t>
            </w:r>
            <w:r>
              <w:rPr>
                <w:spacing w:val="-14"/>
                <w:w w:val="90"/>
                <w:sz w:val="14"/>
              </w:rPr>
              <w:t> </w:t>
            </w:r>
            <w:r>
              <w:rPr>
                <w:w w:val="90"/>
                <w:sz w:val="14"/>
              </w:rPr>
              <w:t>Servicios</w:t>
            </w:r>
            <w:r>
              <w:rPr>
                <w:spacing w:val="-14"/>
                <w:w w:val="90"/>
                <w:sz w:val="14"/>
              </w:rPr>
              <w:t> </w:t>
            </w:r>
            <w:r>
              <w:rPr>
                <w:w w:val="90"/>
                <w:sz w:val="14"/>
              </w:rPr>
              <w:t>de</w:t>
            </w:r>
            <w:r>
              <w:rPr>
                <w:spacing w:val="-14"/>
                <w:w w:val="90"/>
                <w:sz w:val="14"/>
              </w:rPr>
              <w:t> </w:t>
            </w:r>
            <w:r>
              <w:rPr>
                <w:w w:val="90"/>
                <w:sz w:val="14"/>
              </w:rPr>
              <w:t>vigilancia,</w:t>
            </w:r>
            <w:r>
              <w:rPr>
                <w:spacing w:val="-14"/>
                <w:w w:val="90"/>
                <w:sz w:val="14"/>
              </w:rPr>
              <w:t> </w:t>
            </w:r>
            <w:r>
              <w:rPr>
                <w:w w:val="90"/>
                <w:sz w:val="14"/>
              </w:rPr>
              <w:t>Servicios</w:t>
            </w:r>
            <w:r>
              <w:rPr>
                <w:spacing w:val="-14"/>
                <w:w w:val="90"/>
                <w:sz w:val="14"/>
              </w:rPr>
              <w:t> </w:t>
            </w:r>
            <w:r>
              <w:rPr>
                <w:w w:val="90"/>
                <w:sz w:val="14"/>
              </w:rPr>
              <w:t>relacionados</w:t>
            </w:r>
            <w:r>
              <w:rPr>
                <w:spacing w:val="-13"/>
                <w:w w:val="90"/>
                <w:sz w:val="14"/>
              </w:rPr>
              <w:t> </w:t>
            </w:r>
            <w:r>
              <w:rPr>
                <w:w w:val="90"/>
                <w:sz w:val="14"/>
              </w:rPr>
              <w:t>con</w:t>
            </w:r>
            <w:r>
              <w:rPr>
                <w:spacing w:val="-14"/>
                <w:w w:val="90"/>
                <w:sz w:val="14"/>
              </w:rPr>
              <w:t> </w:t>
            </w:r>
            <w:r>
              <w:rPr>
                <w:w w:val="90"/>
                <w:sz w:val="14"/>
              </w:rPr>
              <w:t>el</w:t>
            </w:r>
            <w:r>
              <w:rPr>
                <w:spacing w:val="-14"/>
                <w:w w:val="90"/>
                <w:sz w:val="14"/>
              </w:rPr>
              <w:t> </w:t>
            </w:r>
            <w:r>
              <w:rPr>
                <w:w w:val="90"/>
                <w:sz w:val="14"/>
              </w:rPr>
              <w:t>sistema</w:t>
            </w:r>
            <w:r>
              <w:rPr>
                <w:spacing w:val="-14"/>
                <w:w w:val="90"/>
                <w:sz w:val="14"/>
              </w:rPr>
              <w:t> </w:t>
            </w:r>
            <w:r>
              <w:rPr>
                <w:w w:val="90"/>
                <w:sz w:val="14"/>
              </w:rPr>
              <w:t>de</w:t>
            </w:r>
            <w:r>
              <w:rPr>
                <w:spacing w:val="-14"/>
                <w:w w:val="90"/>
                <w:sz w:val="14"/>
              </w:rPr>
              <w:t> </w:t>
            </w:r>
            <w:r>
              <w:rPr>
                <w:w w:val="90"/>
                <w:sz w:val="14"/>
              </w:rPr>
              <w:t>localización,</w:t>
            </w:r>
            <w:r>
              <w:rPr>
                <w:spacing w:val="-14"/>
                <w:w w:val="90"/>
                <w:sz w:val="14"/>
              </w:rPr>
              <w:t> </w:t>
            </w:r>
            <w:r>
              <w:rPr>
                <w:w w:val="90"/>
                <w:sz w:val="14"/>
              </w:rPr>
              <w:t>Servicios</w:t>
            </w:r>
            <w:r>
              <w:rPr>
                <w:spacing w:val="-13"/>
                <w:w w:val="90"/>
                <w:sz w:val="14"/>
              </w:rPr>
              <w:t> </w:t>
            </w:r>
            <w:r>
              <w:rPr>
                <w:w w:val="90"/>
                <w:sz w:val="14"/>
              </w:rPr>
              <w:t>de</w:t>
            </w:r>
            <w:r>
              <w:rPr>
                <w:spacing w:val="-14"/>
                <w:w w:val="90"/>
                <w:sz w:val="14"/>
              </w:rPr>
              <w:t> </w:t>
            </w:r>
            <w:r>
              <w:rPr>
                <w:w w:val="90"/>
                <w:sz w:val="14"/>
              </w:rPr>
              <w:t>búsqueda</w:t>
            </w:r>
            <w:r>
              <w:rPr>
                <w:spacing w:val="-14"/>
                <w:w w:val="90"/>
                <w:sz w:val="14"/>
              </w:rPr>
              <w:t> </w:t>
            </w:r>
            <w:r>
              <w:rPr>
                <w:w w:val="90"/>
                <w:sz w:val="14"/>
              </w:rPr>
              <w:t>de</w:t>
            </w:r>
            <w:r>
              <w:rPr>
                <w:spacing w:val="-14"/>
                <w:w w:val="90"/>
                <w:sz w:val="14"/>
              </w:rPr>
              <w:t> </w:t>
            </w:r>
            <w:r>
              <w:rPr>
                <w:w w:val="90"/>
                <w:sz w:val="14"/>
              </w:rPr>
              <w:t>prófugos,</w:t>
            </w:r>
            <w:r>
              <w:rPr>
                <w:spacing w:val="-14"/>
                <w:w w:val="90"/>
                <w:sz w:val="14"/>
              </w:rPr>
              <w:t> </w:t>
            </w:r>
            <w:r>
              <w:rPr>
                <w:w w:val="90"/>
                <w:sz w:val="14"/>
              </w:rPr>
              <w:t>Servicios</w:t>
            </w:r>
            <w:r>
              <w:rPr>
                <w:spacing w:val="-14"/>
                <w:w w:val="90"/>
                <w:sz w:val="14"/>
              </w:rPr>
              <w:t> </w:t>
            </w:r>
            <w:r>
              <w:rPr>
                <w:w w:val="90"/>
                <w:sz w:val="14"/>
              </w:rPr>
              <w:t>de patrullas, Servicios de expedición de distintivos de identificación, Servicios de investigación y Servicios de agencia de detectives] </w:t>
            </w:r>
            <w:r>
              <w:rPr>
                <w:sz w:val="14"/>
              </w:rPr>
              <w:t>79722000-1[Servicios</w:t>
            </w:r>
            <w:r>
              <w:rPr>
                <w:spacing w:val="-13"/>
                <w:sz w:val="14"/>
              </w:rPr>
              <w:t> </w:t>
            </w:r>
            <w:r>
              <w:rPr>
                <w:sz w:val="14"/>
              </w:rPr>
              <w:t>de</w:t>
            </w:r>
            <w:r>
              <w:rPr>
                <w:spacing w:val="-12"/>
                <w:sz w:val="14"/>
              </w:rPr>
              <w:t> </w:t>
            </w:r>
            <w:r>
              <w:rPr>
                <w:sz w:val="14"/>
              </w:rPr>
              <w:t>grafología],</w:t>
            </w:r>
            <w:r>
              <w:rPr>
                <w:spacing w:val="-13"/>
                <w:sz w:val="14"/>
              </w:rPr>
              <w:t> </w:t>
            </w:r>
            <w:r>
              <w:rPr>
                <w:sz w:val="14"/>
              </w:rPr>
              <w:t>79723000-8</w:t>
            </w:r>
            <w:r>
              <w:rPr>
                <w:spacing w:val="-12"/>
                <w:sz w:val="14"/>
              </w:rPr>
              <w:t> </w:t>
            </w:r>
            <w:r>
              <w:rPr>
                <w:sz w:val="14"/>
              </w:rPr>
              <w:t>[Servicios</w:t>
            </w:r>
            <w:r>
              <w:rPr>
                <w:spacing w:val="-13"/>
                <w:sz w:val="14"/>
              </w:rPr>
              <w:t> </w:t>
            </w:r>
            <w:r>
              <w:rPr>
                <w:sz w:val="14"/>
              </w:rPr>
              <w:t>de</w:t>
            </w:r>
            <w:r>
              <w:rPr>
                <w:spacing w:val="-12"/>
                <w:sz w:val="14"/>
              </w:rPr>
              <w:t> </w:t>
            </w:r>
            <w:r>
              <w:rPr>
                <w:sz w:val="14"/>
              </w:rPr>
              <w:t>análisis</w:t>
            </w:r>
            <w:r>
              <w:rPr>
                <w:spacing w:val="-13"/>
                <w:sz w:val="14"/>
              </w:rPr>
              <w:t> </w:t>
            </w:r>
            <w:r>
              <w:rPr>
                <w:sz w:val="14"/>
              </w:rPr>
              <w:t>de</w:t>
            </w:r>
            <w:r>
              <w:rPr>
                <w:spacing w:val="-12"/>
                <w:sz w:val="14"/>
              </w:rPr>
              <w:t> </w:t>
            </w:r>
            <w:r>
              <w:rPr>
                <w:sz w:val="14"/>
              </w:rPr>
              <w:t>residuos].</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before="8"/>
              <w:rPr>
                <w:b/>
                <w:sz w:val="20"/>
              </w:rPr>
            </w:pPr>
          </w:p>
          <w:p>
            <w:pPr>
              <w:pStyle w:val="TableParagraph"/>
              <w:spacing w:before="1"/>
              <w:ind w:left="40"/>
              <w:rPr>
                <w:sz w:val="14"/>
              </w:rPr>
            </w:pPr>
            <w:r>
              <w:rPr>
                <w:sz w:val="14"/>
              </w:rPr>
              <w:t>Servicios de investigación y seguridad.</w:t>
            </w:r>
          </w:p>
        </w:tc>
      </w:tr>
      <w:tr>
        <w:trPr>
          <w:trHeight w:val="331"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w w:val="95"/>
                <w:sz w:val="14"/>
              </w:rPr>
              <w:t>98900000-2 [Servicios prestados por organizaciones y entidades extraterritoriales] y 98910000-5 [Servicios específicos de</w:t>
            </w:r>
          </w:p>
          <w:p>
            <w:pPr>
              <w:pStyle w:val="TableParagraph"/>
              <w:spacing w:line="157" w:lineRule="exact" w:before="7"/>
              <w:ind w:left="40"/>
              <w:rPr>
                <w:sz w:val="14"/>
              </w:rPr>
            </w:pPr>
            <w:r>
              <w:rPr>
                <w:sz w:val="14"/>
              </w:rPr>
              <w:t>organizaciones y entidades extraterritoriales].</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before="70"/>
              <w:ind w:left="40"/>
              <w:rPr>
                <w:sz w:val="14"/>
              </w:rPr>
            </w:pPr>
            <w:r>
              <w:rPr>
                <w:sz w:val="14"/>
              </w:rPr>
              <w:t>Servicios internacionales.</w:t>
            </w:r>
          </w:p>
        </w:tc>
      </w:tr>
      <w:tr>
        <w:trPr>
          <w:trHeight w:val="667"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40"/>
              <w:rPr>
                <w:sz w:val="14"/>
              </w:rPr>
            </w:pPr>
            <w:r>
              <w:rPr>
                <w:w w:val="90"/>
                <w:sz w:val="14"/>
              </w:rPr>
              <w:t>64000000-6 [Servicios de correos y telecomunicaciones], 64100000-7 [Servicios postales y de correo rápido], 64110000-0 [Servicios</w:t>
            </w:r>
          </w:p>
          <w:p>
            <w:pPr>
              <w:pStyle w:val="TableParagraph"/>
              <w:spacing w:line="160" w:lineRule="atLeast" w:before="7"/>
              <w:ind w:left="40"/>
              <w:rPr>
                <w:sz w:val="14"/>
              </w:rPr>
            </w:pPr>
            <w:r>
              <w:rPr>
                <w:w w:val="90"/>
                <w:sz w:val="14"/>
              </w:rPr>
              <w:t>postales],</w:t>
            </w:r>
            <w:r>
              <w:rPr>
                <w:spacing w:val="-18"/>
                <w:w w:val="90"/>
                <w:sz w:val="14"/>
              </w:rPr>
              <w:t> </w:t>
            </w:r>
            <w:r>
              <w:rPr>
                <w:w w:val="90"/>
                <w:sz w:val="14"/>
              </w:rPr>
              <w:t>64111000-7</w:t>
            </w:r>
            <w:r>
              <w:rPr>
                <w:spacing w:val="-18"/>
                <w:w w:val="90"/>
                <w:sz w:val="14"/>
              </w:rPr>
              <w:t> </w:t>
            </w:r>
            <w:r>
              <w:rPr>
                <w:w w:val="90"/>
                <w:sz w:val="14"/>
              </w:rPr>
              <w:t>[Servicios</w:t>
            </w:r>
            <w:r>
              <w:rPr>
                <w:spacing w:val="-17"/>
                <w:w w:val="90"/>
                <w:sz w:val="14"/>
              </w:rPr>
              <w:t> </w:t>
            </w:r>
            <w:r>
              <w:rPr>
                <w:w w:val="90"/>
                <w:sz w:val="14"/>
              </w:rPr>
              <w:t>postales</w:t>
            </w:r>
            <w:r>
              <w:rPr>
                <w:spacing w:val="-18"/>
                <w:w w:val="90"/>
                <w:sz w:val="14"/>
              </w:rPr>
              <w:t> </w:t>
            </w:r>
            <w:r>
              <w:rPr>
                <w:w w:val="90"/>
                <w:sz w:val="14"/>
              </w:rPr>
              <w:t>relacionados</w:t>
            </w:r>
            <w:r>
              <w:rPr>
                <w:spacing w:val="-18"/>
                <w:w w:val="90"/>
                <w:sz w:val="14"/>
              </w:rPr>
              <w:t> </w:t>
            </w:r>
            <w:r>
              <w:rPr>
                <w:w w:val="90"/>
                <w:sz w:val="14"/>
              </w:rPr>
              <w:t>con</w:t>
            </w:r>
            <w:r>
              <w:rPr>
                <w:spacing w:val="-17"/>
                <w:w w:val="90"/>
                <w:sz w:val="14"/>
              </w:rPr>
              <w:t> </w:t>
            </w:r>
            <w:r>
              <w:rPr>
                <w:w w:val="90"/>
                <w:sz w:val="14"/>
              </w:rPr>
              <w:t>periódicos</w:t>
            </w:r>
            <w:r>
              <w:rPr>
                <w:spacing w:val="-18"/>
                <w:w w:val="90"/>
                <w:sz w:val="14"/>
              </w:rPr>
              <w:t> </w:t>
            </w:r>
            <w:r>
              <w:rPr>
                <w:w w:val="90"/>
                <w:sz w:val="14"/>
              </w:rPr>
              <w:t>y</w:t>
            </w:r>
            <w:r>
              <w:rPr>
                <w:spacing w:val="-18"/>
                <w:w w:val="90"/>
                <w:sz w:val="14"/>
              </w:rPr>
              <w:t> </w:t>
            </w:r>
            <w:r>
              <w:rPr>
                <w:w w:val="90"/>
                <w:sz w:val="14"/>
              </w:rPr>
              <w:t>revistas],</w:t>
            </w:r>
            <w:r>
              <w:rPr>
                <w:spacing w:val="-18"/>
                <w:w w:val="90"/>
                <w:sz w:val="14"/>
              </w:rPr>
              <w:t> </w:t>
            </w:r>
            <w:r>
              <w:rPr>
                <w:w w:val="90"/>
                <w:sz w:val="14"/>
              </w:rPr>
              <w:t>64112000-4</w:t>
            </w:r>
            <w:r>
              <w:rPr>
                <w:spacing w:val="-17"/>
                <w:w w:val="90"/>
                <w:sz w:val="14"/>
              </w:rPr>
              <w:t> </w:t>
            </w:r>
            <w:r>
              <w:rPr>
                <w:w w:val="90"/>
                <w:sz w:val="14"/>
              </w:rPr>
              <w:t>[Servicios</w:t>
            </w:r>
            <w:r>
              <w:rPr>
                <w:spacing w:val="-18"/>
                <w:w w:val="90"/>
                <w:sz w:val="14"/>
              </w:rPr>
              <w:t> </w:t>
            </w:r>
            <w:r>
              <w:rPr>
                <w:w w:val="90"/>
                <w:sz w:val="14"/>
              </w:rPr>
              <w:t>postales</w:t>
            </w:r>
            <w:r>
              <w:rPr>
                <w:spacing w:val="-18"/>
                <w:w w:val="90"/>
                <w:sz w:val="14"/>
              </w:rPr>
              <w:t> </w:t>
            </w:r>
            <w:r>
              <w:rPr>
                <w:w w:val="90"/>
                <w:sz w:val="14"/>
              </w:rPr>
              <w:t>relacionados</w:t>
            </w:r>
            <w:r>
              <w:rPr>
                <w:spacing w:val="-17"/>
                <w:w w:val="90"/>
                <w:sz w:val="14"/>
              </w:rPr>
              <w:t> </w:t>
            </w:r>
            <w:r>
              <w:rPr>
                <w:w w:val="90"/>
                <w:sz w:val="14"/>
              </w:rPr>
              <w:t>con cartas],</w:t>
            </w:r>
            <w:r>
              <w:rPr>
                <w:spacing w:val="-15"/>
                <w:w w:val="90"/>
                <w:sz w:val="14"/>
              </w:rPr>
              <w:t> </w:t>
            </w:r>
            <w:r>
              <w:rPr>
                <w:w w:val="90"/>
                <w:sz w:val="14"/>
              </w:rPr>
              <w:t>64113000-1</w:t>
            </w:r>
            <w:r>
              <w:rPr>
                <w:spacing w:val="-15"/>
                <w:w w:val="90"/>
                <w:sz w:val="14"/>
              </w:rPr>
              <w:t> </w:t>
            </w:r>
            <w:r>
              <w:rPr>
                <w:w w:val="90"/>
                <w:sz w:val="14"/>
              </w:rPr>
              <w:t>[Servicios</w:t>
            </w:r>
            <w:r>
              <w:rPr>
                <w:spacing w:val="-15"/>
                <w:w w:val="90"/>
                <w:sz w:val="14"/>
              </w:rPr>
              <w:t> </w:t>
            </w:r>
            <w:r>
              <w:rPr>
                <w:w w:val="90"/>
                <w:sz w:val="14"/>
              </w:rPr>
              <w:t>postales</w:t>
            </w:r>
            <w:r>
              <w:rPr>
                <w:spacing w:val="-15"/>
                <w:w w:val="90"/>
                <w:sz w:val="14"/>
              </w:rPr>
              <w:t> </w:t>
            </w:r>
            <w:r>
              <w:rPr>
                <w:w w:val="90"/>
                <w:sz w:val="14"/>
              </w:rPr>
              <w:t>relacionados</w:t>
            </w:r>
            <w:r>
              <w:rPr>
                <w:spacing w:val="-15"/>
                <w:w w:val="90"/>
                <w:sz w:val="14"/>
              </w:rPr>
              <w:t> </w:t>
            </w:r>
            <w:r>
              <w:rPr>
                <w:w w:val="90"/>
                <w:sz w:val="14"/>
              </w:rPr>
              <w:t>con</w:t>
            </w:r>
            <w:r>
              <w:rPr>
                <w:spacing w:val="-15"/>
                <w:w w:val="90"/>
                <w:sz w:val="14"/>
              </w:rPr>
              <w:t> </w:t>
            </w:r>
            <w:r>
              <w:rPr>
                <w:w w:val="90"/>
                <w:sz w:val="14"/>
              </w:rPr>
              <w:t>paquetes],</w:t>
            </w:r>
            <w:r>
              <w:rPr>
                <w:spacing w:val="-15"/>
                <w:w w:val="90"/>
                <w:sz w:val="14"/>
              </w:rPr>
              <w:t> </w:t>
            </w:r>
            <w:r>
              <w:rPr>
                <w:w w:val="90"/>
                <w:sz w:val="14"/>
              </w:rPr>
              <w:t>64114000-8</w:t>
            </w:r>
            <w:r>
              <w:rPr>
                <w:spacing w:val="-15"/>
                <w:w w:val="90"/>
                <w:sz w:val="14"/>
              </w:rPr>
              <w:t> </w:t>
            </w:r>
            <w:r>
              <w:rPr>
                <w:w w:val="90"/>
                <w:sz w:val="14"/>
              </w:rPr>
              <w:t>[Servicios</w:t>
            </w:r>
            <w:r>
              <w:rPr>
                <w:spacing w:val="-14"/>
                <w:w w:val="90"/>
                <w:sz w:val="14"/>
              </w:rPr>
              <w:t> </w:t>
            </w:r>
            <w:r>
              <w:rPr>
                <w:w w:val="90"/>
                <w:sz w:val="14"/>
              </w:rPr>
              <w:t>de</w:t>
            </w:r>
            <w:r>
              <w:rPr>
                <w:spacing w:val="-15"/>
                <w:w w:val="90"/>
                <w:sz w:val="14"/>
              </w:rPr>
              <w:t> </w:t>
            </w:r>
            <w:r>
              <w:rPr>
                <w:w w:val="90"/>
                <w:sz w:val="14"/>
              </w:rPr>
              <w:t>ventanilla</w:t>
            </w:r>
            <w:r>
              <w:rPr>
                <w:spacing w:val="-15"/>
                <w:w w:val="90"/>
                <w:sz w:val="14"/>
              </w:rPr>
              <w:t> </w:t>
            </w:r>
            <w:r>
              <w:rPr>
                <w:w w:val="90"/>
                <w:sz w:val="14"/>
              </w:rPr>
              <w:t>de</w:t>
            </w:r>
            <w:r>
              <w:rPr>
                <w:spacing w:val="-15"/>
                <w:w w:val="90"/>
                <w:sz w:val="14"/>
              </w:rPr>
              <w:t> </w:t>
            </w:r>
            <w:r>
              <w:rPr>
                <w:w w:val="90"/>
                <w:sz w:val="14"/>
              </w:rPr>
              <w:t>correos],</w:t>
            </w:r>
            <w:r>
              <w:rPr>
                <w:spacing w:val="-15"/>
                <w:w w:val="90"/>
                <w:sz w:val="14"/>
              </w:rPr>
              <w:t> </w:t>
            </w:r>
            <w:r>
              <w:rPr>
                <w:w w:val="90"/>
                <w:sz w:val="14"/>
              </w:rPr>
              <w:t>64115000-5 </w:t>
            </w:r>
            <w:r>
              <w:rPr>
                <w:w w:val="95"/>
                <w:sz w:val="14"/>
              </w:rPr>
              <w:t>[Alquiler</w:t>
            </w:r>
            <w:r>
              <w:rPr>
                <w:spacing w:val="-19"/>
                <w:w w:val="95"/>
                <w:sz w:val="14"/>
              </w:rPr>
              <w:t> </w:t>
            </w:r>
            <w:r>
              <w:rPr>
                <w:w w:val="95"/>
                <w:sz w:val="14"/>
              </w:rPr>
              <w:t>de</w:t>
            </w:r>
            <w:r>
              <w:rPr>
                <w:spacing w:val="-19"/>
                <w:w w:val="95"/>
                <w:sz w:val="14"/>
              </w:rPr>
              <w:t> </w:t>
            </w:r>
            <w:r>
              <w:rPr>
                <w:w w:val="95"/>
                <w:sz w:val="14"/>
              </w:rPr>
              <w:t>apartados</w:t>
            </w:r>
            <w:r>
              <w:rPr>
                <w:spacing w:val="-19"/>
                <w:w w:val="95"/>
                <w:sz w:val="14"/>
              </w:rPr>
              <w:t> </w:t>
            </w:r>
            <w:r>
              <w:rPr>
                <w:w w:val="95"/>
                <w:sz w:val="14"/>
              </w:rPr>
              <w:t>de</w:t>
            </w:r>
            <w:r>
              <w:rPr>
                <w:spacing w:val="-19"/>
                <w:w w:val="95"/>
                <w:sz w:val="14"/>
              </w:rPr>
              <w:t> </w:t>
            </w:r>
            <w:r>
              <w:rPr>
                <w:w w:val="95"/>
                <w:sz w:val="14"/>
              </w:rPr>
              <w:t>correos],</w:t>
            </w:r>
            <w:r>
              <w:rPr>
                <w:spacing w:val="-19"/>
                <w:w w:val="95"/>
                <w:sz w:val="14"/>
              </w:rPr>
              <w:t> </w:t>
            </w:r>
            <w:r>
              <w:rPr>
                <w:w w:val="95"/>
                <w:sz w:val="14"/>
              </w:rPr>
              <w:t>64116000-2</w:t>
            </w:r>
            <w:r>
              <w:rPr>
                <w:spacing w:val="-19"/>
                <w:w w:val="95"/>
                <w:sz w:val="14"/>
              </w:rPr>
              <w:t> </w:t>
            </w:r>
            <w:r>
              <w:rPr>
                <w:w w:val="95"/>
                <w:sz w:val="14"/>
              </w:rPr>
              <w:t>[Servicios</w:t>
            </w:r>
            <w:r>
              <w:rPr>
                <w:spacing w:val="-19"/>
                <w:w w:val="95"/>
                <w:sz w:val="14"/>
              </w:rPr>
              <w:t> </w:t>
            </w:r>
            <w:r>
              <w:rPr>
                <w:w w:val="95"/>
                <w:sz w:val="14"/>
              </w:rPr>
              <w:t>de</w:t>
            </w:r>
            <w:r>
              <w:rPr>
                <w:spacing w:val="-19"/>
                <w:w w:val="95"/>
                <w:sz w:val="14"/>
              </w:rPr>
              <w:t> </w:t>
            </w:r>
            <w:r>
              <w:rPr>
                <w:w w:val="95"/>
                <w:sz w:val="14"/>
              </w:rPr>
              <w:t>lista</w:t>
            </w:r>
            <w:r>
              <w:rPr>
                <w:spacing w:val="-19"/>
                <w:w w:val="95"/>
                <w:sz w:val="14"/>
              </w:rPr>
              <w:t> </w:t>
            </w:r>
            <w:r>
              <w:rPr>
                <w:w w:val="95"/>
                <w:sz w:val="14"/>
              </w:rPr>
              <w:t>de</w:t>
            </w:r>
            <w:r>
              <w:rPr>
                <w:spacing w:val="-19"/>
                <w:w w:val="95"/>
                <w:sz w:val="14"/>
              </w:rPr>
              <w:t> </w:t>
            </w:r>
            <w:r>
              <w:rPr>
                <w:w w:val="95"/>
                <w:sz w:val="14"/>
              </w:rPr>
              <w:t>correos],</w:t>
            </w:r>
            <w:r>
              <w:rPr>
                <w:spacing w:val="-19"/>
                <w:w w:val="95"/>
                <w:sz w:val="14"/>
              </w:rPr>
              <w:t> </w:t>
            </w:r>
            <w:r>
              <w:rPr>
                <w:w w:val="95"/>
                <w:sz w:val="14"/>
              </w:rPr>
              <w:t>64122000-7</w:t>
            </w:r>
            <w:r>
              <w:rPr>
                <w:spacing w:val="-19"/>
                <w:w w:val="95"/>
                <w:sz w:val="14"/>
              </w:rPr>
              <w:t> </w:t>
            </w:r>
            <w:r>
              <w:rPr>
                <w:w w:val="95"/>
                <w:sz w:val="14"/>
              </w:rPr>
              <w:t>[Servicios</w:t>
            </w:r>
            <w:r>
              <w:rPr>
                <w:spacing w:val="-19"/>
                <w:w w:val="95"/>
                <w:sz w:val="14"/>
              </w:rPr>
              <w:t> </w:t>
            </w:r>
            <w:r>
              <w:rPr>
                <w:w w:val="95"/>
                <w:sz w:val="14"/>
              </w:rPr>
              <w:t>de</w:t>
            </w:r>
            <w:r>
              <w:rPr>
                <w:spacing w:val="-19"/>
                <w:w w:val="95"/>
                <w:sz w:val="14"/>
              </w:rPr>
              <w:t> </w:t>
            </w:r>
            <w:r>
              <w:rPr>
                <w:w w:val="95"/>
                <w:sz w:val="14"/>
              </w:rPr>
              <w:t>correo</w:t>
            </w:r>
            <w:r>
              <w:rPr>
                <w:spacing w:val="-19"/>
                <w:w w:val="95"/>
                <w:sz w:val="14"/>
              </w:rPr>
              <w:t> </w:t>
            </w:r>
            <w:r>
              <w:rPr>
                <w:w w:val="95"/>
                <w:sz w:val="14"/>
              </w:rPr>
              <w:t>interno].</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before="8"/>
              <w:rPr>
                <w:b/>
                <w:sz w:val="20"/>
              </w:rPr>
            </w:pPr>
          </w:p>
          <w:p>
            <w:pPr>
              <w:pStyle w:val="TableParagraph"/>
              <w:spacing w:before="1"/>
              <w:ind w:left="40"/>
              <w:rPr>
                <w:sz w:val="14"/>
              </w:rPr>
            </w:pPr>
            <w:r>
              <w:rPr>
                <w:sz w:val="14"/>
              </w:rPr>
              <w:t>Servicios de correos.</w:t>
            </w:r>
          </w:p>
        </w:tc>
      </w:tr>
      <w:tr>
        <w:trPr>
          <w:trHeight w:val="163" w:hRule="atLeast"/>
        </w:trPr>
        <w:tc>
          <w:tcPr>
            <w:tcW w:w="7458"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50116510-9 [Servicios de recauchutado de neumáticos], 71550000-8 [Servicios de herrería].</w:t>
            </w:r>
          </w:p>
        </w:tc>
        <w:tc>
          <w:tcPr>
            <w:tcW w:w="2746"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40"/>
              <w:rPr>
                <w:sz w:val="14"/>
              </w:rPr>
            </w:pPr>
            <w:r>
              <w:rPr>
                <w:sz w:val="14"/>
              </w:rPr>
              <w:t>Servicios diversos.</w:t>
            </w:r>
          </w:p>
        </w:tc>
      </w:tr>
    </w:tbl>
    <w:p>
      <w:pPr>
        <w:pStyle w:val="BodyText"/>
        <w:spacing w:before="0"/>
        <w:ind w:left="0" w:firstLine="0"/>
        <w:jc w:val="left"/>
        <w:rPr>
          <w:b/>
        </w:rPr>
      </w:pPr>
    </w:p>
    <w:p>
      <w:pPr>
        <w:pStyle w:val="BodyText"/>
        <w:spacing w:before="0"/>
        <w:ind w:left="0" w:firstLine="0"/>
        <w:jc w:val="left"/>
        <w:rPr>
          <w:b/>
        </w:rPr>
      </w:pPr>
    </w:p>
    <w:p>
      <w:pPr>
        <w:pStyle w:val="BodyText"/>
        <w:spacing w:before="8"/>
        <w:ind w:left="0" w:firstLine="0"/>
        <w:jc w:val="left"/>
        <w:rPr>
          <w:b/>
          <w:sz w:val="19"/>
        </w:rPr>
      </w:pPr>
    </w:p>
    <w:p>
      <w:pPr>
        <w:spacing w:before="94"/>
        <w:ind w:left="2929" w:right="3127" w:firstLine="0"/>
        <w:jc w:val="center"/>
        <w:rPr>
          <w:b/>
          <w:sz w:val="20"/>
        </w:rPr>
      </w:pPr>
      <w:bookmarkStart w:name="ANEXO II. Actividades a que se refiere e" w:id="429"/>
      <w:bookmarkEnd w:id="429"/>
      <w:r>
        <w:rPr/>
      </w:r>
      <w:bookmarkStart w:name="_bookmark83" w:id="430"/>
      <w:bookmarkEnd w:id="430"/>
      <w:r>
        <w:rPr/>
      </w:r>
      <w:r>
        <w:rPr>
          <w:b/>
          <w:sz w:val="20"/>
        </w:rPr>
        <w:t>ANEXO II</w:t>
      </w:r>
    </w:p>
    <w:p>
      <w:pPr>
        <w:spacing w:before="124"/>
        <w:ind w:left="1413" w:right="1613" w:firstLine="0"/>
        <w:jc w:val="center"/>
        <w:rPr>
          <w:b/>
          <w:sz w:val="20"/>
        </w:rPr>
      </w:pPr>
      <w:r>
        <w:rPr>
          <w:b/>
          <w:sz w:val="20"/>
        </w:rPr>
        <w:t>Actividades a que se refiere el artículo 2.b) relativo al contrato de obras</w:t>
      </w:r>
    </w:p>
    <w:p>
      <w:pPr>
        <w:pStyle w:val="BodyText"/>
        <w:spacing w:line="249" w:lineRule="auto" w:before="124"/>
        <w:ind w:right="1278"/>
        <w:jc w:val="left"/>
      </w:pPr>
      <w:r>
        <w:rPr/>
        <w:t>En caso de diferentes interpretaciones entre CPV y NACE, se aplicará la nomenclatura CPV.</w:t>
      </w:r>
    </w:p>
    <w:p>
      <w:pPr>
        <w:pStyle w:val="BodyText"/>
        <w:spacing w:before="0"/>
        <w:ind w:left="0" w:firstLine="0"/>
        <w:jc w:val="left"/>
      </w:pPr>
    </w:p>
    <w:p>
      <w:pPr>
        <w:pStyle w:val="BodyText"/>
        <w:spacing w:before="9" w:after="1"/>
        <w:ind w:left="0" w:firstLine="0"/>
        <w:jc w:val="left"/>
        <w:rPr>
          <w:sz w:val="10"/>
        </w:rPr>
      </w:pPr>
    </w:p>
    <w:tbl>
      <w:tblPr>
        <w:tblW w:w="0" w:type="auto"/>
        <w:jc w:val="left"/>
        <w:tblInd w:w="117"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CellMar>
          <w:top w:w="0" w:type="dxa"/>
          <w:left w:w="0" w:type="dxa"/>
          <w:bottom w:w="0" w:type="dxa"/>
          <w:right w:w="0" w:type="dxa"/>
        </w:tblCellMar>
        <w:tblLook w:val="01E0"/>
      </w:tblPr>
      <w:tblGrid>
        <w:gridCol w:w="515"/>
        <w:gridCol w:w="427"/>
        <w:gridCol w:w="400"/>
        <w:gridCol w:w="1623"/>
        <w:gridCol w:w="6354"/>
        <w:gridCol w:w="893"/>
      </w:tblGrid>
      <w:tr>
        <w:trPr>
          <w:trHeight w:val="167" w:hRule="atLeast"/>
        </w:trPr>
        <w:tc>
          <w:tcPr>
            <w:tcW w:w="9319" w:type="dxa"/>
            <w:gridSpan w:val="5"/>
            <w:shd w:val="clear" w:color="auto" w:fill="EDEDED"/>
          </w:tcPr>
          <w:p>
            <w:pPr>
              <w:pStyle w:val="TableParagraph"/>
              <w:spacing w:line="148" w:lineRule="exact"/>
              <w:ind w:left="4166" w:right="4166"/>
              <w:jc w:val="center"/>
              <w:rPr>
                <w:b/>
                <w:sz w:val="8"/>
              </w:rPr>
            </w:pPr>
            <w:r>
              <w:rPr>
                <w:b/>
                <w:w w:val="95"/>
                <w:sz w:val="14"/>
              </w:rPr>
              <w:t>NACE Rev. 2 </w:t>
            </w:r>
            <w:r>
              <w:rPr>
                <w:b/>
                <w:w w:val="95"/>
                <w:position w:val="5"/>
                <w:sz w:val="8"/>
              </w:rPr>
              <w:t>(1)</w:t>
            </w:r>
          </w:p>
        </w:tc>
        <w:tc>
          <w:tcPr>
            <w:tcW w:w="893" w:type="dxa"/>
            <w:vMerge w:val="restart"/>
            <w:shd w:val="clear" w:color="auto" w:fill="EDEDED"/>
          </w:tcPr>
          <w:p>
            <w:pPr>
              <w:pStyle w:val="TableParagraph"/>
              <w:spacing w:before="1"/>
              <w:rPr>
                <w:sz w:val="14"/>
              </w:rPr>
            </w:pPr>
          </w:p>
          <w:p>
            <w:pPr>
              <w:pStyle w:val="TableParagraph"/>
              <w:ind w:left="100"/>
              <w:rPr>
                <w:b/>
                <w:sz w:val="14"/>
              </w:rPr>
            </w:pPr>
            <w:r>
              <w:rPr>
                <w:b/>
                <w:w w:val="95"/>
                <w:sz w:val="14"/>
              </w:rPr>
              <w:t>Código CPV</w:t>
            </w:r>
          </w:p>
        </w:tc>
      </w:tr>
      <w:tr>
        <w:trPr>
          <w:trHeight w:val="163" w:hRule="atLeast"/>
        </w:trPr>
        <w:tc>
          <w:tcPr>
            <w:tcW w:w="1342" w:type="dxa"/>
            <w:gridSpan w:val="3"/>
            <w:shd w:val="clear" w:color="auto" w:fill="EDEDED"/>
          </w:tcPr>
          <w:p>
            <w:pPr>
              <w:pStyle w:val="TableParagraph"/>
              <w:spacing w:line="144" w:lineRule="exact"/>
              <w:ind w:left="395"/>
              <w:rPr>
                <w:b/>
                <w:sz w:val="14"/>
              </w:rPr>
            </w:pPr>
            <w:r>
              <w:rPr>
                <w:b/>
                <w:w w:val="95"/>
                <w:sz w:val="14"/>
              </w:rPr>
              <w:t>Sección F</w:t>
            </w:r>
          </w:p>
        </w:tc>
        <w:tc>
          <w:tcPr>
            <w:tcW w:w="7977" w:type="dxa"/>
            <w:gridSpan w:val="2"/>
            <w:shd w:val="clear" w:color="auto" w:fill="EDEDED"/>
          </w:tcPr>
          <w:p>
            <w:pPr>
              <w:pStyle w:val="TableParagraph"/>
              <w:spacing w:line="144" w:lineRule="exact"/>
              <w:ind w:left="3557" w:right="3557"/>
              <w:jc w:val="center"/>
              <w:rPr>
                <w:b/>
                <w:sz w:val="14"/>
              </w:rPr>
            </w:pPr>
            <w:r>
              <w:rPr>
                <w:b/>
                <w:w w:val="90"/>
                <w:sz w:val="14"/>
              </w:rPr>
              <w:t>Construcción</w:t>
            </w:r>
          </w:p>
        </w:tc>
        <w:tc>
          <w:tcPr>
            <w:tcW w:w="893" w:type="dxa"/>
            <w:vMerge/>
            <w:tcBorders>
              <w:top w:val="nil"/>
            </w:tcBorders>
            <w:shd w:val="clear" w:color="auto" w:fill="EDEDED"/>
          </w:tcPr>
          <w:p>
            <w:pPr>
              <w:rPr>
                <w:sz w:val="2"/>
                <w:szCs w:val="2"/>
              </w:rPr>
            </w:pPr>
          </w:p>
        </w:tc>
      </w:tr>
      <w:tr>
        <w:trPr>
          <w:trHeight w:val="163" w:hRule="atLeast"/>
        </w:trPr>
        <w:tc>
          <w:tcPr>
            <w:tcW w:w="515" w:type="dxa"/>
            <w:shd w:val="clear" w:color="auto" w:fill="EDEDED"/>
          </w:tcPr>
          <w:p>
            <w:pPr>
              <w:pStyle w:val="TableParagraph"/>
              <w:spacing w:line="143" w:lineRule="exact"/>
              <w:ind w:left="17" w:right="12"/>
              <w:jc w:val="center"/>
              <w:rPr>
                <w:b/>
                <w:sz w:val="14"/>
              </w:rPr>
            </w:pPr>
            <w:r>
              <w:rPr>
                <w:b/>
                <w:w w:val="80"/>
                <w:sz w:val="14"/>
              </w:rPr>
              <w:t>División</w:t>
            </w:r>
          </w:p>
        </w:tc>
        <w:tc>
          <w:tcPr>
            <w:tcW w:w="427" w:type="dxa"/>
            <w:shd w:val="clear" w:color="auto" w:fill="EDEDED"/>
          </w:tcPr>
          <w:p>
            <w:pPr>
              <w:pStyle w:val="TableParagraph"/>
              <w:spacing w:line="143" w:lineRule="exact"/>
              <w:ind w:left="11" w:right="8"/>
              <w:jc w:val="center"/>
              <w:rPr>
                <w:b/>
                <w:sz w:val="14"/>
              </w:rPr>
            </w:pPr>
            <w:r>
              <w:rPr>
                <w:b/>
                <w:w w:val="85"/>
                <w:sz w:val="14"/>
              </w:rPr>
              <w:t>Grupo</w:t>
            </w:r>
          </w:p>
        </w:tc>
        <w:tc>
          <w:tcPr>
            <w:tcW w:w="400" w:type="dxa"/>
            <w:shd w:val="clear" w:color="auto" w:fill="EDEDED"/>
          </w:tcPr>
          <w:p>
            <w:pPr>
              <w:pStyle w:val="TableParagraph"/>
              <w:spacing w:line="143" w:lineRule="exact"/>
              <w:ind w:right="35"/>
              <w:jc w:val="right"/>
              <w:rPr>
                <w:b/>
                <w:sz w:val="14"/>
              </w:rPr>
            </w:pPr>
            <w:r>
              <w:rPr>
                <w:b/>
                <w:w w:val="80"/>
                <w:sz w:val="14"/>
              </w:rPr>
              <w:t>Clase</w:t>
            </w:r>
          </w:p>
        </w:tc>
        <w:tc>
          <w:tcPr>
            <w:tcW w:w="1623" w:type="dxa"/>
            <w:shd w:val="clear" w:color="auto" w:fill="EDEDED"/>
          </w:tcPr>
          <w:p>
            <w:pPr>
              <w:pStyle w:val="TableParagraph"/>
              <w:spacing w:line="143" w:lineRule="exact"/>
              <w:ind w:left="486"/>
              <w:rPr>
                <w:b/>
                <w:sz w:val="14"/>
              </w:rPr>
            </w:pPr>
            <w:r>
              <w:rPr>
                <w:b/>
                <w:w w:val="90"/>
                <w:sz w:val="14"/>
              </w:rPr>
              <w:t>Descripción</w:t>
            </w:r>
          </w:p>
        </w:tc>
        <w:tc>
          <w:tcPr>
            <w:tcW w:w="6354" w:type="dxa"/>
            <w:shd w:val="clear" w:color="auto" w:fill="EDEDED"/>
          </w:tcPr>
          <w:p>
            <w:pPr>
              <w:pStyle w:val="TableParagraph"/>
              <w:spacing w:line="143" w:lineRule="exact"/>
              <w:ind w:left="2699" w:right="2700"/>
              <w:jc w:val="center"/>
              <w:rPr>
                <w:b/>
                <w:sz w:val="14"/>
              </w:rPr>
            </w:pPr>
            <w:r>
              <w:rPr>
                <w:b/>
                <w:w w:val="90"/>
                <w:sz w:val="14"/>
              </w:rPr>
              <w:t>Observaciones</w:t>
            </w:r>
          </w:p>
        </w:tc>
        <w:tc>
          <w:tcPr>
            <w:tcW w:w="893" w:type="dxa"/>
            <w:vMerge/>
            <w:tcBorders>
              <w:top w:val="nil"/>
            </w:tcBorders>
            <w:shd w:val="clear" w:color="auto" w:fill="EDEDED"/>
          </w:tcPr>
          <w:p>
            <w:pPr>
              <w:rPr>
                <w:sz w:val="2"/>
                <w:szCs w:val="2"/>
              </w:rPr>
            </w:pPr>
          </w:p>
        </w:tc>
      </w:tr>
      <w:tr>
        <w:trPr>
          <w:trHeight w:val="332" w:hRule="atLeast"/>
        </w:trPr>
        <w:tc>
          <w:tcPr>
            <w:tcW w:w="515" w:type="dxa"/>
            <w:tcBorders>
              <w:left w:val="single" w:sz="4" w:space="0" w:color="CCCCCC"/>
              <w:bottom w:val="single" w:sz="4" w:space="0" w:color="CCCCCC"/>
              <w:right w:val="single" w:sz="4" w:space="0" w:color="CCCCCC"/>
            </w:tcBorders>
          </w:tcPr>
          <w:p>
            <w:pPr>
              <w:pStyle w:val="TableParagraph"/>
              <w:spacing w:before="71"/>
              <w:ind w:left="17" w:right="12"/>
              <w:jc w:val="center"/>
              <w:rPr>
                <w:sz w:val="14"/>
              </w:rPr>
            </w:pPr>
            <w:r>
              <w:rPr>
                <w:sz w:val="14"/>
              </w:rPr>
              <w:t>45</w:t>
            </w:r>
          </w:p>
        </w:tc>
        <w:tc>
          <w:tcPr>
            <w:tcW w:w="427" w:type="dxa"/>
            <w:tcBorders>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left w:val="single" w:sz="4" w:space="0" w:color="CCCCCC"/>
              <w:bottom w:val="single" w:sz="4" w:space="0" w:color="CCCCCC"/>
              <w:right w:val="single" w:sz="4" w:space="0" w:color="CCCCCC"/>
            </w:tcBorders>
          </w:tcPr>
          <w:p>
            <w:pPr>
              <w:pStyle w:val="TableParagraph"/>
              <w:rPr>
                <w:rFonts w:ascii="Times New Roman"/>
                <w:sz w:val="12"/>
              </w:rPr>
            </w:pPr>
          </w:p>
        </w:tc>
        <w:tc>
          <w:tcPr>
            <w:tcW w:w="1623" w:type="dxa"/>
            <w:tcBorders>
              <w:left w:val="single" w:sz="4" w:space="0" w:color="CCCCCC"/>
              <w:bottom w:val="single" w:sz="4" w:space="0" w:color="CCCCCC"/>
              <w:right w:val="single" w:sz="4" w:space="0" w:color="CCCCCC"/>
            </w:tcBorders>
          </w:tcPr>
          <w:p>
            <w:pPr>
              <w:pStyle w:val="TableParagraph"/>
              <w:spacing w:before="71"/>
              <w:ind w:left="38"/>
              <w:rPr>
                <w:sz w:val="14"/>
              </w:rPr>
            </w:pPr>
            <w:r>
              <w:rPr>
                <w:sz w:val="14"/>
              </w:rPr>
              <w:t>Construcción.</w:t>
            </w:r>
          </w:p>
        </w:tc>
        <w:tc>
          <w:tcPr>
            <w:tcW w:w="6354" w:type="dxa"/>
            <w:tcBorders>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división comprende:</w:t>
            </w:r>
          </w:p>
          <w:p>
            <w:pPr>
              <w:pStyle w:val="TableParagraph"/>
              <w:spacing w:line="157" w:lineRule="exact" w:before="7"/>
              <w:ind w:left="36"/>
              <w:rPr>
                <w:sz w:val="14"/>
              </w:rPr>
            </w:pPr>
            <w:r>
              <w:rPr>
                <w:sz w:val="14"/>
              </w:rPr>
              <w:t>las construcciones nuevas, obras de restauración y reparaciones corrientes.</w:t>
            </w:r>
          </w:p>
        </w:tc>
        <w:tc>
          <w:tcPr>
            <w:tcW w:w="893" w:type="dxa"/>
            <w:tcBorders>
              <w:left w:val="single" w:sz="4" w:space="0" w:color="CCCCCC"/>
              <w:bottom w:val="single" w:sz="4" w:space="0" w:color="CCCCCC"/>
              <w:right w:val="single" w:sz="4" w:space="0" w:color="CCCCCC"/>
            </w:tcBorders>
          </w:tcPr>
          <w:p>
            <w:pPr>
              <w:pStyle w:val="TableParagraph"/>
              <w:spacing w:before="71"/>
              <w:ind w:left="35"/>
              <w:rPr>
                <w:sz w:val="14"/>
              </w:rPr>
            </w:pPr>
            <w:r>
              <w:rPr>
                <w:sz w:val="14"/>
              </w:rPr>
              <w:t>45000000</w:t>
            </w:r>
          </w:p>
        </w:tc>
      </w:tr>
      <w:tr>
        <w:trPr>
          <w:trHeight w:val="163"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0"/>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11" w:right="8"/>
              <w:jc w:val="center"/>
              <w:rPr>
                <w:sz w:val="14"/>
              </w:rPr>
            </w:pPr>
            <w:r>
              <w:rPr>
                <w:sz w:val="14"/>
              </w:rPr>
              <w:t>45.1</w:t>
            </w: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0"/>
              </w:rPr>
            </w:pP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38"/>
              <w:rPr>
                <w:sz w:val="14"/>
              </w:rPr>
            </w:pPr>
            <w:r>
              <w:rPr>
                <w:sz w:val="14"/>
              </w:rPr>
              <w:t>Preparación de obras.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0"/>
              </w:rPr>
            </w:pP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line="144" w:lineRule="exact"/>
              <w:ind w:left="35"/>
              <w:rPr>
                <w:sz w:val="14"/>
              </w:rPr>
            </w:pPr>
            <w:r>
              <w:rPr>
                <w:sz w:val="14"/>
              </w:rPr>
              <w:t>45100000</w:t>
            </w:r>
          </w:p>
        </w:tc>
      </w:tr>
      <w:tr>
        <w:trPr>
          <w:trHeight w:val="1675"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rPr>
                <w:sz w:val="18"/>
              </w:rPr>
            </w:pPr>
          </w:p>
          <w:p>
            <w:pPr>
              <w:pStyle w:val="TableParagraph"/>
              <w:spacing w:before="122"/>
              <w:ind w:right="38"/>
              <w:jc w:val="right"/>
              <w:rPr>
                <w:sz w:val="14"/>
              </w:rPr>
            </w:pPr>
            <w:r>
              <w:rPr>
                <w:w w:val="85"/>
                <w:sz w:val="14"/>
              </w:rPr>
              <w:t>45.11</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spacing w:before="3"/>
              <w:rPr>
                <w:sz w:val="21"/>
              </w:rPr>
            </w:pPr>
          </w:p>
          <w:p>
            <w:pPr>
              <w:pStyle w:val="TableParagraph"/>
              <w:spacing w:line="249" w:lineRule="auto"/>
              <w:ind w:left="38"/>
              <w:rPr>
                <w:sz w:val="14"/>
              </w:rPr>
            </w:pPr>
            <w:r>
              <w:rPr>
                <w:w w:val="90"/>
                <w:sz w:val="14"/>
              </w:rPr>
              <w:t>Demolición de inmuebles; </w:t>
            </w:r>
            <w:r>
              <w:rPr>
                <w:w w:val="95"/>
                <w:sz w:val="14"/>
              </w:rPr>
              <w:t>movimientos de tierras.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54"/>
              </w:numPr>
              <w:tabs>
                <w:tab w:pos="132" w:val="left" w:leader="none"/>
              </w:tabs>
              <w:spacing w:line="240" w:lineRule="auto" w:before="7" w:after="0"/>
              <w:ind w:left="131" w:right="0" w:hanging="96"/>
              <w:jc w:val="left"/>
              <w:rPr>
                <w:sz w:val="14"/>
              </w:rPr>
            </w:pPr>
            <w:r>
              <w:rPr>
                <w:sz w:val="14"/>
              </w:rPr>
              <w:t>la</w:t>
            </w:r>
            <w:r>
              <w:rPr>
                <w:spacing w:val="-10"/>
                <w:sz w:val="14"/>
              </w:rPr>
              <w:t> </w:t>
            </w:r>
            <w:r>
              <w:rPr>
                <w:sz w:val="14"/>
              </w:rPr>
              <w:t>demolición</w:t>
            </w:r>
            <w:r>
              <w:rPr>
                <w:spacing w:val="-9"/>
                <w:sz w:val="14"/>
              </w:rPr>
              <w:t> </w:t>
            </w:r>
            <w:r>
              <w:rPr>
                <w:sz w:val="14"/>
              </w:rPr>
              <w:t>y</w:t>
            </w:r>
            <w:r>
              <w:rPr>
                <w:spacing w:val="-9"/>
                <w:sz w:val="14"/>
              </w:rPr>
              <w:t> </w:t>
            </w:r>
            <w:r>
              <w:rPr>
                <w:sz w:val="14"/>
              </w:rPr>
              <w:t>el</w:t>
            </w:r>
            <w:r>
              <w:rPr>
                <w:spacing w:val="-9"/>
                <w:sz w:val="14"/>
              </w:rPr>
              <w:t> </w:t>
            </w:r>
            <w:r>
              <w:rPr>
                <w:sz w:val="14"/>
              </w:rPr>
              <w:t>derribo</w:t>
            </w:r>
            <w:r>
              <w:rPr>
                <w:spacing w:val="-9"/>
                <w:sz w:val="14"/>
              </w:rPr>
              <w:t> </w:t>
            </w:r>
            <w:r>
              <w:rPr>
                <w:sz w:val="14"/>
              </w:rPr>
              <w:t>de</w:t>
            </w:r>
            <w:r>
              <w:rPr>
                <w:spacing w:val="-9"/>
                <w:sz w:val="14"/>
              </w:rPr>
              <w:t> </w:t>
            </w:r>
            <w:r>
              <w:rPr>
                <w:sz w:val="14"/>
              </w:rPr>
              <w:t>edificios</w:t>
            </w:r>
            <w:r>
              <w:rPr>
                <w:spacing w:val="-10"/>
                <w:sz w:val="14"/>
              </w:rPr>
              <w:t> </w:t>
            </w:r>
            <w:r>
              <w:rPr>
                <w:sz w:val="14"/>
              </w:rPr>
              <w:t>y</w:t>
            </w:r>
            <w:r>
              <w:rPr>
                <w:spacing w:val="-9"/>
                <w:sz w:val="14"/>
              </w:rPr>
              <w:t> </w:t>
            </w:r>
            <w:r>
              <w:rPr>
                <w:sz w:val="14"/>
              </w:rPr>
              <w:t>otras</w:t>
            </w:r>
            <w:r>
              <w:rPr>
                <w:spacing w:val="-9"/>
                <w:sz w:val="14"/>
              </w:rPr>
              <w:t> </w:t>
            </w:r>
            <w:r>
              <w:rPr>
                <w:sz w:val="14"/>
              </w:rPr>
              <w:t>estructuras</w:t>
            </w:r>
          </w:p>
          <w:p>
            <w:pPr>
              <w:pStyle w:val="TableParagraph"/>
              <w:numPr>
                <w:ilvl w:val="0"/>
                <w:numId w:val="454"/>
              </w:numPr>
              <w:tabs>
                <w:tab w:pos="132" w:val="left" w:leader="none"/>
              </w:tabs>
              <w:spacing w:line="240" w:lineRule="auto" w:before="7" w:after="0"/>
              <w:ind w:left="131" w:right="0" w:hanging="96"/>
              <w:jc w:val="left"/>
              <w:rPr>
                <w:sz w:val="14"/>
              </w:rPr>
            </w:pPr>
            <w:r>
              <w:rPr>
                <w:sz w:val="14"/>
              </w:rPr>
              <w:t>la limpieza de</w:t>
            </w:r>
            <w:r>
              <w:rPr>
                <w:spacing w:val="-20"/>
                <w:sz w:val="14"/>
              </w:rPr>
              <w:t> </w:t>
            </w:r>
            <w:r>
              <w:rPr>
                <w:sz w:val="14"/>
              </w:rPr>
              <w:t>escombros</w:t>
            </w:r>
          </w:p>
          <w:p>
            <w:pPr>
              <w:pStyle w:val="TableParagraph"/>
              <w:numPr>
                <w:ilvl w:val="0"/>
                <w:numId w:val="454"/>
              </w:numPr>
              <w:tabs>
                <w:tab w:pos="132" w:val="left" w:leader="none"/>
              </w:tabs>
              <w:spacing w:line="249" w:lineRule="auto" w:before="7" w:after="0"/>
              <w:ind w:left="36" w:right="641" w:firstLine="0"/>
              <w:jc w:val="left"/>
              <w:rPr>
                <w:sz w:val="14"/>
              </w:rPr>
            </w:pPr>
            <w:r>
              <w:rPr>
                <w:w w:val="90"/>
                <w:sz w:val="14"/>
              </w:rPr>
              <w:t>los</w:t>
            </w:r>
            <w:r>
              <w:rPr>
                <w:spacing w:val="-15"/>
                <w:w w:val="90"/>
                <w:sz w:val="14"/>
              </w:rPr>
              <w:t> </w:t>
            </w:r>
            <w:r>
              <w:rPr>
                <w:w w:val="90"/>
                <w:sz w:val="14"/>
              </w:rPr>
              <w:t>trabajos</w:t>
            </w:r>
            <w:r>
              <w:rPr>
                <w:spacing w:val="-14"/>
                <w:w w:val="90"/>
                <w:sz w:val="14"/>
              </w:rPr>
              <w:t> </w:t>
            </w:r>
            <w:r>
              <w:rPr>
                <w:w w:val="90"/>
                <w:sz w:val="14"/>
              </w:rPr>
              <w:t>de</w:t>
            </w:r>
            <w:r>
              <w:rPr>
                <w:spacing w:val="-14"/>
                <w:w w:val="90"/>
                <w:sz w:val="14"/>
              </w:rPr>
              <w:t> </w:t>
            </w:r>
            <w:r>
              <w:rPr>
                <w:w w:val="90"/>
                <w:sz w:val="14"/>
              </w:rPr>
              <w:t>movimiento</w:t>
            </w:r>
            <w:r>
              <w:rPr>
                <w:spacing w:val="-15"/>
                <w:w w:val="90"/>
                <w:sz w:val="14"/>
              </w:rPr>
              <w:t> </w:t>
            </w:r>
            <w:r>
              <w:rPr>
                <w:w w:val="90"/>
                <w:sz w:val="14"/>
              </w:rPr>
              <w:t>de</w:t>
            </w:r>
            <w:r>
              <w:rPr>
                <w:spacing w:val="-14"/>
                <w:w w:val="90"/>
                <w:sz w:val="14"/>
              </w:rPr>
              <w:t> </w:t>
            </w:r>
            <w:r>
              <w:rPr>
                <w:w w:val="90"/>
                <w:sz w:val="14"/>
              </w:rPr>
              <w:t>tierras:</w:t>
            </w:r>
            <w:r>
              <w:rPr>
                <w:spacing w:val="-14"/>
                <w:w w:val="90"/>
                <w:sz w:val="14"/>
              </w:rPr>
              <w:t> </w:t>
            </w:r>
            <w:r>
              <w:rPr>
                <w:w w:val="90"/>
                <w:sz w:val="14"/>
              </w:rPr>
              <w:t>excavación,</w:t>
            </w:r>
            <w:r>
              <w:rPr>
                <w:spacing w:val="-15"/>
                <w:w w:val="90"/>
                <w:sz w:val="14"/>
              </w:rPr>
              <w:t> </w:t>
            </w:r>
            <w:r>
              <w:rPr>
                <w:w w:val="90"/>
                <w:sz w:val="14"/>
              </w:rPr>
              <w:t>rellenado</w:t>
            </w:r>
            <w:r>
              <w:rPr>
                <w:spacing w:val="-14"/>
                <w:w w:val="90"/>
                <w:sz w:val="14"/>
              </w:rPr>
              <w:t> </w:t>
            </w:r>
            <w:r>
              <w:rPr>
                <w:w w:val="90"/>
                <w:sz w:val="14"/>
              </w:rPr>
              <w:t>y</w:t>
            </w:r>
            <w:r>
              <w:rPr>
                <w:spacing w:val="-14"/>
                <w:w w:val="90"/>
                <w:sz w:val="14"/>
              </w:rPr>
              <w:t> </w:t>
            </w:r>
            <w:r>
              <w:rPr>
                <w:w w:val="90"/>
                <w:sz w:val="14"/>
              </w:rPr>
              <w:t>nivelación</w:t>
            </w:r>
            <w:r>
              <w:rPr>
                <w:spacing w:val="-15"/>
                <w:w w:val="90"/>
                <w:sz w:val="14"/>
              </w:rPr>
              <w:t> </w:t>
            </w:r>
            <w:r>
              <w:rPr>
                <w:w w:val="90"/>
                <w:sz w:val="14"/>
              </w:rPr>
              <w:t>de</w:t>
            </w:r>
            <w:r>
              <w:rPr>
                <w:spacing w:val="-14"/>
                <w:w w:val="90"/>
                <w:sz w:val="14"/>
              </w:rPr>
              <w:t> </w:t>
            </w:r>
            <w:r>
              <w:rPr>
                <w:w w:val="90"/>
                <w:sz w:val="14"/>
              </w:rPr>
              <w:t>emplazamientos</w:t>
            </w:r>
            <w:r>
              <w:rPr>
                <w:spacing w:val="-14"/>
                <w:w w:val="90"/>
                <w:sz w:val="14"/>
              </w:rPr>
              <w:t> </w:t>
            </w:r>
            <w:r>
              <w:rPr>
                <w:w w:val="90"/>
                <w:sz w:val="14"/>
              </w:rPr>
              <w:t>de</w:t>
            </w:r>
            <w:r>
              <w:rPr>
                <w:spacing w:val="-15"/>
                <w:w w:val="90"/>
                <w:sz w:val="14"/>
              </w:rPr>
              <w:t> </w:t>
            </w:r>
            <w:r>
              <w:rPr>
                <w:w w:val="90"/>
                <w:sz w:val="14"/>
              </w:rPr>
              <w:t>obras, </w:t>
            </w:r>
            <w:r>
              <w:rPr>
                <w:sz w:val="14"/>
              </w:rPr>
              <w:t>excavación</w:t>
            </w:r>
            <w:r>
              <w:rPr>
                <w:spacing w:val="-10"/>
                <w:sz w:val="14"/>
              </w:rPr>
              <w:t> </w:t>
            </w:r>
            <w:r>
              <w:rPr>
                <w:sz w:val="14"/>
              </w:rPr>
              <w:t>de</w:t>
            </w:r>
            <w:r>
              <w:rPr>
                <w:spacing w:val="-10"/>
                <w:sz w:val="14"/>
              </w:rPr>
              <w:t> </w:t>
            </w:r>
            <w:r>
              <w:rPr>
                <w:sz w:val="14"/>
              </w:rPr>
              <w:t>zanjas,</w:t>
            </w:r>
            <w:r>
              <w:rPr>
                <w:spacing w:val="-10"/>
                <w:sz w:val="14"/>
              </w:rPr>
              <w:t> </w:t>
            </w:r>
            <w:r>
              <w:rPr>
                <w:sz w:val="14"/>
              </w:rPr>
              <w:t>despeje</w:t>
            </w:r>
            <w:r>
              <w:rPr>
                <w:spacing w:val="-10"/>
                <w:sz w:val="14"/>
              </w:rPr>
              <w:t> </w:t>
            </w:r>
            <w:r>
              <w:rPr>
                <w:sz w:val="14"/>
              </w:rPr>
              <w:t>de</w:t>
            </w:r>
            <w:r>
              <w:rPr>
                <w:spacing w:val="-10"/>
                <w:sz w:val="14"/>
              </w:rPr>
              <w:t> </w:t>
            </w:r>
            <w:r>
              <w:rPr>
                <w:sz w:val="14"/>
              </w:rPr>
              <w:t>rocas,</w:t>
            </w:r>
            <w:r>
              <w:rPr>
                <w:spacing w:val="-10"/>
                <w:sz w:val="14"/>
              </w:rPr>
              <w:t> </w:t>
            </w:r>
            <w:r>
              <w:rPr>
                <w:sz w:val="14"/>
              </w:rPr>
              <w:t>voladuras,</w:t>
            </w:r>
            <w:r>
              <w:rPr>
                <w:spacing w:val="-10"/>
                <w:sz w:val="14"/>
              </w:rPr>
              <w:t> </w:t>
            </w:r>
            <w:r>
              <w:rPr>
                <w:sz w:val="14"/>
              </w:rPr>
              <w:t>etc.</w:t>
            </w:r>
          </w:p>
          <w:p>
            <w:pPr>
              <w:pStyle w:val="TableParagraph"/>
              <w:numPr>
                <w:ilvl w:val="0"/>
                <w:numId w:val="454"/>
              </w:numPr>
              <w:tabs>
                <w:tab w:pos="132" w:val="left" w:leader="none"/>
              </w:tabs>
              <w:spacing w:line="240" w:lineRule="auto" w:before="1" w:after="0"/>
              <w:ind w:left="131" w:right="0" w:hanging="96"/>
              <w:jc w:val="left"/>
              <w:rPr>
                <w:sz w:val="14"/>
              </w:rPr>
            </w:pPr>
            <w:r>
              <w:rPr>
                <w:sz w:val="14"/>
              </w:rPr>
              <w:t>la</w:t>
            </w:r>
            <w:r>
              <w:rPr>
                <w:spacing w:val="-8"/>
                <w:sz w:val="14"/>
              </w:rPr>
              <w:t> </w:t>
            </w:r>
            <w:r>
              <w:rPr>
                <w:sz w:val="14"/>
              </w:rPr>
              <w:t>preparación</w:t>
            </w:r>
            <w:r>
              <w:rPr>
                <w:spacing w:val="-8"/>
                <w:sz w:val="14"/>
              </w:rPr>
              <w:t> </w:t>
            </w:r>
            <w:r>
              <w:rPr>
                <w:sz w:val="14"/>
              </w:rPr>
              <w:t>de</w:t>
            </w:r>
            <w:r>
              <w:rPr>
                <w:spacing w:val="-7"/>
                <w:sz w:val="14"/>
              </w:rPr>
              <w:t> </w:t>
            </w:r>
            <w:r>
              <w:rPr>
                <w:sz w:val="14"/>
              </w:rPr>
              <w:t>explotaciones</w:t>
            </w:r>
            <w:r>
              <w:rPr>
                <w:spacing w:val="-8"/>
                <w:sz w:val="14"/>
              </w:rPr>
              <w:t> </w:t>
            </w:r>
            <w:r>
              <w:rPr>
                <w:sz w:val="14"/>
              </w:rPr>
              <w:t>mineras:</w:t>
            </w:r>
          </w:p>
          <w:p>
            <w:pPr>
              <w:pStyle w:val="TableParagraph"/>
              <w:numPr>
                <w:ilvl w:val="0"/>
                <w:numId w:val="454"/>
              </w:numPr>
              <w:tabs>
                <w:tab w:pos="132" w:val="left" w:leader="none"/>
              </w:tabs>
              <w:spacing w:line="249" w:lineRule="auto" w:before="7" w:after="0"/>
              <w:ind w:left="36" w:right="1540" w:firstLine="0"/>
              <w:jc w:val="left"/>
              <w:rPr>
                <w:sz w:val="14"/>
              </w:rPr>
            </w:pPr>
            <w:r>
              <w:rPr>
                <w:w w:val="90"/>
                <w:sz w:val="14"/>
              </w:rPr>
              <w:t>obras</w:t>
            </w:r>
            <w:r>
              <w:rPr>
                <w:spacing w:val="-15"/>
                <w:w w:val="90"/>
                <w:sz w:val="14"/>
              </w:rPr>
              <w:t> </w:t>
            </w:r>
            <w:r>
              <w:rPr>
                <w:w w:val="90"/>
                <w:sz w:val="14"/>
              </w:rPr>
              <w:t>subterráneas,</w:t>
            </w:r>
            <w:r>
              <w:rPr>
                <w:spacing w:val="-14"/>
                <w:w w:val="90"/>
                <w:sz w:val="14"/>
              </w:rPr>
              <w:t> </w:t>
            </w:r>
            <w:r>
              <w:rPr>
                <w:w w:val="90"/>
                <w:sz w:val="14"/>
              </w:rPr>
              <w:t>despeje</w:t>
            </w:r>
            <w:r>
              <w:rPr>
                <w:spacing w:val="-14"/>
                <w:w w:val="90"/>
                <w:sz w:val="14"/>
              </w:rPr>
              <w:t> </w:t>
            </w:r>
            <w:r>
              <w:rPr>
                <w:w w:val="90"/>
                <w:sz w:val="14"/>
              </w:rPr>
              <w:t>de</w:t>
            </w:r>
            <w:r>
              <w:rPr>
                <w:spacing w:val="-14"/>
                <w:w w:val="90"/>
                <w:sz w:val="14"/>
              </w:rPr>
              <w:t> </w:t>
            </w:r>
            <w:r>
              <w:rPr>
                <w:w w:val="90"/>
                <w:sz w:val="14"/>
              </w:rPr>
              <w:t>montera</w:t>
            </w:r>
            <w:r>
              <w:rPr>
                <w:spacing w:val="-15"/>
                <w:w w:val="90"/>
                <w:sz w:val="14"/>
              </w:rPr>
              <w:t> </w:t>
            </w:r>
            <w:r>
              <w:rPr>
                <w:w w:val="90"/>
                <w:sz w:val="14"/>
              </w:rPr>
              <w:t>y</w:t>
            </w:r>
            <w:r>
              <w:rPr>
                <w:spacing w:val="-14"/>
                <w:w w:val="90"/>
                <w:sz w:val="14"/>
              </w:rPr>
              <w:t> </w:t>
            </w:r>
            <w:r>
              <w:rPr>
                <w:w w:val="90"/>
                <w:sz w:val="14"/>
              </w:rPr>
              <w:t>otras</w:t>
            </w:r>
            <w:r>
              <w:rPr>
                <w:spacing w:val="-14"/>
                <w:w w:val="90"/>
                <w:sz w:val="14"/>
              </w:rPr>
              <w:t> </w:t>
            </w:r>
            <w:r>
              <w:rPr>
                <w:w w:val="90"/>
                <w:sz w:val="14"/>
              </w:rPr>
              <w:t>actividades</w:t>
            </w:r>
            <w:r>
              <w:rPr>
                <w:spacing w:val="-14"/>
                <w:w w:val="90"/>
                <w:sz w:val="14"/>
              </w:rPr>
              <w:t> </w:t>
            </w:r>
            <w:r>
              <w:rPr>
                <w:w w:val="90"/>
                <w:sz w:val="14"/>
              </w:rPr>
              <w:t>de</w:t>
            </w:r>
            <w:r>
              <w:rPr>
                <w:spacing w:val="-14"/>
                <w:w w:val="90"/>
                <w:sz w:val="14"/>
              </w:rPr>
              <w:t> </w:t>
            </w:r>
            <w:r>
              <w:rPr>
                <w:w w:val="90"/>
                <w:sz w:val="14"/>
              </w:rPr>
              <w:t>preparación</w:t>
            </w:r>
            <w:r>
              <w:rPr>
                <w:spacing w:val="-15"/>
                <w:w w:val="90"/>
                <w:sz w:val="14"/>
              </w:rPr>
              <w:t> </w:t>
            </w:r>
            <w:r>
              <w:rPr>
                <w:w w:val="90"/>
                <w:sz w:val="14"/>
              </w:rPr>
              <w:t>de</w:t>
            </w:r>
            <w:r>
              <w:rPr>
                <w:spacing w:val="-14"/>
                <w:w w:val="90"/>
                <w:sz w:val="14"/>
              </w:rPr>
              <w:t> </w:t>
            </w:r>
            <w:r>
              <w:rPr>
                <w:w w:val="90"/>
                <w:sz w:val="14"/>
              </w:rPr>
              <w:t>minas. </w:t>
            </w:r>
            <w:r>
              <w:rPr>
                <w:sz w:val="14"/>
              </w:rPr>
              <w:t>Esta clase comprende</w:t>
            </w:r>
            <w:r>
              <w:rPr>
                <w:spacing w:val="-23"/>
                <w:sz w:val="14"/>
              </w:rPr>
              <w:t> </w:t>
            </w:r>
            <w:r>
              <w:rPr>
                <w:sz w:val="14"/>
              </w:rPr>
              <w:t>también:</w:t>
            </w:r>
          </w:p>
          <w:p>
            <w:pPr>
              <w:pStyle w:val="TableParagraph"/>
              <w:numPr>
                <w:ilvl w:val="0"/>
                <w:numId w:val="454"/>
              </w:numPr>
              <w:tabs>
                <w:tab w:pos="132" w:val="left" w:leader="none"/>
              </w:tabs>
              <w:spacing w:line="240" w:lineRule="auto" w:before="1" w:after="0"/>
              <w:ind w:left="131" w:right="0" w:hanging="96"/>
              <w:jc w:val="left"/>
              <w:rPr>
                <w:sz w:val="14"/>
              </w:rPr>
            </w:pPr>
            <w:r>
              <w:rPr>
                <w:sz w:val="14"/>
              </w:rPr>
              <w:t>el</w:t>
            </w:r>
            <w:r>
              <w:rPr>
                <w:spacing w:val="-8"/>
                <w:sz w:val="14"/>
              </w:rPr>
              <w:t> </w:t>
            </w:r>
            <w:r>
              <w:rPr>
                <w:sz w:val="14"/>
              </w:rPr>
              <w:t>drenaje</w:t>
            </w:r>
            <w:r>
              <w:rPr>
                <w:spacing w:val="-7"/>
                <w:sz w:val="14"/>
              </w:rPr>
              <w:t> </w:t>
            </w:r>
            <w:r>
              <w:rPr>
                <w:sz w:val="14"/>
              </w:rPr>
              <w:t>de</w:t>
            </w:r>
            <w:r>
              <w:rPr>
                <w:spacing w:val="-8"/>
                <w:sz w:val="14"/>
              </w:rPr>
              <w:t> </w:t>
            </w:r>
            <w:r>
              <w:rPr>
                <w:sz w:val="14"/>
              </w:rPr>
              <w:t>emplazamientos</w:t>
            </w:r>
            <w:r>
              <w:rPr>
                <w:spacing w:val="-7"/>
                <w:sz w:val="14"/>
              </w:rPr>
              <w:t> </w:t>
            </w:r>
            <w:r>
              <w:rPr>
                <w:sz w:val="14"/>
              </w:rPr>
              <w:t>de</w:t>
            </w:r>
            <w:r>
              <w:rPr>
                <w:spacing w:val="-8"/>
                <w:sz w:val="14"/>
              </w:rPr>
              <w:t> </w:t>
            </w:r>
            <w:r>
              <w:rPr>
                <w:sz w:val="14"/>
              </w:rPr>
              <w:t>obras</w:t>
            </w:r>
          </w:p>
          <w:p>
            <w:pPr>
              <w:pStyle w:val="TableParagraph"/>
              <w:numPr>
                <w:ilvl w:val="0"/>
                <w:numId w:val="454"/>
              </w:numPr>
              <w:tabs>
                <w:tab w:pos="132" w:val="left" w:leader="none"/>
              </w:tabs>
              <w:spacing w:line="157" w:lineRule="exact" w:before="7" w:after="0"/>
              <w:ind w:left="131" w:right="0" w:hanging="96"/>
              <w:jc w:val="left"/>
              <w:rPr>
                <w:sz w:val="14"/>
              </w:rPr>
            </w:pPr>
            <w:r>
              <w:rPr>
                <w:sz w:val="14"/>
              </w:rPr>
              <w:t>el</w:t>
            </w:r>
            <w:r>
              <w:rPr>
                <w:spacing w:val="-8"/>
                <w:sz w:val="14"/>
              </w:rPr>
              <w:t> </w:t>
            </w:r>
            <w:r>
              <w:rPr>
                <w:sz w:val="14"/>
              </w:rPr>
              <w:t>drenaje</w:t>
            </w:r>
            <w:r>
              <w:rPr>
                <w:spacing w:val="-8"/>
                <w:sz w:val="14"/>
              </w:rPr>
              <w:t> </w:t>
            </w:r>
            <w:r>
              <w:rPr>
                <w:sz w:val="14"/>
              </w:rPr>
              <w:t>de</w:t>
            </w:r>
            <w:r>
              <w:rPr>
                <w:spacing w:val="-8"/>
                <w:sz w:val="14"/>
              </w:rPr>
              <w:t> </w:t>
            </w:r>
            <w:r>
              <w:rPr>
                <w:sz w:val="14"/>
              </w:rPr>
              <w:t>terrenos</w:t>
            </w:r>
            <w:r>
              <w:rPr>
                <w:spacing w:val="-8"/>
                <w:sz w:val="14"/>
              </w:rPr>
              <w:t> </w:t>
            </w:r>
            <w:r>
              <w:rPr>
                <w:sz w:val="14"/>
              </w:rPr>
              <w:t>agrícolas</w:t>
            </w:r>
            <w:r>
              <w:rPr>
                <w:spacing w:val="-8"/>
                <w:sz w:val="14"/>
              </w:rPr>
              <w:t> </w:t>
            </w:r>
            <w:r>
              <w:rPr>
                <w:sz w:val="14"/>
              </w:rPr>
              <w:t>y</w:t>
            </w:r>
            <w:r>
              <w:rPr>
                <w:spacing w:val="-7"/>
                <w:sz w:val="14"/>
              </w:rPr>
              <w:t> </w:t>
            </w:r>
            <w:r>
              <w:rPr>
                <w:sz w:val="14"/>
              </w:rPr>
              <w:t>forestales.</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rPr>
                <w:sz w:val="18"/>
              </w:rPr>
            </w:pPr>
          </w:p>
          <w:p>
            <w:pPr>
              <w:pStyle w:val="TableParagraph"/>
              <w:spacing w:before="122"/>
              <w:ind w:left="35"/>
              <w:rPr>
                <w:sz w:val="14"/>
              </w:rPr>
            </w:pPr>
            <w:r>
              <w:rPr>
                <w:sz w:val="14"/>
              </w:rPr>
              <w:t>45110000</w:t>
            </w:r>
          </w:p>
        </w:tc>
      </w:tr>
      <w:tr>
        <w:trPr>
          <w:trHeight w:val="133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spacing w:before="161"/>
              <w:ind w:right="38"/>
              <w:jc w:val="right"/>
              <w:rPr>
                <w:sz w:val="14"/>
              </w:rPr>
            </w:pPr>
            <w:r>
              <w:rPr>
                <w:w w:val="85"/>
                <w:sz w:val="14"/>
              </w:rPr>
              <w:t>45.12</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spacing w:before="161"/>
              <w:ind w:left="38"/>
              <w:rPr>
                <w:sz w:val="14"/>
              </w:rPr>
            </w:pPr>
            <w:r>
              <w:rPr>
                <w:w w:val="95"/>
                <w:sz w:val="14"/>
              </w:rPr>
              <w:t>Perforaciones y sondeos.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55"/>
              </w:numPr>
              <w:tabs>
                <w:tab w:pos="132" w:val="left" w:leader="none"/>
              </w:tabs>
              <w:spacing w:line="249" w:lineRule="auto" w:before="7" w:after="0"/>
              <w:ind w:left="36" w:right="913" w:firstLine="0"/>
              <w:jc w:val="left"/>
              <w:rPr>
                <w:sz w:val="14"/>
              </w:rPr>
            </w:pPr>
            <w:r>
              <w:rPr>
                <w:w w:val="90"/>
                <w:sz w:val="14"/>
              </w:rPr>
              <w:t>las</w:t>
            </w:r>
            <w:r>
              <w:rPr>
                <w:spacing w:val="-15"/>
                <w:w w:val="90"/>
                <w:sz w:val="14"/>
              </w:rPr>
              <w:t> </w:t>
            </w:r>
            <w:r>
              <w:rPr>
                <w:w w:val="90"/>
                <w:sz w:val="14"/>
              </w:rPr>
              <w:t>perforaciones,</w:t>
            </w:r>
            <w:r>
              <w:rPr>
                <w:spacing w:val="-15"/>
                <w:w w:val="90"/>
                <w:sz w:val="14"/>
              </w:rPr>
              <w:t> </w:t>
            </w:r>
            <w:r>
              <w:rPr>
                <w:w w:val="90"/>
                <w:sz w:val="14"/>
              </w:rPr>
              <w:t>sondeos</w:t>
            </w:r>
            <w:r>
              <w:rPr>
                <w:spacing w:val="-14"/>
                <w:w w:val="90"/>
                <w:sz w:val="14"/>
              </w:rPr>
              <w:t> </w:t>
            </w:r>
            <w:r>
              <w:rPr>
                <w:w w:val="90"/>
                <w:sz w:val="14"/>
              </w:rPr>
              <w:t>y</w:t>
            </w:r>
            <w:r>
              <w:rPr>
                <w:spacing w:val="-15"/>
                <w:w w:val="90"/>
                <w:sz w:val="14"/>
              </w:rPr>
              <w:t> </w:t>
            </w:r>
            <w:r>
              <w:rPr>
                <w:w w:val="90"/>
                <w:sz w:val="14"/>
              </w:rPr>
              <w:t>muestreos</w:t>
            </w:r>
            <w:r>
              <w:rPr>
                <w:spacing w:val="-15"/>
                <w:w w:val="90"/>
                <w:sz w:val="14"/>
              </w:rPr>
              <w:t> </w:t>
            </w:r>
            <w:r>
              <w:rPr>
                <w:w w:val="90"/>
                <w:sz w:val="14"/>
              </w:rPr>
              <w:t>con</w:t>
            </w:r>
            <w:r>
              <w:rPr>
                <w:spacing w:val="-14"/>
                <w:w w:val="90"/>
                <w:sz w:val="14"/>
              </w:rPr>
              <w:t> </w:t>
            </w:r>
            <w:r>
              <w:rPr>
                <w:w w:val="90"/>
                <w:sz w:val="14"/>
              </w:rPr>
              <w:t>fines</w:t>
            </w:r>
            <w:r>
              <w:rPr>
                <w:spacing w:val="-15"/>
                <w:w w:val="90"/>
                <w:sz w:val="14"/>
              </w:rPr>
              <w:t> </w:t>
            </w:r>
            <w:r>
              <w:rPr>
                <w:w w:val="90"/>
                <w:sz w:val="14"/>
              </w:rPr>
              <w:t>de</w:t>
            </w:r>
            <w:r>
              <w:rPr>
                <w:spacing w:val="-15"/>
                <w:w w:val="90"/>
                <w:sz w:val="14"/>
              </w:rPr>
              <w:t> </w:t>
            </w:r>
            <w:r>
              <w:rPr>
                <w:w w:val="90"/>
                <w:sz w:val="14"/>
              </w:rPr>
              <w:t>construcción,</w:t>
            </w:r>
            <w:r>
              <w:rPr>
                <w:spacing w:val="-14"/>
                <w:w w:val="90"/>
                <w:sz w:val="14"/>
              </w:rPr>
              <w:t> </w:t>
            </w:r>
            <w:r>
              <w:rPr>
                <w:w w:val="90"/>
                <w:sz w:val="14"/>
              </w:rPr>
              <w:t>geofísicos,</w:t>
            </w:r>
            <w:r>
              <w:rPr>
                <w:spacing w:val="-15"/>
                <w:w w:val="90"/>
                <w:sz w:val="14"/>
              </w:rPr>
              <w:t> </w:t>
            </w:r>
            <w:r>
              <w:rPr>
                <w:w w:val="90"/>
                <w:sz w:val="14"/>
              </w:rPr>
              <w:t>geológicos</w:t>
            </w:r>
            <w:r>
              <w:rPr>
                <w:spacing w:val="-15"/>
                <w:w w:val="90"/>
                <w:sz w:val="14"/>
              </w:rPr>
              <w:t> </w:t>
            </w:r>
            <w:r>
              <w:rPr>
                <w:w w:val="90"/>
                <w:sz w:val="14"/>
              </w:rPr>
              <w:t>u</w:t>
            </w:r>
            <w:r>
              <w:rPr>
                <w:spacing w:val="-14"/>
                <w:w w:val="90"/>
                <w:sz w:val="14"/>
              </w:rPr>
              <w:t> </w:t>
            </w:r>
            <w:r>
              <w:rPr>
                <w:w w:val="90"/>
                <w:sz w:val="14"/>
              </w:rPr>
              <w:t>otros. </w:t>
            </w:r>
            <w:r>
              <w:rPr>
                <w:sz w:val="14"/>
              </w:rPr>
              <w:t>Esta clase no</w:t>
            </w:r>
            <w:r>
              <w:rPr>
                <w:spacing w:val="-20"/>
                <w:sz w:val="14"/>
              </w:rPr>
              <w:t> </w:t>
            </w:r>
            <w:r>
              <w:rPr>
                <w:sz w:val="14"/>
              </w:rPr>
              <w:t>comprende:</w:t>
            </w:r>
          </w:p>
          <w:p>
            <w:pPr>
              <w:pStyle w:val="TableParagraph"/>
              <w:numPr>
                <w:ilvl w:val="0"/>
                <w:numId w:val="455"/>
              </w:numPr>
              <w:tabs>
                <w:tab w:pos="132" w:val="left" w:leader="none"/>
              </w:tabs>
              <w:spacing w:line="240" w:lineRule="auto" w:before="1" w:after="0"/>
              <w:ind w:left="131" w:right="0" w:hanging="96"/>
              <w:jc w:val="left"/>
              <w:rPr>
                <w:sz w:val="14"/>
              </w:rPr>
            </w:pPr>
            <w:r>
              <w:rPr>
                <w:sz w:val="14"/>
              </w:rPr>
              <w:t>la</w:t>
            </w:r>
            <w:r>
              <w:rPr>
                <w:spacing w:val="-14"/>
                <w:sz w:val="14"/>
              </w:rPr>
              <w:t> </w:t>
            </w:r>
            <w:r>
              <w:rPr>
                <w:sz w:val="14"/>
              </w:rPr>
              <w:t>perforación</w:t>
            </w:r>
            <w:r>
              <w:rPr>
                <w:spacing w:val="-13"/>
                <w:sz w:val="14"/>
              </w:rPr>
              <w:t> </w:t>
            </w:r>
            <w:r>
              <w:rPr>
                <w:sz w:val="14"/>
              </w:rPr>
              <w:t>de</w:t>
            </w:r>
            <w:r>
              <w:rPr>
                <w:spacing w:val="-13"/>
                <w:sz w:val="14"/>
              </w:rPr>
              <w:t> </w:t>
            </w:r>
            <w:r>
              <w:rPr>
                <w:sz w:val="14"/>
              </w:rPr>
              <w:t>pozos</w:t>
            </w:r>
            <w:r>
              <w:rPr>
                <w:spacing w:val="-14"/>
                <w:sz w:val="14"/>
              </w:rPr>
              <w:t> </w:t>
            </w:r>
            <w:r>
              <w:rPr>
                <w:sz w:val="14"/>
              </w:rPr>
              <w:t>de</w:t>
            </w:r>
            <w:r>
              <w:rPr>
                <w:spacing w:val="-13"/>
                <w:sz w:val="14"/>
              </w:rPr>
              <w:t> </w:t>
            </w:r>
            <w:r>
              <w:rPr>
                <w:sz w:val="14"/>
              </w:rPr>
              <w:t>producción</w:t>
            </w:r>
            <w:r>
              <w:rPr>
                <w:spacing w:val="-13"/>
                <w:sz w:val="14"/>
              </w:rPr>
              <w:t> </w:t>
            </w:r>
            <w:r>
              <w:rPr>
                <w:sz w:val="14"/>
              </w:rPr>
              <w:t>de</w:t>
            </w:r>
            <w:r>
              <w:rPr>
                <w:spacing w:val="-14"/>
                <w:sz w:val="14"/>
              </w:rPr>
              <w:t> </w:t>
            </w:r>
            <w:r>
              <w:rPr>
                <w:sz w:val="14"/>
              </w:rPr>
              <w:t>petróleo</w:t>
            </w:r>
            <w:r>
              <w:rPr>
                <w:spacing w:val="-13"/>
                <w:sz w:val="14"/>
              </w:rPr>
              <w:t> </w:t>
            </w:r>
            <w:r>
              <w:rPr>
                <w:sz w:val="14"/>
              </w:rPr>
              <w:t>y</w:t>
            </w:r>
            <w:r>
              <w:rPr>
                <w:spacing w:val="-13"/>
                <w:sz w:val="14"/>
              </w:rPr>
              <w:t> </w:t>
            </w:r>
            <w:r>
              <w:rPr>
                <w:sz w:val="14"/>
              </w:rPr>
              <w:t>gas</w:t>
            </w:r>
            <w:r>
              <w:rPr>
                <w:spacing w:val="-14"/>
                <w:sz w:val="14"/>
              </w:rPr>
              <w:t> </w:t>
            </w:r>
            <w:r>
              <w:rPr>
                <w:sz w:val="14"/>
              </w:rPr>
              <w:t>natural</w:t>
            </w:r>
            <w:r>
              <w:rPr>
                <w:spacing w:val="-13"/>
                <w:sz w:val="14"/>
              </w:rPr>
              <w:t> </w:t>
            </w:r>
            <w:r>
              <w:rPr>
                <w:sz w:val="14"/>
              </w:rPr>
              <w:t>(véase</w:t>
            </w:r>
            <w:r>
              <w:rPr>
                <w:spacing w:val="-13"/>
                <w:sz w:val="14"/>
              </w:rPr>
              <w:t> </w:t>
            </w:r>
            <w:r>
              <w:rPr>
                <w:sz w:val="14"/>
              </w:rPr>
              <w:t>11.20)</w:t>
            </w:r>
          </w:p>
          <w:p>
            <w:pPr>
              <w:pStyle w:val="TableParagraph"/>
              <w:numPr>
                <w:ilvl w:val="0"/>
                <w:numId w:val="455"/>
              </w:numPr>
              <w:tabs>
                <w:tab w:pos="132" w:val="left" w:leader="none"/>
              </w:tabs>
              <w:spacing w:line="240" w:lineRule="auto" w:before="7" w:after="0"/>
              <w:ind w:left="131" w:right="0" w:hanging="96"/>
              <w:jc w:val="left"/>
              <w:rPr>
                <w:sz w:val="14"/>
              </w:rPr>
            </w:pPr>
            <w:r>
              <w:rPr>
                <w:sz w:val="14"/>
              </w:rPr>
              <w:t>la</w:t>
            </w:r>
            <w:r>
              <w:rPr>
                <w:spacing w:val="-9"/>
                <w:sz w:val="14"/>
              </w:rPr>
              <w:t> </w:t>
            </w:r>
            <w:r>
              <w:rPr>
                <w:sz w:val="14"/>
              </w:rPr>
              <w:t>perforación</w:t>
            </w:r>
            <w:r>
              <w:rPr>
                <w:spacing w:val="-8"/>
                <w:sz w:val="14"/>
              </w:rPr>
              <w:t> </w:t>
            </w:r>
            <w:r>
              <w:rPr>
                <w:sz w:val="14"/>
              </w:rPr>
              <w:t>de</w:t>
            </w:r>
            <w:r>
              <w:rPr>
                <w:spacing w:val="-9"/>
                <w:sz w:val="14"/>
              </w:rPr>
              <w:t> </w:t>
            </w:r>
            <w:r>
              <w:rPr>
                <w:sz w:val="14"/>
              </w:rPr>
              <w:t>pozos</w:t>
            </w:r>
            <w:r>
              <w:rPr>
                <w:spacing w:val="-8"/>
                <w:sz w:val="14"/>
              </w:rPr>
              <w:t> </w:t>
            </w:r>
            <w:r>
              <w:rPr>
                <w:sz w:val="14"/>
              </w:rPr>
              <w:t>hidráulicos</w:t>
            </w:r>
            <w:r>
              <w:rPr>
                <w:spacing w:val="-9"/>
                <w:sz w:val="14"/>
              </w:rPr>
              <w:t> </w:t>
            </w:r>
            <w:r>
              <w:rPr>
                <w:sz w:val="14"/>
              </w:rPr>
              <w:t>(véase</w:t>
            </w:r>
            <w:r>
              <w:rPr>
                <w:spacing w:val="-8"/>
                <w:sz w:val="14"/>
              </w:rPr>
              <w:t> </w:t>
            </w:r>
            <w:r>
              <w:rPr>
                <w:sz w:val="14"/>
              </w:rPr>
              <w:t>45.25)</w:t>
            </w:r>
          </w:p>
          <w:p>
            <w:pPr>
              <w:pStyle w:val="TableParagraph"/>
              <w:numPr>
                <w:ilvl w:val="0"/>
                <w:numId w:val="455"/>
              </w:numPr>
              <w:tabs>
                <w:tab w:pos="132" w:val="left" w:leader="none"/>
              </w:tabs>
              <w:spacing w:line="240" w:lineRule="auto" w:before="7" w:after="0"/>
              <w:ind w:left="131" w:right="0" w:hanging="96"/>
              <w:jc w:val="left"/>
              <w:rPr>
                <w:sz w:val="14"/>
              </w:rPr>
            </w:pPr>
            <w:r>
              <w:rPr>
                <w:sz w:val="14"/>
              </w:rPr>
              <w:t>la</w:t>
            </w:r>
            <w:r>
              <w:rPr>
                <w:spacing w:val="-9"/>
                <w:sz w:val="14"/>
              </w:rPr>
              <w:t> </w:t>
            </w:r>
            <w:r>
              <w:rPr>
                <w:sz w:val="14"/>
              </w:rPr>
              <w:t>excavación</w:t>
            </w:r>
            <w:r>
              <w:rPr>
                <w:spacing w:val="-8"/>
                <w:sz w:val="14"/>
              </w:rPr>
              <w:t> </w:t>
            </w:r>
            <w:r>
              <w:rPr>
                <w:sz w:val="14"/>
              </w:rPr>
              <w:t>de</w:t>
            </w:r>
            <w:r>
              <w:rPr>
                <w:spacing w:val="-8"/>
                <w:sz w:val="14"/>
              </w:rPr>
              <w:t> </w:t>
            </w:r>
            <w:r>
              <w:rPr>
                <w:sz w:val="14"/>
              </w:rPr>
              <w:t>pozos</w:t>
            </w:r>
            <w:r>
              <w:rPr>
                <w:spacing w:val="-8"/>
                <w:sz w:val="14"/>
              </w:rPr>
              <w:t> </w:t>
            </w:r>
            <w:r>
              <w:rPr>
                <w:sz w:val="14"/>
              </w:rPr>
              <w:t>de</w:t>
            </w:r>
            <w:r>
              <w:rPr>
                <w:spacing w:val="-8"/>
                <w:sz w:val="14"/>
              </w:rPr>
              <w:t> </w:t>
            </w:r>
            <w:r>
              <w:rPr>
                <w:sz w:val="14"/>
              </w:rPr>
              <w:t>minas</w:t>
            </w:r>
            <w:r>
              <w:rPr>
                <w:spacing w:val="-8"/>
                <w:sz w:val="14"/>
              </w:rPr>
              <w:t> </w:t>
            </w:r>
            <w:r>
              <w:rPr>
                <w:sz w:val="14"/>
              </w:rPr>
              <w:t>(véase</w:t>
            </w:r>
            <w:r>
              <w:rPr>
                <w:spacing w:val="-8"/>
                <w:sz w:val="14"/>
              </w:rPr>
              <w:t> </w:t>
            </w:r>
            <w:r>
              <w:rPr>
                <w:sz w:val="14"/>
              </w:rPr>
              <w:t>45.25)</w:t>
            </w:r>
          </w:p>
          <w:p>
            <w:pPr>
              <w:pStyle w:val="TableParagraph"/>
              <w:numPr>
                <w:ilvl w:val="0"/>
                <w:numId w:val="455"/>
              </w:numPr>
              <w:tabs>
                <w:tab w:pos="132" w:val="left" w:leader="none"/>
              </w:tabs>
              <w:spacing w:line="160" w:lineRule="atLeast" w:before="7" w:after="0"/>
              <w:ind w:left="36" w:right="158" w:firstLine="0"/>
              <w:jc w:val="left"/>
              <w:rPr>
                <w:sz w:val="14"/>
              </w:rPr>
            </w:pPr>
            <w:r>
              <w:rPr>
                <w:w w:val="90"/>
                <w:sz w:val="14"/>
              </w:rPr>
              <w:t>la</w:t>
            </w:r>
            <w:r>
              <w:rPr>
                <w:spacing w:val="-14"/>
                <w:w w:val="90"/>
                <w:sz w:val="14"/>
              </w:rPr>
              <w:t> </w:t>
            </w:r>
            <w:r>
              <w:rPr>
                <w:w w:val="90"/>
                <w:sz w:val="14"/>
              </w:rPr>
              <w:t>prospección</w:t>
            </w:r>
            <w:r>
              <w:rPr>
                <w:spacing w:val="-13"/>
                <w:w w:val="90"/>
                <w:sz w:val="14"/>
              </w:rPr>
              <w:t> </w:t>
            </w:r>
            <w:r>
              <w:rPr>
                <w:w w:val="90"/>
                <w:sz w:val="14"/>
              </w:rPr>
              <w:t>de</w:t>
            </w:r>
            <w:r>
              <w:rPr>
                <w:spacing w:val="-13"/>
                <w:w w:val="90"/>
                <w:sz w:val="14"/>
              </w:rPr>
              <w:t> </w:t>
            </w:r>
            <w:r>
              <w:rPr>
                <w:w w:val="90"/>
                <w:sz w:val="14"/>
              </w:rPr>
              <w:t>yacimientos</w:t>
            </w:r>
            <w:r>
              <w:rPr>
                <w:spacing w:val="-13"/>
                <w:w w:val="90"/>
                <w:sz w:val="14"/>
              </w:rPr>
              <w:t> </w:t>
            </w:r>
            <w:r>
              <w:rPr>
                <w:w w:val="90"/>
                <w:sz w:val="14"/>
              </w:rPr>
              <w:t>de</w:t>
            </w:r>
            <w:r>
              <w:rPr>
                <w:spacing w:val="-13"/>
                <w:w w:val="90"/>
                <w:sz w:val="14"/>
              </w:rPr>
              <w:t> </w:t>
            </w:r>
            <w:r>
              <w:rPr>
                <w:w w:val="90"/>
                <w:sz w:val="14"/>
              </w:rPr>
              <w:t>petróleo</w:t>
            </w:r>
            <w:r>
              <w:rPr>
                <w:spacing w:val="-13"/>
                <w:w w:val="90"/>
                <w:sz w:val="14"/>
              </w:rPr>
              <w:t> </w:t>
            </w:r>
            <w:r>
              <w:rPr>
                <w:w w:val="90"/>
                <w:sz w:val="14"/>
              </w:rPr>
              <w:t>y</w:t>
            </w:r>
            <w:r>
              <w:rPr>
                <w:spacing w:val="-13"/>
                <w:w w:val="90"/>
                <w:sz w:val="14"/>
              </w:rPr>
              <w:t> </w:t>
            </w:r>
            <w:r>
              <w:rPr>
                <w:w w:val="90"/>
                <w:sz w:val="14"/>
              </w:rPr>
              <w:t>gas</w:t>
            </w:r>
            <w:r>
              <w:rPr>
                <w:spacing w:val="-13"/>
                <w:w w:val="90"/>
                <w:sz w:val="14"/>
              </w:rPr>
              <w:t> </w:t>
            </w:r>
            <w:r>
              <w:rPr>
                <w:w w:val="90"/>
                <w:sz w:val="14"/>
              </w:rPr>
              <w:t>natural</w:t>
            </w:r>
            <w:r>
              <w:rPr>
                <w:spacing w:val="-14"/>
                <w:w w:val="90"/>
                <w:sz w:val="14"/>
              </w:rPr>
              <w:t> </w:t>
            </w:r>
            <w:r>
              <w:rPr>
                <w:w w:val="90"/>
                <w:sz w:val="14"/>
              </w:rPr>
              <w:t>y</w:t>
            </w:r>
            <w:r>
              <w:rPr>
                <w:spacing w:val="-13"/>
                <w:w w:val="90"/>
                <w:sz w:val="14"/>
              </w:rPr>
              <w:t> </w:t>
            </w:r>
            <w:r>
              <w:rPr>
                <w:w w:val="90"/>
                <w:sz w:val="14"/>
              </w:rPr>
              <w:t>los</w:t>
            </w:r>
            <w:r>
              <w:rPr>
                <w:spacing w:val="-13"/>
                <w:w w:val="90"/>
                <w:sz w:val="14"/>
              </w:rPr>
              <w:t> </w:t>
            </w:r>
            <w:r>
              <w:rPr>
                <w:w w:val="90"/>
                <w:sz w:val="14"/>
              </w:rPr>
              <w:t>estudios</w:t>
            </w:r>
            <w:r>
              <w:rPr>
                <w:spacing w:val="-13"/>
                <w:w w:val="90"/>
                <w:sz w:val="14"/>
              </w:rPr>
              <w:t> </w:t>
            </w:r>
            <w:r>
              <w:rPr>
                <w:w w:val="90"/>
                <w:sz w:val="14"/>
              </w:rPr>
              <w:t>geofísicos,</w:t>
            </w:r>
            <w:r>
              <w:rPr>
                <w:spacing w:val="-13"/>
                <w:w w:val="90"/>
                <w:sz w:val="14"/>
              </w:rPr>
              <w:t> </w:t>
            </w:r>
            <w:r>
              <w:rPr>
                <w:w w:val="90"/>
                <w:sz w:val="14"/>
              </w:rPr>
              <w:t>geológicos</w:t>
            </w:r>
            <w:r>
              <w:rPr>
                <w:spacing w:val="-13"/>
                <w:w w:val="90"/>
                <w:sz w:val="14"/>
              </w:rPr>
              <w:t> </w:t>
            </w:r>
            <w:r>
              <w:rPr>
                <w:w w:val="90"/>
                <w:sz w:val="14"/>
              </w:rPr>
              <w:t>o</w:t>
            </w:r>
            <w:r>
              <w:rPr>
                <w:spacing w:val="-13"/>
                <w:w w:val="90"/>
                <w:sz w:val="14"/>
              </w:rPr>
              <w:t> </w:t>
            </w:r>
            <w:r>
              <w:rPr>
                <w:w w:val="90"/>
                <w:sz w:val="14"/>
              </w:rPr>
              <w:t>sísmicos</w:t>
            </w:r>
            <w:r>
              <w:rPr>
                <w:spacing w:val="-13"/>
                <w:w w:val="90"/>
                <w:sz w:val="14"/>
              </w:rPr>
              <w:t> </w:t>
            </w:r>
            <w:r>
              <w:rPr>
                <w:w w:val="90"/>
                <w:sz w:val="14"/>
              </w:rPr>
              <w:t>(véase </w:t>
            </w:r>
            <w:r>
              <w:rPr>
                <w:sz w:val="14"/>
              </w:rPr>
              <w:t>74.20).</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spacing w:before="161"/>
              <w:ind w:left="35"/>
              <w:rPr>
                <w:sz w:val="14"/>
              </w:rPr>
            </w:pPr>
            <w:r>
              <w:rPr>
                <w:sz w:val="14"/>
              </w:rPr>
              <w:t>45120000</w:t>
            </w:r>
          </w:p>
        </w:tc>
      </w:tr>
      <w:tr>
        <w:trPr>
          <w:trHeight w:val="667"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spacing w:before="8"/>
              <w:rPr>
                <w:sz w:val="20"/>
              </w:rPr>
            </w:pPr>
          </w:p>
          <w:p>
            <w:pPr>
              <w:pStyle w:val="TableParagraph"/>
              <w:spacing w:before="1"/>
              <w:ind w:left="11" w:right="8"/>
              <w:jc w:val="center"/>
              <w:rPr>
                <w:sz w:val="14"/>
              </w:rPr>
            </w:pPr>
            <w:r>
              <w:rPr>
                <w:sz w:val="14"/>
              </w:rPr>
              <w:t>45.2</w:t>
            </w: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8"/>
              <w:rPr>
                <w:sz w:val="14"/>
              </w:rPr>
            </w:pPr>
            <w:r>
              <w:rPr>
                <w:sz w:val="14"/>
              </w:rPr>
              <w:t>Construcción general de</w:t>
            </w:r>
          </w:p>
          <w:p>
            <w:pPr>
              <w:pStyle w:val="TableParagraph"/>
              <w:spacing w:line="160" w:lineRule="atLeast" w:before="7"/>
              <w:ind w:left="38"/>
              <w:rPr>
                <w:sz w:val="14"/>
              </w:rPr>
            </w:pPr>
            <w:r>
              <w:rPr>
                <w:sz w:val="14"/>
              </w:rPr>
              <w:t>inmuebles y obras de </w:t>
            </w:r>
            <w:r>
              <w:rPr>
                <w:w w:val="90"/>
                <w:sz w:val="14"/>
              </w:rPr>
              <w:t>ingeniería civil Ingeniería </w:t>
            </w:r>
            <w:r>
              <w:rPr>
                <w:sz w:val="14"/>
              </w:rPr>
              <w:t>civil.</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8"/>
              <w:rPr>
                <w:sz w:val="20"/>
              </w:rPr>
            </w:pPr>
          </w:p>
          <w:p>
            <w:pPr>
              <w:pStyle w:val="TableParagraph"/>
              <w:spacing w:before="1"/>
              <w:ind w:left="35"/>
              <w:rPr>
                <w:sz w:val="14"/>
              </w:rPr>
            </w:pPr>
            <w:r>
              <w:rPr>
                <w:sz w:val="14"/>
              </w:rPr>
              <w:t>45200000</w:t>
            </w:r>
          </w:p>
        </w:tc>
      </w:tr>
      <w:tr>
        <w:trPr>
          <w:trHeight w:val="301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5"/>
              </w:rPr>
            </w:pPr>
          </w:p>
          <w:p>
            <w:pPr>
              <w:pStyle w:val="TableParagraph"/>
              <w:ind w:right="38"/>
              <w:jc w:val="right"/>
              <w:rPr>
                <w:sz w:val="14"/>
              </w:rPr>
            </w:pPr>
            <w:r>
              <w:rPr>
                <w:w w:val="85"/>
                <w:sz w:val="14"/>
              </w:rPr>
              <w:t>45.21</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49" w:lineRule="auto" w:before="128"/>
              <w:ind w:left="38"/>
              <w:rPr>
                <w:sz w:val="14"/>
              </w:rPr>
            </w:pPr>
            <w:r>
              <w:rPr>
                <w:w w:val="95"/>
                <w:sz w:val="14"/>
              </w:rPr>
              <w:t>Construcción general de </w:t>
            </w:r>
            <w:r>
              <w:rPr>
                <w:w w:val="90"/>
                <w:sz w:val="14"/>
              </w:rPr>
              <w:t>edificios y obras singulares de ingeniería civil (puentes, </w:t>
            </w:r>
            <w:r>
              <w:rPr>
                <w:sz w:val="14"/>
              </w:rPr>
              <w:t>túneles, etc.).</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56"/>
              </w:numPr>
              <w:tabs>
                <w:tab w:pos="132" w:val="left" w:leader="none"/>
              </w:tabs>
              <w:spacing w:line="240" w:lineRule="auto" w:before="7" w:after="0"/>
              <w:ind w:left="131" w:right="0" w:hanging="96"/>
              <w:jc w:val="left"/>
              <w:rPr>
                <w:sz w:val="14"/>
              </w:rPr>
            </w:pPr>
            <w:r>
              <w:rPr>
                <w:sz w:val="14"/>
              </w:rPr>
              <w:t>la</w:t>
            </w:r>
            <w:r>
              <w:rPr>
                <w:spacing w:val="-15"/>
                <w:sz w:val="14"/>
              </w:rPr>
              <w:t> </w:t>
            </w:r>
            <w:r>
              <w:rPr>
                <w:sz w:val="14"/>
              </w:rPr>
              <w:t>construcción</w:t>
            </w:r>
            <w:r>
              <w:rPr>
                <w:spacing w:val="-15"/>
                <w:sz w:val="14"/>
              </w:rPr>
              <w:t> </w:t>
            </w:r>
            <w:r>
              <w:rPr>
                <w:sz w:val="14"/>
              </w:rPr>
              <w:t>de</w:t>
            </w:r>
            <w:r>
              <w:rPr>
                <w:spacing w:val="-15"/>
                <w:sz w:val="14"/>
              </w:rPr>
              <w:t> </w:t>
            </w:r>
            <w:r>
              <w:rPr>
                <w:sz w:val="14"/>
              </w:rPr>
              <w:t>todo</w:t>
            </w:r>
            <w:r>
              <w:rPr>
                <w:spacing w:val="-15"/>
                <w:sz w:val="14"/>
              </w:rPr>
              <w:t> </w:t>
            </w:r>
            <w:r>
              <w:rPr>
                <w:sz w:val="14"/>
              </w:rPr>
              <w:t>tipo</w:t>
            </w:r>
            <w:r>
              <w:rPr>
                <w:spacing w:val="-14"/>
                <w:sz w:val="14"/>
              </w:rPr>
              <w:t> </w:t>
            </w:r>
            <w:r>
              <w:rPr>
                <w:sz w:val="14"/>
              </w:rPr>
              <w:t>de</w:t>
            </w:r>
            <w:r>
              <w:rPr>
                <w:spacing w:val="-15"/>
                <w:sz w:val="14"/>
              </w:rPr>
              <w:t> </w:t>
            </w:r>
            <w:r>
              <w:rPr>
                <w:sz w:val="14"/>
              </w:rPr>
              <w:t>edificios,</w:t>
            </w:r>
            <w:r>
              <w:rPr>
                <w:spacing w:val="-15"/>
                <w:sz w:val="14"/>
              </w:rPr>
              <w:t> </w:t>
            </w:r>
            <w:r>
              <w:rPr>
                <w:sz w:val="14"/>
              </w:rPr>
              <w:t>la</w:t>
            </w:r>
            <w:r>
              <w:rPr>
                <w:spacing w:val="-15"/>
                <w:sz w:val="14"/>
              </w:rPr>
              <w:t> </w:t>
            </w:r>
            <w:r>
              <w:rPr>
                <w:sz w:val="14"/>
              </w:rPr>
              <w:t>construcción</w:t>
            </w:r>
            <w:r>
              <w:rPr>
                <w:spacing w:val="-14"/>
                <w:sz w:val="14"/>
              </w:rPr>
              <w:t> </w:t>
            </w:r>
            <w:r>
              <w:rPr>
                <w:sz w:val="14"/>
              </w:rPr>
              <w:t>de</w:t>
            </w:r>
            <w:r>
              <w:rPr>
                <w:spacing w:val="-15"/>
                <w:sz w:val="14"/>
              </w:rPr>
              <w:t> </w:t>
            </w:r>
            <w:r>
              <w:rPr>
                <w:sz w:val="14"/>
              </w:rPr>
              <w:t>obras</w:t>
            </w:r>
            <w:r>
              <w:rPr>
                <w:spacing w:val="-15"/>
                <w:sz w:val="14"/>
              </w:rPr>
              <w:t> </w:t>
            </w:r>
            <w:r>
              <w:rPr>
                <w:sz w:val="14"/>
              </w:rPr>
              <w:t>de</w:t>
            </w:r>
            <w:r>
              <w:rPr>
                <w:spacing w:val="-15"/>
                <w:sz w:val="14"/>
              </w:rPr>
              <w:t> </w:t>
            </w:r>
            <w:r>
              <w:rPr>
                <w:sz w:val="14"/>
              </w:rPr>
              <w:t>ingeniería</w:t>
            </w:r>
            <w:r>
              <w:rPr>
                <w:spacing w:val="-14"/>
                <w:sz w:val="14"/>
              </w:rPr>
              <w:t> </w:t>
            </w:r>
            <w:r>
              <w:rPr>
                <w:sz w:val="14"/>
              </w:rPr>
              <w:t>civil:</w:t>
            </w:r>
          </w:p>
          <w:p>
            <w:pPr>
              <w:pStyle w:val="TableParagraph"/>
              <w:numPr>
                <w:ilvl w:val="0"/>
                <w:numId w:val="456"/>
              </w:numPr>
              <w:tabs>
                <w:tab w:pos="132" w:val="left" w:leader="none"/>
              </w:tabs>
              <w:spacing w:line="240" w:lineRule="auto" w:before="7" w:after="0"/>
              <w:ind w:left="131" w:right="0" w:hanging="96"/>
              <w:jc w:val="left"/>
              <w:rPr>
                <w:sz w:val="14"/>
              </w:rPr>
            </w:pPr>
            <w:r>
              <w:rPr>
                <w:sz w:val="14"/>
              </w:rPr>
              <w:t>puentes</w:t>
            </w:r>
            <w:r>
              <w:rPr>
                <w:spacing w:val="-18"/>
                <w:sz w:val="14"/>
              </w:rPr>
              <w:t> </w:t>
            </w:r>
            <w:r>
              <w:rPr>
                <w:sz w:val="14"/>
              </w:rPr>
              <w:t>(incluidos</w:t>
            </w:r>
            <w:r>
              <w:rPr>
                <w:spacing w:val="-17"/>
                <w:sz w:val="14"/>
              </w:rPr>
              <w:t> </w:t>
            </w:r>
            <w:r>
              <w:rPr>
                <w:sz w:val="14"/>
              </w:rPr>
              <w:t>los</w:t>
            </w:r>
            <w:r>
              <w:rPr>
                <w:spacing w:val="-18"/>
                <w:sz w:val="14"/>
              </w:rPr>
              <w:t> </w:t>
            </w:r>
            <w:r>
              <w:rPr>
                <w:sz w:val="14"/>
              </w:rPr>
              <w:t>de</w:t>
            </w:r>
            <w:r>
              <w:rPr>
                <w:spacing w:val="-17"/>
                <w:sz w:val="14"/>
              </w:rPr>
              <w:t> </w:t>
            </w:r>
            <w:r>
              <w:rPr>
                <w:sz w:val="14"/>
              </w:rPr>
              <w:t>carreteras</w:t>
            </w:r>
            <w:r>
              <w:rPr>
                <w:spacing w:val="-18"/>
                <w:sz w:val="14"/>
              </w:rPr>
              <w:t> </w:t>
            </w:r>
            <w:r>
              <w:rPr>
                <w:sz w:val="14"/>
              </w:rPr>
              <w:t>elevadas),</w:t>
            </w:r>
            <w:r>
              <w:rPr>
                <w:spacing w:val="-17"/>
                <w:sz w:val="14"/>
              </w:rPr>
              <w:t> </w:t>
            </w:r>
            <w:r>
              <w:rPr>
                <w:sz w:val="14"/>
              </w:rPr>
              <w:t>viaductos,</w:t>
            </w:r>
            <w:r>
              <w:rPr>
                <w:spacing w:val="-18"/>
                <w:sz w:val="14"/>
              </w:rPr>
              <w:t> </w:t>
            </w:r>
            <w:r>
              <w:rPr>
                <w:sz w:val="14"/>
              </w:rPr>
              <w:t>túneles</w:t>
            </w:r>
            <w:r>
              <w:rPr>
                <w:spacing w:val="-17"/>
                <w:sz w:val="14"/>
              </w:rPr>
              <w:t> </w:t>
            </w:r>
            <w:r>
              <w:rPr>
                <w:sz w:val="14"/>
              </w:rPr>
              <w:t>y</w:t>
            </w:r>
            <w:r>
              <w:rPr>
                <w:spacing w:val="-18"/>
                <w:sz w:val="14"/>
              </w:rPr>
              <w:t> </w:t>
            </w:r>
            <w:r>
              <w:rPr>
                <w:sz w:val="14"/>
              </w:rPr>
              <w:t>pasos</w:t>
            </w:r>
            <w:r>
              <w:rPr>
                <w:spacing w:val="-17"/>
                <w:sz w:val="14"/>
              </w:rPr>
              <w:t> </w:t>
            </w:r>
            <w:r>
              <w:rPr>
                <w:sz w:val="14"/>
              </w:rPr>
              <w:t>subterráneos;</w:t>
            </w:r>
          </w:p>
          <w:p>
            <w:pPr>
              <w:pStyle w:val="TableParagraph"/>
              <w:numPr>
                <w:ilvl w:val="0"/>
                <w:numId w:val="456"/>
              </w:numPr>
              <w:tabs>
                <w:tab w:pos="132" w:val="left" w:leader="none"/>
              </w:tabs>
              <w:spacing w:line="240" w:lineRule="auto" w:before="7" w:after="0"/>
              <w:ind w:left="131" w:right="0" w:hanging="96"/>
              <w:jc w:val="left"/>
              <w:rPr>
                <w:sz w:val="14"/>
              </w:rPr>
            </w:pPr>
            <w:r>
              <w:rPr>
                <w:sz w:val="14"/>
              </w:rPr>
              <w:t>redes</w:t>
            </w:r>
            <w:r>
              <w:rPr>
                <w:spacing w:val="-11"/>
                <w:sz w:val="14"/>
              </w:rPr>
              <w:t> </w:t>
            </w:r>
            <w:r>
              <w:rPr>
                <w:sz w:val="14"/>
              </w:rPr>
              <w:t>de</w:t>
            </w:r>
            <w:r>
              <w:rPr>
                <w:spacing w:val="-11"/>
                <w:sz w:val="14"/>
              </w:rPr>
              <w:t> </w:t>
            </w:r>
            <w:r>
              <w:rPr>
                <w:sz w:val="14"/>
              </w:rPr>
              <w:t>energía,</w:t>
            </w:r>
            <w:r>
              <w:rPr>
                <w:spacing w:val="-10"/>
                <w:sz w:val="14"/>
              </w:rPr>
              <w:t> </w:t>
            </w:r>
            <w:r>
              <w:rPr>
                <w:sz w:val="14"/>
              </w:rPr>
              <w:t>comunicación</w:t>
            </w:r>
            <w:r>
              <w:rPr>
                <w:spacing w:val="-11"/>
                <w:sz w:val="14"/>
              </w:rPr>
              <w:t> </w:t>
            </w:r>
            <w:r>
              <w:rPr>
                <w:sz w:val="14"/>
              </w:rPr>
              <w:t>y</w:t>
            </w:r>
            <w:r>
              <w:rPr>
                <w:spacing w:val="-10"/>
                <w:sz w:val="14"/>
              </w:rPr>
              <w:t> </w:t>
            </w:r>
            <w:r>
              <w:rPr>
                <w:sz w:val="14"/>
              </w:rPr>
              <w:t>conducción</w:t>
            </w:r>
            <w:r>
              <w:rPr>
                <w:spacing w:val="-11"/>
                <w:sz w:val="14"/>
              </w:rPr>
              <w:t> </w:t>
            </w:r>
            <w:r>
              <w:rPr>
                <w:sz w:val="14"/>
              </w:rPr>
              <w:t>de</w:t>
            </w:r>
            <w:r>
              <w:rPr>
                <w:spacing w:val="-10"/>
                <w:sz w:val="14"/>
              </w:rPr>
              <w:t> </w:t>
            </w:r>
            <w:r>
              <w:rPr>
                <w:sz w:val="14"/>
              </w:rPr>
              <w:t>larga</w:t>
            </w:r>
            <w:r>
              <w:rPr>
                <w:spacing w:val="-11"/>
                <w:sz w:val="14"/>
              </w:rPr>
              <w:t> </w:t>
            </w:r>
            <w:r>
              <w:rPr>
                <w:sz w:val="14"/>
              </w:rPr>
              <w:t>distancia;</w:t>
            </w:r>
          </w:p>
          <w:p>
            <w:pPr>
              <w:pStyle w:val="TableParagraph"/>
              <w:numPr>
                <w:ilvl w:val="0"/>
                <w:numId w:val="456"/>
              </w:numPr>
              <w:tabs>
                <w:tab w:pos="132" w:val="left" w:leader="none"/>
              </w:tabs>
              <w:spacing w:line="240" w:lineRule="auto" w:before="7" w:after="0"/>
              <w:ind w:left="131" w:right="0" w:hanging="96"/>
              <w:jc w:val="left"/>
              <w:rPr>
                <w:sz w:val="14"/>
              </w:rPr>
            </w:pPr>
            <w:r>
              <w:rPr>
                <w:sz w:val="14"/>
              </w:rPr>
              <w:t>instalaciones</w:t>
            </w:r>
            <w:r>
              <w:rPr>
                <w:spacing w:val="-13"/>
                <w:sz w:val="14"/>
              </w:rPr>
              <w:t> </w:t>
            </w:r>
            <w:r>
              <w:rPr>
                <w:sz w:val="14"/>
              </w:rPr>
              <w:t>urbanas</w:t>
            </w:r>
            <w:r>
              <w:rPr>
                <w:spacing w:val="-13"/>
                <w:sz w:val="14"/>
              </w:rPr>
              <w:t> </w:t>
            </w:r>
            <w:r>
              <w:rPr>
                <w:sz w:val="14"/>
              </w:rPr>
              <w:t>de</w:t>
            </w:r>
            <w:r>
              <w:rPr>
                <w:spacing w:val="-12"/>
                <w:sz w:val="14"/>
              </w:rPr>
              <w:t> </w:t>
            </w:r>
            <w:r>
              <w:rPr>
                <w:sz w:val="14"/>
              </w:rPr>
              <w:t>tuberías,</w:t>
            </w:r>
            <w:r>
              <w:rPr>
                <w:spacing w:val="-13"/>
                <w:sz w:val="14"/>
              </w:rPr>
              <w:t> </w:t>
            </w:r>
            <w:r>
              <w:rPr>
                <w:sz w:val="14"/>
              </w:rPr>
              <w:t>redes</w:t>
            </w:r>
            <w:r>
              <w:rPr>
                <w:spacing w:val="-12"/>
                <w:sz w:val="14"/>
              </w:rPr>
              <w:t> </w:t>
            </w:r>
            <w:r>
              <w:rPr>
                <w:sz w:val="14"/>
              </w:rPr>
              <w:t>de</w:t>
            </w:r>
            <w:r>
              <w:rPr>
                <w:spacing w:val="-13"/>
                <w:sz w:val="14"/>
              </w:rPr>
              <w:t> </w:t>
            </w:r>
            <w:r>
              <w:rPr>
                <w:sz w:val="14"/>
              </w:rPr>
              <w:t>energía</w:t>
            </w:r>
            <w:r>
              <w:rPr>
                <w:spacing w:val="-12"/>
                <w:sz w:val="14"/>
              </w:rPr>
              <w:t> </w:t>
            </w:r>
            <w:r>
              <w:rPr>
                <w:sz w:val="14"/>
              </w:rPr>
              <w:t>y</w:t>
            </w:r>
            <w:r>
              <w:rPr>
                <w:spacing w:val="-13"/>
                <w:sz w:val="14"/>
              </w:rPr>
              <w:t> </w:t>
            </w:r>
            <w:r>
              <w:rPr>
                <w:sz w:val="14"/>
              </w:rPr>
              <w:t>de</w:t>
            </w:r>
            <w:r>
              <w:rPr>
                <w:spacing w:val="-13"/>
                <w:sz w:val="14"/>
              </w:rPr>
              <w:t> </w:t>
            </w:r>
            <w:r>
              <w:rPr>
                <w:sz w:val="14"/>
              </w:rPr>
              <w:t>comunicaciones;</w:t>
            </w:r>
          </w:p>
          <w:p>
            <w:pPr>
              <w:pStyle w:val="TableParagraph"/>
              <w:numPr>
                <w:ilvl w:val="0"/>
                <w:numId w:val="456"/>
              </w:numPr>
              <w:tabs>
                <w:tab w:pos="132" w:val="left" w:leader="none"/>
              </w:tabs>
              <w:spacing w:line="240" w:lineRule="auto" w:before="7" w:after="0"/>
              <w:ind w:left="131" w:right="0" w:hanging="96"/>
              <w:jc w:val="left"/>
              <w:rPr>
                <w:sz w:val="14"/>
              </w:rPr>
            </w:pPr>
            <w:r>
              <w:rPr>
                <w:sz w:val="14"/>
              </w:rPr>
              <w:t>obras urbanas</w:t>
            </w:r>
            <w:r>
              <w:rPr>
                <w:spacing w:val="-13"/>
                <w:sz w:val="14"/>
              </w:rPr>
              <w:t> </w:t>
            </w:r>
            <w:r>
              <w:rPr>
                <w:sz w:val="14"/>
              </w:rPr>
              <w:t>anejas;</w:t>
            </w:r>
          </w:p>
          <w:p>
            <w:pPr>
              <w:pStyle w:val="TableParagraph"/>
              <w:numPr>
                <w:ilvl w:val="0"/>
                <w:numId w:val="456"/>
              </w:numPr>
              <w:tabs>
                <w:tab w:pos="132" w:val="left" w:leader="none"/>
              </w:tabs>
              <w:spacing w:line="249" w:lineRule="auto" w:before="7" w:after="0"/>
              <w:ind w:left="36" w:right="3459" w:firstLine="0"/>
              <w:jc w:val="left"/>
              <w:rPr>
                <w:sz w:val="14"/>
              </w:rPr>
            </w:pPr>
            <w:r>
              <w:rPr>
                <w:w w:val="90"/>
                <w:sz w:val="14"/>
              </w:rPr>
              <w:t>el</w:t>
            </w:r>
            <w:r>
              <w:rPr>
                <w:spacing w:val="-15"/>
                <w:w w:val="90"/>
                <w:sz w:val="14"/>
              </w:rPr>
              <w:t> </w:t>
            </w:r>
            <w:r>
              <w:rPr>
                <w:w w:val="90"/>
                <w:sz w:val="14"/>
              </w:rPr>
              <w:t>montaje</w:t>
            </w:r>
            <w:r>
              <w:rPr>
                <w:spacing w:val="-15"/>
                <w:w w:val="90"/>
                <w:sz w:val="14"/>
              </w:rPr>
              <w:t> </w:t>
            </w:r>
            <w:r>
              <w:rPr>
                <w:w w:val="90"/>
                <w:sz w:val="14"/>
              </w:rPr>
              <w:t>in</w:t>
            </w:r>
            <w:r>
              <w:rPr>
                <w:spacing w:val="-15"/>
                <w:w w:val="90"/>
                <w:sz w:val="14"/>
              </w:rPr>
              <w:t> </w:t>
            </w:r>
            <w:r>
              <w:rPr>
                <w:w w:val="90"/>
                <w:sz w:val="14"/>
              </w:rPr>
              <w:t>situ</w:t>
            </w:r>
            <w:r>
              <w:rPr>
                <w:spacing w:val="-14"/>
                <w:w w:val="90"/>
                <w:sz w:val="14"/>
              </w:rPr>
              <w:t> </w:t>
            </w:r>
            <w:r>
              <w:rPr>
                <w:w w:val="90"/>
                <w:sz w:val="14"/>
              </w:rPr>
              <w:t>de</w:t>
            </w:r>
            <w:r>
              <w:rPr>
                <w:spacing w:val="-15"/>
                <w:w w:val="90"/>
                <w:sz w:val="14"/>
              </w:rPr>
              <w:t> </w:t>
            </w:r>
            <w:r>
              <w:rPr>
                <w:w w:val="90"/>
                <w:sz w:val="14"/>
              </w:rPr>
              <w:t>construcciones</w:t>
            </w:r>
            <w:r>
              <w:rPr>
                <w:spacing w:val="-15"/>
                <w:w w:val="90"/>
                <w:sz w:val="14"/>
              </w:rPr>
              <w:t> </w:t>
            </w:r>
            <w:r>
              <w:rPr>
                <w:w w:val="90"/>
                <w:sz w:val="14"/>
              </w:rPr>
              <w:t>prefabricadas. </w:t>
            </w:r>
            <w:r>
              <w:rPr>
                <w:sz w:val="14"/>
              </w:rPr>
              <w:t>Esta clase no</w:t>
            </w:r>
            <w:r>
              <w:rPr>
                <w:spacing w:val="-28"/>
                <w:sz w:val="14"/>
              </w:rPr>
              <w:t> </w:t>
            </w:r>
            <w:r>
              <w:rPr>
                <w:sz w:val="14"/>
              </w:rPr>
              <w:t>comprende:</w:t>
            </w:r>
          </w:p>
          <w:p>
            <w:pPr>
              <w:pStyle w:val="TableParagraph"/>
              <w:numPr>
                <w:ilvl w:val="0"/>
                <w:numId w:val="456"/>
              </w:numPr>
              <w:tabs>
                <w:tab w:pos="132" w:val="left" w:leader="none"/>
              </w:tabs>
              <w:spacing w:line="240" w:lineRule="auto" w:before="1" w:after="0"/>
              <w:ind w:left="131" w:right="0" w:hanging="96"/>
              <w:jc w:val="left"/>
              <w:rPr>
                <w:sz w:val="14"/>
              </w:rPr>
            </w:pPr>
            <w:r>
              <w:rPr>
                <w:sz w:val="14"/>
              </w:rPr>
              <w:t>los</w:t>
            </w:r>
            <w:r>
              <w:rPr>
                <w:spacing w:val="-14"/>
                <w:sz w:val="14"/>
              </w:rPr>
              <w:t> </w:t>
            </w:r>
            <w:r>
              <w:rPr>
                <w:sz w:val="14"/>
              </w:rPr>
              <w:t>servicios</w:t>
            </w:r>
            <w:r>
              <w:rPr>
                <w:spacing w:val="-13"/>
                <w:sz w:val="14"/>
              </w:rPr>
              <w:t> </w:t>
            </w:r>
            <w:r>
              <w:rPr>
                <w:sz w:val="14"/>
              </w:rPr>
              <w:t>relacionados</w:t>
            </w:r>
            <w:r>
              <w:rPr>
                <w:spacing w:val="-14"/>
                <w:sz w:val="14"/>
              </w:rPr>
              <w:t> </w:t>
            </w:r>
            <w:r>
              <w:rPr>
                <w:sz w:val="14"/>
              </w:rPr>
              <w:t>con</w:t>
            </w:r>
            <w:r>
              <w:rPr>
                <w:spacing w:val="-14"/>
                <w:sz w:val="14"/>
              </w:rPr>
              <w:t> </w:t>
            </w:r>
            <w:r>
              <w:rPr>
                <w:sz w:val="14"/>
              </w:rPr>
              <w:t>la</w:t>
            </w:r>
            <w:r>
              <w:rPr>
                <w:spacing w:val="-13"/>
                <w:sz w:val="14"/>
              </w:rPr>
              <w:t> </w:t>
            </w:r>
            <w:r>
              <w:rPr>
                <w:sz w:val="14"/>
              </w:rPr>
              <w:t>extracción</w:t>
            </w:r>
            <w:r>
              <w:rPr>
                <w:spacing w:val="-14"/>
                <w:sz w:val="14"/>
              </w:rPr>
              <w:t> </w:t>
            </w:r>
            <w:r>
              <w:rPr>
                <w:sz w:val="14"/>
              </w:rPr>
              <w:t>de</w:t>
            </w:r>
            <w:r>
              <w:rPr>
                <w:spacing w:val="-13"/>
                <w:sz w:val="14"/>
              </w:rPr>
              <w:t> </w:t>
            </w:r>
            <w:r>
              <w:rPr>
                <w:sz w:val="14"/>
              </w:rPr>
              <w:t>gas</w:t>
            </w:r>
            <w:r>
              <w:rPr>
                <w:spacing w:val="-14"/>
                <w:sz w:val="14"/>
              </w:rPr>
              <w:t> </w:t>
            </w:r>
            <w:r>
              <w:rPr>
                <w:sz w:val="14"/>
              </w:rPr>
              <w:t>y</w:t>
            </w:r>
            <w:r>
              <w:rPr>
                <w:spacing w:val="-13"/>
                <w:sz w:val="14"/>
              </w:rPr>
              <w:t> </w:t>
            </w:r>
            <w:r>
              <w:rPr>
                <w:sz w:val="14"/>
              </w:rPr>
              <w:t>de</w:t>
            </w:r>
            <w:r>
              <w:rPr>
                <w:spacing w:val="-14"/>
                <w:sz w:val="14"/>
              </w:rPr>
              <w:t> </w:t>
            </w:r>
            <w:r>
              <w:rPr>
                <w:sz w:val="14"/>
              </w:rPr>
              <w:t>petróleo</w:t>
            </w:r>
            <w:r>
              <w:rPr>
                <w:spacing w:val="-13"/>
                <w:sz w:val="14"/>
              </w:rPr>
              <w:t> </w:t>
            </w:r>
            <w:r>
              <w:rPr>
                <w:sz w:val="14"/>
              </w:rPr>
              <w:t>(véase</w:t>
            </w:r>
            <w:r>
              <w:rPr>
                <w:spacing w:val="-14"/>
                <w:sz w:val="14"/>
              </w:rPr>
              <w:t> </w:t>
            </w:r>
            <w:r>
              <w:rPr>
                <w:sz w:val="14"/>
              </w:rPr>
              <w:t>11.20);</w:t>
            </w:r>
          </w:p>
          <w:p>
            <w:pPr>
              <w:pStyle w:val="TableParagraph"/>
              <w:numPr>
                <w:ilvl w:val="0"/>
                <w:numId w:val="456"/>
              </w:numPr>
              <w:tabs>
                <w:tab w:pos="132" w:val="left" w:leader="none"/>
              </w:tabs>
              <w:spacing w:line="249" w:lineRule="auto" w:before="7" w:after="0"/>
              <w:ind w:left="36" w:right="226" w:firstLine="0"/>
              <w:jc w:val="left"/>
              <w:rPr>
                <w:sz w:val="14"/>
              </w:rPr>
            </w:pPr>
            <w:r>
              <w:rPr>
                <w:w w:val="90"/>
                <w:sz w:val="14"/>
              </w:rPr>
              <w:t>el</w:t>
            </w:r>
            <w:r>
              <w:rPr>
                <w:spacing w:val="-13"/>
                <w:w w:val="90"/>
                <w:sz w:val="14"/>
              </w:rPr>
              <w:t> </w:t>
            </w:r>
            <w:r>
              <w:rPr>
                <w:w w:val="90"/>
                <w:sz w:val="14"/>
              </w:rPr>
              <w:t>montaje</w:t>
            </w:r>
            <w:r>
              <w:rPr>
                <w:spacing w:val="-13"/>
                <w:w w:val="90"/>
                <w:sz w:val="14"/>
              </w:rPr>
              <w:t> </w:t>
            </w:r>
            <w:r>
              <w:rPr>
                <w:w w:val="90"/>
                <w:sz w:val="14"/>
              </w:rPr>
              <w:t>de</w:t>
            </w:r>
            <w:r>
              <w:rPr>
                <w:spacing w:val="-12"/>
                <w:w w:val="90"/>
                <w:sz w:val="14"/>
              </w:rPr>
              <w:t> </w:t>
            </w:r>
            <w:r>
              <w:rPr>
                <w:w w:val="90"/>
                <w:sz w:val="14"/>
              </w:rPr>
              <w:t>construcciones</w:t>
            </w:r>
            <w:r>
              <w:rPr>
                <w:spacing w:val="-13"/>
                <w:w w:val="90"/>
                <w:sz w:val="14"/>
              </w:rPr>
              <w:t> </w:t>
            </w:r>
            <w:r>
              <w:rPr>
                <w:w w:val="90"/>
                <w:sz w:val="14"/>
              </w:rPr>
              <w:t>prefabricadas</w:t>
            </w:r>
            <w:r>
              <w:rPr>
                <w:spacing w:val="-13"/>
                <w:w w:val="90"/>
                <w:sz w:val="14"/>
              </w:rPr>
              <w:t> </w:t>
            </w:r>
            <w:r>
              <w:rPr>
                <w:w w:val="90"/>
                <w:sz w:val="14"/>
              </w:rPr>
              <w:t>completas</w:t>
            </w:r>
            <w:r>
              <w:rPr>
                <w:spacing w:val="-12"/>
                <w:w w:val="90"/>
                <w:sz w:val="14"/>
              </w:rPr>
              <w:t> </w:t>
            </w:r>
            <w:r>
              <w:rPr>
                <w:w w:val="90"/>
                <w:sz w:val="14"/>
              </w:rPr>
              <w:t>a</w:t>
            </w:r>
            <w:r>
              <w:rPr>
                <w:spacing w:val="-13"/>
                <w:w w:val="90"/>
                <w:sz w:val="14"/>
              </w:rPr>
              <w:t> </w:t>
            </w:r>
            <w:r>
              <w:rPr>
                <w:w w:val="90"/>
                <w:sz w:val="14"/>
              </w:rPr>
              <w:t>partir</w:t>
            </w:r>
            <w:r>
              <w:rPr>
                <w:spacing w:val="-12"/>
                <w:w w:val="90"/>
                <w:sz w:val="14"/>
              </w:rPr>
              <w:t> </w:t>
            </w:r>
            <w:r>
              <w:rPr>
                <w:w w:val="90"/>
                <w:sz w:val="14"/>
              </w:rPr>
              <w:t>de</w:t>
            </w:r>
            <w:r>
              <w:rPr>
                <w:spacing w:val="-13"/>
                <w:w w:val="90"/>
                <w:sz w:val="14"/>
              </w:rPr>
              <w:t> </w:t>
            </w:r>
            <w:r>
              <w:rPr>
                <w:w w:val="90"/>
                <w:sz w:val="14"/>
              </w:rPr>
              <w:t>piezas</w:t>
            </w:r>
            <w:r>
              <w:rPr>
                <w:spacing w:val="-13"/>
                <w:w w:val="90"/>
                <w:sz w:val="14"/>
              </w:rPr>
              <w:t> </w:t>
            </w:r>
            <w:r>
              <w:rPr>
                <w:w w:val="90"/>
                <w:sz w:val="14"/>
              </w:rPr>
              <w:t>de</w:t>
            </w:r>
            <w:r>
              <w:rPr>
                <w:spacing w:val="-12"/>
                <w:w w:val="90"/>
                <w:sz w:val="14"/>
              </w:rPr>
              <w:t> </w:t>
            </w:r>
            <w:r>
              <w:rPr>
                <w:w w:val="90"/>
                <w:sz w:val="14"/>
              </w:rPr>
              <w:t>producción</w:t>
            </w:r>
            <w:r>
              <w:rPr>
                <w:spacing w:val="-13"/>
                <w:w w:val="90"/>
                <w:sz w:val="14"/>
              </w:rPr>
              <w:t> </w:t>
            </w:r>
            <w:r>
              <w:rPr>
                <w:w w:val="90"/>
                <w:sz w:val="14"/>
              </w:rPr>
              <w:t>propia</w:t>
            </w:r>
            <w:r>
              <w:rPr>
                <w:spacing w:val="-12"/>
                <w:w w:val="90"/>
                <w:sz w:val="14"/>
              </w:rPr>
              <w:t> </w:t>
            </w:r>
            <w:r>
              <w:rPr>
                <w:w w:val="90"/>
                <w:sz w:val="14"/>
              </w:rPr>
              <w:t>que</w:t>
            </w:r>
            <w:r>
              <w:rPr>
                <w:spacing w:val="-13"/>
                <w:w w:val="90"/>
                <w:sz w:val="14"/>
              </w:rPr>
              <w:t> </w:t>
            </w:r>
            <w:r>
              <w:rPr>
                <w:w w:val="90"/>
                <w:sz w:val="14"/>
              </w:rPr>
              <w:t>no</w:t>
            </w:r>
            <w:r>
              <w:rPr>
                <w:spacing w:val="-13"/>
                <w:w w:val="90"/>
                <w:sz w:val="14"/>
              </w:rPr>
              <w:t> </w:t>
            </w:r>
            <w:r>
              <w:rPr>
                <w:w w:val="90"/>
                <w:sz w:val="14"/>
              </w:rPr>
              <w:t>sean</w:t>
            </w:r>
            <w:r>
              <w:rPr>
                <w:spacing w:val="-12"/>
                <w:w w:val="90"/>
                <w:sz w:val="14"/>
              </w:rPr>
              <w:t> </w:t>
            </w:r>
            <w:r>
              <w:rPr>
                <w:w w:val="90"/>
                <w:sz w:val="14"/>
              </w:rPr>
              <w:t>de </w:t>
            </w:r>
            <w:r>
              <w:rPr>
                <w:sz w:val="14"/>
              </w:rPr>
              <w:t>hormigón</w:t>
            </w:r>
            <w:r>
              <w:rPr>
                <w:spacing w:val="-8"/>
                <w:sz w:val="14"/>
              </w:rPr>
              <w:t> </w:t>
            </w:r>
            <w:r>
              <w:rPr>
                <w:sz w:val="14"/>
              </w:rPr>
              <w:t>(véanse</w:t>
            </w:r>
            <w:r>
              <w:rPr>
                <w:spacing w:val="-8"/>
                <w:sz w:val="14"/>
              </w:rPr>
              <w:t> </w:t>
            </w:r>
            <w:r>
              <w:rPr>
                <w:sz w:val="14"/>
              </w:rPr>
              <w:t>las</w:t>
            </w:r>
            <w:r>
              <w:rPr>
                <w:spacing w:val="-8"/>
                <w:sz w:val="14"/>
              </w:rPr>
              <w:t> </w:t>
            </w:r>
            <w:r>
              <w:rPr>
                <w:sz w:val="14"/>
              </w:rPr>
              <w:t>divisiones</w:t>
            </w:r>
            <w:r>
              <w:rPr>
                <w:spacing w:val="-8"/>
                <w:sz w:val="14"/>
              </w:rPr>
              <w:t> </w:t>
            </w:r>
            <w:r>
              <w:rPr>
                <w:sz w:val="14"/>
              </w:rPr>
              <w:t>20,</w:t>
            </w:r>
            <w:r>
              <w:rPr>
                <w:spacing w:val="-8"/>
                <w:sz w:val="14"/>
              </w:rPr>
              <w:t> </w:t>
            </w:r>
            <w:r>
              <w:rPr>
                <w:sz w:val="14"/>
              </w:rPr>
              <w:t>26</w:t>
            </w:r>
            <w:r>
              <w:rPr>
                <w:spacing w:val="-8"/>
                <w:sz w:val="14"/>
              </w:rPr>
              <w:t> </w:t>
            </w:r>
            <w:r>
              <w:rPr>
                <w:sz w:val="14"/>
              </w:rPr>
              <w:t>y</w:t>
            </w:r>
            <w:r>
              <w:rPr>
                <w:spacing w:val="-8"/>
                <w:sz w:val="14"/>
              </w:rPr>
              <w:t> </w:t>
            </w:r>
            <w:r>
              <w:rPr>
                <w:sz w:val="14"/>
              </w:rPr>
              <w:t>28);</w:t>
            </w:r>
          </w:p>
          <w:p>
            <w:pPr>
              <w:pStyle w:val="TableParagraph"/>
              <w:numPr>
                <w:ilvl w:val="0"/>
                <w:numId w:val="456"/>
              </w:numPr>
              <w:tabs>
                <w:tab w:pos="132" w:val="left" w:leader="none"/>
              </w:tabs>
              <w:spacing w:line="249" w:lineRule="auto" w:before="1" w:after="0"/>
              <w:ind w:left="36" w:right="451" w:firstLine="0"/>
              <w:jc w:val="left"/>
              <w:rPr>
                <w:sz w:val="14"/>
              </w:rPr>
            </w:pPr>
            <w:r>
              <w:rPr>
                <w:w w:val="90"/>
                <w:sz w:val="14"/>
              </w:rPr>
              <w:t>la</w:t>
            </w:r>
            <w:r>
              <w:rPr>
                <w:spacing w:val="-14"/>
                <w:w w:val="90"/>
                <w:sz w:val="14"/>
              </w:rPr>
              <w:t> </w:t>
            </w:r>
            <w:r>
              <w:rPr>
                <w:w w:val="90"/>
                <w:sz w:val="14"/>
              </w:rPr>
              <w:t>construcción</w:t>
            </w:r>
            <w:r>
              <w:rPr>
                <w:spacing w:val="-13"/>
                <w:w w:val="90"/>
                <w:sz w:val="14"/>
              </w:rPr>
              <w:t> </w:t>
            </w:r>
            <w:r>
              <w:rPr>
                <w:w w:val="90"/>
                <w:sz w:val="14"/>
              </w:rPr>
              <w:t>de</w:t>
            </w:r>
            <w:r>
              <w:rPr>
                <w:spacing w:val="-14"/>
                <w:w w:val="90"/>
                <w:sz w:val="14"/>
              </w:rPr>
              <w:t> </w:t>
            </w:r>
            <w:r>
              <w:rPr>
                <w:w w:val="90"/>
                <w:sz w:val="14"/>
              </w:rPr>
              <w:t>equipamientos</w:t>
            </w:r>
            <w:r>
              <w:rPr>
                <w:spacing w:val="-13"/>
                <w:w w:val="90"/>
                <w:sz w:val="14"/>
              </w:rPr>
              <w:t> </w:t>
            </w:r>
            <w:r>
              <w:rPr>
                <w:w w:val="90"/>
                <w:sz w:val="14"/>
              </w:rPr>
              <w:t>de</w:t>
            </w:r>
            <w:r>
              <w:rPr>
                <w:spacing w:val="-13"/>
                <w:w w:val="90"/>
                <w:sz w:val="14"/>
              </w:rPr>
              <w:t> </w:t>
            </w:r>
            <w:r>
              <w:rPr>
                <w:w w:val="90"/>
                <w:sz w:val="14"/>
              </w:rPr>
              <w:t>estadios,</w:t>
            </w:r>
            <w:r>
              <w:rPr>
                <w:spacing w:val="-14"/>
                <w:w w:val="90"/>
                <w:sz w:val="14"/>
              </w:rPr>
              <w:t> </w:t>
            </w:r>
            <w:r>
              <w:rPr>
                <w:w w:val="90"/>
                <w:sz w:val="14"/>
              </w:rPr>
              <w:t>piscinas,</w:t>
            </w:r>
            <w:r>
              <w:rPr>
                <w:spacing w:val="-13"/>
                <w:w w:val="90"/>
                <w:sz w:val="14"/>
              </w:rPr>
              <w:t> </w:t>
            </w:r>
            <w:r>
              <w:rPr>
                <w:w w:val="90"/>
                <w:sz w:val="14"/>
              </w:rPr>
              <w:t>gimnasios,</w:t>
            </w:r>
            <w:r>
              <w:rPr>
                <w:spacing w:val="-13"/>
                <w:w w:val="90"/>
                <w:sz w:val="14"/>
              </w:rPr>
              <w:t> </w:t>
            </w:r>
            <w:r>
              <w:rPr>
                <w:w w:val="90"/>
                <w:sz w:val="14"/>
              </w:rPr>
              <w:t>pistas</w:t>
            </w:r>
            <w:r>
              <w:rPr>
                <w:spacing w:val="-14"/>
                <w:w w:val="90"/>
                <w:sz w:val="14"/>
              </w:rPr>
              <w:t> </w:t>
            </w:r>
            <w:r>
              <w:rPr>
                <w:w w:val="90"/>
                <w:sz w:val="14"/>
              </w:rPr>
              <w:t>de</w:t>
            </w:r>
            <w:r>
              <w:rPr>
                <w:spacing w:val="-13"/>
                <w:w w:val="90"/>
                <w:sz w:val="14"/>
              </w:rPr>
              <w:t> </w:t>
            </w:r>
            <w:r>
              <w:rPr>
                <w:w w:val="90"/>
                <w:sz w:val="14"/>
              </w:rPr>
              <w:t>tenis,</w:t>
            </w:r>
            <w:r>
              <w:rPr>
                <w:spacing w:val="-14"/>
                <w:w w:val="90"/>
                <w:sz w:val="14"/>
              </w:rPr>
              <w:t> </w:t>
            </w:r>
            <w:r>
              <w:rPr>
                <w:w w:val="90"/>
                <w:sz w:val="14"/>
              </w:rPr>
              <w:t>campos</w:t>
            </w:r>
            <w:r>
              <w:rPr>
                <w:spacing w:val="-13"/>
                <w:w w:val="90"/>
                <w:sz w:val="14"/>
              </w:rPr>
              <w:t> </w:t>
            </w:r>
            <w:r>
              <w:rPr>
                <w:w w:val="90"/>
                <w:sz w:val="14"/>
              </w:rPr>
              <w:t>de</w:t>
            </w:r>
            <w:r>
              <w:rPr>
                <w:spacing w:val="-13"/>
                <w:w w:val="90"/>
                <w:sz w:val="14"/>
              </w:rPr>
              <w:t> </w:t>
            </w:r>
            <w:r>
              <w:rPr>
                <w:w w:val="90"/>
                <w:sz w:val="14"/>
              </w:rPr>
              <w:t>golf</w:t>
            </w:r>
            <w:r>
              <w:rPr>
                <w:spacing w:val="-14"/>
                <w:w w:val="90"/>
                <w:sz w:val="14"/>
              </w:rPr>
              <w:t> </w:t>
            </w:r>
            <w:r>
              <w:rPr>
                <w:w w:val="90"/>
                <w:sz w:val="14"/>
              </w:rPr>
              <w:t>y</w:t>
            </w:r>
            <w:r>
              <w:rPr>
                <w:spacing w:val="-13"/>
                <w:w w:val="90"/>
                <w:sz w:val="14"/>
              </w:rPr>
              <w:t> </w:t>
            </w:r>
            <w:r>
              <w:rPr>
                <w:w w:val="90"/>
                <w:sz w:val="14"/>
              </w:rPr>
              <w:t>otras </w:t>
            </w:r>
            <w:r>
              <w:rPr>
                <w:sz w:val="14"/>
              </w:rPr>
              <w:t>instalaciones</w:t>
            </w:r>
            <w:r>
              <w:rPr>
                <w:spacing w:val="-12"/>
                <w:sz w:val="14"/>
              </w:rPr>
              <w:t> </w:t>
            </w:r>
            <w:r>
              <w:rPr>
                <w:sz w:val="14"/>
              </w:rPr>
              <w:t>deportivas,</w:t>
            </w:r>
            <w:r>
              <w:rPr>
                <w:spacing w:val="-11"/>
                <w:sz w:val="14"/>
              </w:rPr>
              <w:t> </w:t>
            </w:r>
            <w:r>
              <w:rPr>
                <w:sz w:val="14"/>
              </w:rPr>
              <w:t>excluidos</w:t>
            </w:r>
            <w:r>
              <w:rPr>
                <w:spacing w:val="-11"/>
                <w:sz w:val="14"/>
              </w:rPr>
              <w:t> </w:t>
            </w:r>
            <w:r>
              <w:rPr>
                <w:sz w:val="14"/>
              </w:rPr>
              <w:t>sus</w:t>
            </w:r>
            <w:r>
              <w:rPr>
                <w:spacing w:val="-12"/>
                <w:sz w:val="14"/>
              </w:rPr>
              <w:t> </w:t>
            </w:r>
            <w:r>
              <w:rPr>
                <w:sz w:val="14"/>
              </w:rPr>
              <w:t>edificios</w:t>
            </w:r>
            <w:r>
              <w:rPr>
                <w:spacing w:val="-11"/>
                <w:sz w:val="14"/>
              </w:rPr>
              <w:t> </w:t>
            </w:r>
            <w:r>
              <w:rPr>
                <w:sz w:val="14"/>
              </w:rPr>
              <w:t>(véase</w:t>
            </w:r>
            <w:r>
              <w:rPr>
                <w:spacing w:val="-11"/>
                <w:sz w:val="14"/>
              </w:rPr>
              <w:t> </w:t>
            </w:r>
            <w:r>
              <w:rPr>
                <w:sz w:val="14"/>
              </w:rPr>
              <w:t>45.23);</w:t>
            </w:r>
          </w:p>
          <w:p>
            <w:pPr>
              <w:pStyle w:val="TableParagraph"/>
              <w:numPr>
                <w:ilvl w:val="0"/>
                <w:numId w:val="456"/>
              </w:numPr>
              <w:tabs>
                <w:tab w:pos="132" w:val="left" w:leader="none"/>
              </w:tabs>
              <w:spacing w:line="240" w:lineRule="auto" w:before="1" w:after="0"/>
              <w:ind w:left="131" w:right="0" w:hanging="96"/>
              <w:jc w:val="left"/>
              <w:rPr>
                <w:sz w:val="14"/>
              </w:rPr>
            </w:pPr>
            <w:r>
              <w:rPr>
                <w:sz w:val="14"/>
              </w:rPr>
              <w:t>las</w:t>
            </w:r>
            <w:r>
              <w:rPr>
                <w:spacing w:val="-9"/>
                <w:sz w:val="14"/>
              </w:rPr>
              <w:t> </w:t>
            </w:r>
            <w:r>
              <w:rPr>
                <w:sz w:val="14"/>
              </w:rPr>
              <w:t>instalaciones</w:t>
            </w:r>
            <w:r>
              <w:rPr>
                <w:spacing w:val="-9"/>
                <w:sz w:val="14"/>
              </w:rPr>
              <w:t> </w:t>
            </w:r>
            <w:r>
              <w:rPr>
                <w:sz w:val="14"/>
              </w:rPr>
              <w:t>de</w:t>
            </w:r>
            <w:r>
              <w:rPr>
                <w:spacing w:val="-8"/>
                <w:sz w:val="14"/>
              </w:rPr>
              <w:t> </w:t>
            </w:r>
            <w:r>
              <w:rPr>
                <w:sz w:val="14"/>
              </w:rPr>
              <w:t>edificios</w:t>
            </w:r>
            <w:r>
              <w:rPr>
                <w:spacing w:val="-9"/>
                <w:sz w:val="14"/>
              </w:rPr>
              <w:t> </w:t>
            </w:r>
            <w:r>
              <w:rPr>
                <w:sz w:val="14"/>
              </w:rPr>
              <w:t>y</w:t>
            </w:r>
            <w:r>
              <w:rPr>
                <w:spacing w:val="-8"/>
                <w:sz w:val="14"/>
              </w:rPr>
              <w:t> </w:t>
            </w:r>
            <w:r>
              <w:rPr>
                <w:sz w:val="14"/>
              </w:rPr>
              <w:t>obras</w:t>
            </w:r>
            <w:r>
              <w:rPr>
                <w:spacing w:val="-9"/>
                <w:sz w:val="14"/>
              </w:rPr>
              <w:t> </w:t>
            </w:r>
            <w:r>
              <w:rPr>
                <w:sz w:val="14"/>
              </w:rPr>
              <w:t>(véase</w:t>
            </w:r>
            <w:r>
              <w:rPr>
                <w:spacing w:val="-8"/>
                <w:sz w:val="14"/>
              </w:rPr>
              <w:t> </w:t>
            </w:r>
            <w:r>
              <w:rPr>
                <w:sz w:val="14"/>
              </w:rPr>
              <w:t>45.3);</w:t>
            </w:r>
          </w:p>
          <w:p>
            <w:pPr>
              <w:pStyle w:val="TableParagraph"/>
              <w:numPr>
                <w:ilvl w:val="0"/>
                <w:numId w:val="456"/>
              </w:numPr>
              <w:tabs>
                <w:tab w:pos="132" w:val="left" w:leader="none"/>
              </w:tabs>
              <w:spacing w:line="240" w:lineRule="auto" w:before="7" w:after="0"/>
              <w:ind w:left="131" w:right="0" w:hanging="96"/>
              <w:jc w:val="left"/>
              <w:rPr>
                <w:sz w:val="14"/>
              </w:rPr>
            </w:pPr>
            <w:r>
              <w:rPr>
                <w:sz w:val="14"/>
              </w:rPr>
              <w:t>el</w:t>
            </w:r>
            <w:r>
              <w:rPr>
                <w:spacing w:val="-8"/>
                <w:sz w:val="14"/>
              </w:rPr>
              <w:t> </w:t>
            </w:r>
            <w:r>
              <w:rPr>
                <w:sz w:val="14"/>
              </w:rPr>
              <w:t>acabado</w:t>
            </w:r>
            <w:r>
              <w:rPr>
                <w:spacing w:val="-8"/>
                <w:sz w:val="14"/>
              </w:rPr>
              <w:t> </w:t>
            </w:r>
            <w:r>
              <w:rPr>
                <w:sz w:val="14"/>
              </w:rPr>
              <w:t>de</w:t>
            </w:r>
            <w:r>
              <w:rPr>
                <w:spacing w:val="-8"/>
                <w:sz w:val="14"/>
              </w:rPr>
              <w:t> </w:t>
            </w:r>
            <w:r>
              <w:rPr>
                <w:sz w:val="14"/>
              </w:rPr>
              <w:t>edificios</w:t>
            </w:r>
            <w:r>
              <w:rPr>
                <w:spacing w:val="-8"/>
                <w:sz w:val="14"/>
              </w:rPr>
              <w:t> </w:t>
            </w:r>
            <w:r>
              <w:rPr>
                <w:sz w:val="14"/>
              </w:rPr>
              <w:t>y</w:t>
            </w:r>
            <w:r>
              <w:rPr>
                <w:spacing w:val="-8"/>
                <w:sz w:val="14"/>
              </w:rPr>
              <w:t> </w:t>
            </w:r>
            <w:r>
              <w:rPr>
                <w:sz w:val="14"/>
              </w:rPr>
              <w:t>obras</w:t>
            </w:r>
            <w:r>
              <w:rPr>
                <w:spacing w:val="-8"/>
                <w:sz w:val="14"/>
              </w:rPr>
              <w:t> </w:t>
            </w:r>
            <w:r>
              <w:rPr>
                <w:sz w:val="14"/>
              </w:rPr>
              <w:t>(véase</w:t>
            </w:r>
            <w:r>
              <w:rPr>
                <w:spacing w:val="-7"/>
                <w:sz w:val="14"/>
              </w:rPr>
              <w:t> </w:t>
            </w:r>
            <w:r>
              <w:rPr>
                <w:sz w:val="14"/>
              </w:rPr>
              <w:t>45.4);</w:t>
            </w:r>
          </w:p>
          <w:p>
            <w:pPr>
              <w:pStyle w:val="TableParagraph"/>
              <w:numPr>
                <w:ilvl w:val="0"/>
                <w:numId w:val="456"/>
              </w:numPr>
              <w:tabs>
                <w:tab w:pos="132" w:val="left" w:leader="none"/>
              </w:tabs>
              <w:spacing w:line="249" w:lineRule="auto" w:before="7" w:after="0"/>
              <w:ind w:left="36" w:right="3187" w:firstLine="0"/>
              <w:jc w:val="left"/>
              <w:rPr>
                <w:sz w:val="14"/>
              </w:rPr>
            </w:pPr>
            <w:r>
              <w:rPr>
                <w:w w:val="90"/>
                <w:sz w:val="14"/>
              </w:rPr>
              <w:t>las</w:t>
            </w:r>
            <w:r>
              <w:rPr>
                <w:spacing w:val="-18"/>
                <w:w w:val="90"/>
                <w:sz w:val="14"/>
              </w:rPr>
              <w:t> </w:t>
            </w:r>
            <w:r>
              <w:rPr>
                <w:w w:val="90"/>
                <w:sz w:val="14"/>
              </w:rPr>
              <w:t>actividades</w:t>
            </w:r>
            <w:r>
              <w:rPr>
                <w:spacing w:val="-17"/>
                <w:w w:val="90"/>
                <w:sz w:val="14"/>
              </w:rPr>
              <w:t> </w:t>
            </w:r>
            <w:r>
              <w:rPr>
                <w:w w:val="90"/>
                <w:sz w:val="14"/>
              </w:rPr>
              <w:t>de</w:t>
            </w:r>
            <w:r>
              <w:rPr>
                <w:spacing w:val="-18"/>
                <w:w w:val="90"/>
                <w:sz w:val="14"/>
              </w:rPr>
              <w:t> </w:t>
            </w:r>
            <w:r>
              <w:rPr>
                <w:w w:val="90"/>
                <w:sz w:val="14"/>
              </w:rPr>
              <w:t>ingeniería,</w:t>
            </w:r>
            <w:r>
              <w:rPr>
                <w:spacing w:val="-17"/>
                <w:w w:val="90"/>
                <w:sz w:val="14"/>
              </w:rPr>
              <w:t> </w:t>
            </w:r>
            <w:r>
              <w:rPr>
                <w:w w:val="90"/>
                <w:sz w:val="14"/>
              </w:rPr>
              <w:t>consultoría</w:t>
            </w:r>
            <w:r>
              <w:rPr>
                <w:spacing w:val="-17"/>
                <w:w w:val="90"/>
                <w:sz w:val="14"/>
              </w:rPr>
              <w:t> </w:t>
            </w:r>
            <w:r>
              <w:rPr>
                <w:w w:val="90"/>
                <w:sz w:val="14"/>
              </w:rPr>
              <w:t>y</w:t>
            </w:r>
            <w:r>
              <w:rPr>
                <w:spacing w:val="-18"/>
                <w:w w:val="90"/>
                <w:sz w:val="14"/>
              </w:rPr>
              <w:t> </w:t>
            </w:r>
            <w:r>
              <w:rPr>
                <w:w w:val="90"/>
                <w:sz w:val="14"/>
              </w:rPr>
              <w:t>arquitectura. </w:t>
            </w:r>
            <w:r>
              <w:rPr>
                <w:sz w:val="14"/>
              </w:rPr>
              <w:t>(véase</w:t>
            </w:r>
            <w:r>
              <w:rPr>
                <w:spacing w:val="-7"/>
                <w:sz w:val="14"/>
              </w:rPr>
              <w:t> </w:t>
            </w:r>
            <w:r>
              <w:rPr>
                <w:sz w:val="14"/>
              </w:rPr>
              <w:t>74.20);</w:t>
            </w:r>
          </w:p>
          <w:p>
            <w:pPr>
              <w:pStyle w:val="TableParagraph"/>
              <w:numPr>
                <w:ilvl w:val="0"/>
                <w:numId w:val="456"/>
              </w:numPr>
              <w:tabs>
                <w:tab w:pos="132" w:val="left" w:leader="none"/>
              </w:tabs>
              <w:spacing w:line="157" w:lineRule="exact" w:before="1" w:after="0"/>
              <w:ind w:left="131" w:right="0" w:hanging="96"/>
              <w:jc w:val="left"/>
              <w:rPr>
                <w:sz w:val="14"/>
              </w:rPr>
            </w:pPr>
            <w:r>
              <w:rPr>
                <w:sz w:val="14"/>
              </w:rPr>
              <w:t>la</w:t>
            </w:r>
            <w:r>
              <w:rPr>
                <w:spacing w:val="-9"/>
                <w:sz w:val="14"/>
              </w:rPr>
              <w:t> </w:t>
            </w:r>
            <w:r>
              <w:rPr>
                <w:sz w:val="14"/>
              </w:rPr>
              <w:t>dirección</w:t>
            </w:r>
            <w:r>
              <w:rPr>
                <w:spacing w:val="-9"/>
                <w:sz w:val="14"/>
              </w:rPr>
              <w:t> </w:t>
            </w:r>
            <w:r>
              <w:rPr>
                <w:sz w:val="14"/>
              </w:rPr>
              <w:t>de</w:t>
            </w:r>
            <w:r>
              <w:rPr>
                <w:spacing w:val="-9"/>
                <w:sz w:val="14"/>
              </w:rPr>
              <w:t> </w:t>
            </w:r>
            <w:r>
              <w:rPr>
                <w:sz w:val="14"/>
              </w:rPr>
              <w:t>obras</w:t>
            </w:r>
            <w:r>
              <w:rPr>
                <w:spacing w:val="-8"/>
                <w:sz w:val="14"/>
              </w:rPr>
              <w:t> </w:t>
            </w:r>
            <w:r>
              <w:rPr>
                <w:sz w:val="14"/>
              </w:rPr>
              <w:t>de</w:t>
            </w:r>
            <w:r>
              <w:rPr>
                <w:spacing w:val="-9"/>
                <w:sz w:val="14"/>
              </w:rPr>
              <w:t> </w:t>
            </w:r>
            <w:r>
              <w:rPr>
                <w:sz w:val="14"/>
              </w:rPr>
              <w:t>construcción</w:t>
            </w:r>
            <w:r>
              <w:rPr>
                <w:spacing w:val="-9"/>
                <w:sz w:val="14"/>
              </w:rPr>
              <w:t> </w:t>
            </w:r>
            <w:r>
              <w:rPr>
                <w:sz w:val="14"/>
              </w:rPr>
              <w:t>(véase</w:t>
            </w:r>
            <w:r>
              <w:rPr>
                <w:spacing w:val="-8"/>
                <w:sz w:val="14"/>
              </w:rPr>
              <w:t> </w:t>
            </w:r>
            <w:r>
              <w:rPr>
                <w:sz w:val="14"/>
              </w:rPr>
              <w:t>74.20).</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4"/>
              </w:rPr>
            </w:pPr>
          </w:p>
          <w:p>
            <w:pPr>
              <w:pStyle w:val="TableParagraph"/>
              <w:spacing w:before="1"/>
              <w:ind w:left="35"/>
              <w:rPr>
                <w:sz w:val="14"/>
              </w:rPr>
            </w:pPr>
            <w:r>
              <w:rPr>
                <w:sz w:val="14"/>
              </w:rPr>
              <w:t>45210000</w:t>
            </w:r>
          </w:p>
          <w:p>
            <w:pPr>
              <w:pStyle w:val="TableParagraph"/>
              <w:spacing w:line="249" w:lineRule="auto" w:before="7"/>
              <w:ind w:left="35"/>
              <w:rPr>
                <w:sz w:val="14"/>
              </w:rPr>
            </w:pPr>
            <w:r>
              <w:rPr>
                <w:w w:val="95"/>
                <w:sz w:val="14"/>
              </w:rPr>
              <w:t>Excepto: </w:t>
            </w:r>
            <w:r>
              <w:rPr>
                <w:spacing w:val="-1"/>
                <w:w w:val="85"/>
                <w:sz w:val="14"/>
              </w:rPr>
              <w:t>45213316</w:t>
            </w:r>
          </w:p>
          <w:p>
            <w:pPr>
              <w:pStyle w:val="TableParagraph"/>
              <w:spacing w:before="1"/>
              <w:ind w:left="35"/>
              <w:rPr>
                <w:sz w:val="14"/>
              </w:rPr>
            </w:pPr>
            <w:r>
              <w:rPr>
                <w:sz w:val="14"/>
              </w:rPr>
              <w:t>45220000</w:t>
            </w:r>
          </w:p>
          <w:p>
            <w:pPr>
              <w:pStyle w:val="TableParagraph"/>
              <w:spacing w:before="7"/>
              <w:ind w:left="35"/>
              <w:rPr>
                <w:sz w:val="14"/>
              </w:rPr>
            </w:pPr>
            <w:r>
              <w:rPr>
                <w:sz w:val="14"/>
              </w:rPr>
              <w:t>45231000</w:t>
            </w:r>
          </w:p>
          <w:p>
            <w:pPr>
              <w:pStyle w:val="TableParagraph"/>
              <w:spacing w:before="7"/>
              <w:ind w:left="35"/>
              <w:rPr>
                <w:sz w:val="14"/>
              </w:rPr>
            </w:pPr>
            <w:r>
              <w:rPr>
                <w:sz w:val="14"/>
              </w:rPr>
              <w:t>45232000</w:t>
            </w:r>
          </w:p>
        </w:tc>
      </w:tr>
    </w:tbl>
    <w:p>
      <w:pPr>
        <w:spacing w:after="0"/>
        <w:rPr>
          <w:sz w:val="14"/>
        </w:rPr>
        <w:sectPr>
          <w:pgSz w:w="11910" w:h="16840"/>
          <w:pgMar w:header="529" w:footer="570" w:top="1200" w:bottom="760" w:left="740" w:right="540"/>
        </w:sectPr>
      </w:pPr>
    </w:p>
    <w:p>
      <w:pPr>
        <w:pStyle w:val="BodyText"/>
        <w:spacing w:before="0"/>
        <w:ind w:left="0" w:firstLine="0"/>
        <w:jc w:val="left"/>
        <w:rPr>
          <w:rFonts w:ascii="Times New Roman"/>
        </w:rPr>
      </w:pPr>
    </w:p>
    <w:p>
      <w:pPr>
        <w:pStyle w:val="BodyText"/>
        <w:spacing w:before="10" w:after="1"/>
        <w:ind w:left="0" w:firstLine="0"/>
        <w:jc w:val="left"/>
        <w:rPr>
          <w:rFonts w:ascii="Times New Roman"/>
          <w:sz w:val="21"/>
        </w:rPr>
      </w:pPr>
    </w:p>
    <w:tbl>
      <w:tblPr>
        <w:tblW w:w="0" w:type="auto"/>
        <w:jc w:val="left"/>
        <w:tblInd w:w="117"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CellMar>
          <w:top w:w="0" w:type="dxa"/>
          <w:left w:w="0" w:type="dxa"/>
          <w:bottom w:w="0" w:type="dxa"/>
          <w:right w:w="0" w:type="dxa"/>
        </w:tblCellMar>
        <w:tblLook w:val="01E0"/>
      </w:tblPr>
      <w:tblGrid>
        <w:gridCol w:w="515"/>
        <w:gridCol w:w="427"/>
        <w:gridCol w:w="400"/>
        <w:gridCol w:w="1623"/>
        <w:gridCol w:w="6354"/>
        <w:gridCol w:w="893"/>
      </w:tblGrid>
      <w:tr>
        <w:trPr>
          <w:trHeight w:val="167" w:hRule="atLeast"/>
        </w:trPr>
        <w:tc>
          <w:tcPr>
            <w:tcW w:w="9319" w:type="dxa"/>
            <w:gridSpan w:val="5"/>
            <w:shd w:val="clear" w:color="auto" w:fill="EDEDED"/>
          </w:tcPr>
          <w:p>
            <w:pPr>
              <w:pStyle w:val="TableParagraph"/>
              <w:spacing w:line="148" w:lineRule="exact"/>
              <w:ind w:left="4166" w:right="4166"/>
              <w:jc w:val="center"/>
              <w:rPr>
                <w:b/>
                <w:sz w:val="8"/>
              </w:rPr>
            </w:pPr>
            <w:r>
              <w:rPr>
                <w:b/>
                <w:w w:val="95"/>
                <w:sz w:val="14"/>
              </w:rPr>
              <w:t>NACE Rev. 2 </w:t>
            </w:r>
            <w:r>
              <w:rPr>
                <w:b/>
                <w:w w:val="95"/>
                <w:position w:val="5"/>
                <w:sz w:val="8"/>
              </w:rPr>
              <w:t>(1)</w:t>
            </w:r>
          </w:p>
        </w:tc>
        <w:tc>
          <w:tcPr>
            <w:tcW w:w="893" w:type="dxa"/>
            <w:vMerge w:val="restart"/>
            <w:shd w:val="clear" w:color="auto" w:fill="EDEDED"/>
          </w:tcPr>
          <w:p>
            <w:pPr>
              <w:pStyle w:val="TableParagraph"/>
              <w:spacing w:before="1"/>
              <w:rPr>
                <w:rFonts w:ascii="Times New Roman"/>
                <w:sz w:val="14"/>
              </w:rPr>
            </w:pPr>
          </w:p>
          <w:p>
            <w:pPr>
              <w:pStyle w:val="TableParagraph"/>
              <w:ind w:left="100"/>
              <w:rPr>
                <w:b/>
                <w:sz w:val="14"/>
              </w:rPr>
            </w:pPr>
            <w:r>
              <w:rPr>
                <w:b/>
                <w:w w:val="95"/>
                <w:sz w:val="14"/>
              </w:rPr>
              <w:t>Código CPV</w:t>
            </w:r>
          </w:p>
        </w:tc>
      </w:tr>
      <w:tr>
        <w:trPr>
          <w:trHeight w:val="163" w:hRule="atLeast"/>
        </w:trPr>
        <w:tc>
          <w:tcPr>
            <w:tcW w:w="1342" w:type="dxa"/>
            <w:gridSpan w:val="3"/>
            <w:shd w:val="clear" w:color="auto" w:fill="EDEDED"/>
          </w:tcPr>
          <w:p>
            <w:pPr>
              <w:pStyle w:val="TableParagraph"/>
              <w:spacing w:line="144" w:lineRule="exact"/>
              <w:ind w:left="395"/>
              <w:rPr>
                <w:b/>
                <w:sz w:val="14"/>
              </w:rPr>
            </w:pPr>
            <w:r>
              <w:rPr>
                <w:b/>
                <w:w w:val="95"/>
                <w:sz w:val="14"/>
              </w:rPr>
              <w:t>Sección F</w:t>
            </w:r>
          </w:p>
        </w:tc>
        <w:tc>
          <w:tcPr>
            <w:tcW w:w="7977" w:type="dxa"/>
            <w:gridSpan w:val="2"/>
            <w:shd w:val="clear" w:color="auto" w:fill="EDEDED"/>
          </w:tcPr>
          <w:p>
            <w:pPr>
              <w:pStyle w:val="TableParagraph"/>
              <w:spacing w:line="144" w:lineRule="exact"/>
              <w:ind w:left="3557" w:right="3557"/>
              <w:jc w:val="center"/>
              <w:rPr>
                <w:b/>
                <w:sz w:val="14"/>
              </w:rPr>
            </w:pPr>
            <w:r>
              <w:rPr>
                <w:b/>
                <w:w w:val="90"/>
                <w:sz w:val="14"/>
              </w:rPr>
              <w:t>Construcción</w:t>
            </w:r>
          </w:p>
        </w:tc>
        <w:tc>
          <w:tcPr>
            <w:tcW w:w="893" w:type="dxa"/>
            <w:vMerge/>
            <w:tcBorders>
              <w:top w:val="nil"/>
            </w:tcBorders>
            <w:shd w:val="clear" w:color="auto" w:fill="EDEDED"/>
          </w:tcPr>
          <w:p>
            <w:pPr>
              <w:rPr>
                <w:sz w:val="2"/>
                <w:szCs w:val="2"/>
              </w:rPr>
            </w:pPr>
          </w:p>
        </w:tc>
      </w:tr>
      <w:tr>
        <w:trPr>
          <w:trHeight w:val="163" w:hRule="atLeast"/>
        </w:trPr>
        <w:tc>
          <w:tcPr>
            <w:tcW w:w="515" w:type="dxa"/>
            <w:shd w:val="clear" w:color="auto" w:fill="EDEDED"/>
          </w:tcPr>
          <w:p>
            <w:pPr>
              <w:pStyle w:val="TableParagraph"/>
              <w:spacing w:line="143" w:lineRule="exact"/>
              <w:ind w:left="40"/>
              <w:rPr>
                <w:b/>
                <w:sz w:val="14"/>
              </w:rPr>
            </w:pPr>
            <w:r>
              <w:rPr>
                <w:b/>
                <w:w w:val="80"/>
                <w:sz w:val="14"/>
              </w:rPr>
              <w:t>División</w:t>
            </w:r>
          </w:p>
        </w:tc>
        <w:tc>
          <w:tcPr>
            <w:tcW w:w="427" w:type="dxa"/>
            <w:shd w:val="clear" w:color="auto" w:fill="EDEDED"/>
          </w:tcPr>
          <w:p>
            <w:pPr>
              <w:pStyle w:val="TableParagraph"/>
              <w:spacing w:line="143" w:lineRule="exact"/>
              <w:ind w:left="11" w:right="8"/>
              <w:jc w:val="center"/>
              <w:rPr>
                <w:b/>
                <w:sz w:val="14"/>
              </w:rPr>
            </w:pPr>
            <w:r>
              <w:rPr>
                <w:b/>
                <w:w w:val="85"/>
                <w:sz w:val="14"/>
              </w:rPr>
              <w:t>Grupo</w:t>
            </w:r>
          </w:p>
        </w:tc>
        <w:tc>
          <w:tcPr>
            <w:tcW w:w="400" w:type="dxa"/>
            <w:shd w:val="clear" w:color="auto" w:fill="EDEDED"/>
          </w:tcPr>
          <w:p>
            <w:pPr>
              <w:pStyle w:val="TableParagraph"/>
              <w:spacing w:line="143" w:lineRule="exact"/>
              <w:ind w:right="35"/>
              <w:jc w:val="right"/>
              <w:rPr>
                <w:b/>
                <w:sz w:val="14"/>
              </w:rPr>
            </w:pPr>
            <w:r>
              <w:rPr>
                <w:b/>
                <w:w w:val="80"/>
                <w:sz w:val="14"/>
              </w:rPr>
              <w:t>Clase</w:t>
            </w:r>
          </w:p>
        </w:tc>
        <w:tc>
          <w:tcPr>
            <w:tcW w:w="1623" w:type="dxa"/>
            <w:shd w:val="clear" w:color="auto" w:fill="EDEDED"/>
          </w:tcPr>
          <w:p>
            <w:pPr>
              <w:pStyle w:val="TableParagraph"/>
              <w:spacing w:line="143" w:lineRule="exact"/>
              <w:ind w:left="486"/>
              <w:rPr>
                <w:b/>
                <w:sz w:val="14"/>
              </w:rPr>
            </w:pPr>
            <w:r>
              <w:rPr>
                <w:b/>
                <w:w w:val="90"/>
                <w:sz w:val="14"/>
              </w:rPr>
              <w:t>Descripción</w:t>
            </w:r>
          </w:p>
        </w:tc>
        <w:tc>
          <w:tcPr>
            <w:tcW w:w="6354" w:type="dxa"/>
            <w:shd w:val="clear" w:color="auto" w:fill="EDEDED"/>
          </w:tcPr>
          <w:p>
            <w:pPr>
              <w:pStyle w:val="TableParagraph"/>
              <w:spacing w:line="143" w:lineRule="exact"/>
              <w:ind w:left="2699" w:right="2700"/>
              <w:jc w:val="center"/>
              <w:rPr>
                <w:b/>
                <w:sz w:val="14"/>
              </w:rPr>
            </w:pPr>
            <w:r>
              <w:rPr>
                <w:b/>
                <w:w w:val="90"/>
                <w:sz w:val="14"/>
              </w:rPr>
              <w:t>Observaciones</w:t>
            </w:r>
          </w:p>
        </w:tc>
        <w:tc>
          <w:tcPr>
            <w:tcW w:w="893" w:type="dxa"/>
            <w:vMerge/>
            <w:tcBorders>
              <w:top w:val="nil"/>
            </w:tcBorders>
            <w:shd w:val="clear" w:color="auto" w:fill="EDEDED"/>
          </w:tcPr>
          <w:p>
            <w:pPr>
              <w:rPr>
                <w:sz w:val="2"/>
                <w:szCs w:val="2"/>
              </w:rPr>
            </w:pPr>
          </w:p>
        </w:tc>
      </w:tr>
      <w:tr>
        <w:trPr>
          <w:trHeight w:val="668" w:hRule="atLeast"/>
        </w:trPr>
        <w:tc>
          <w:tcPr>
            <w:tcW w:w="515" w:type="dxa"/>
            <w:tcBorders>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left w:val="single" w:sz="4" w:space="0" w:color="CCCCCC"/>
              <w:bottom w:val="single" w:sz="4" w:space="0" w:color="CCCCCC"/>
              <w:right w:val="single" w:sz="4" w:space="0" w:color="CCCCCC"/>
            </w:tcBorders>
          </w:tcPr>
          <w:p>
            <w:pPr>
              <w:pStyle w:val="TableParagraph"/>
              <w:spacing w:before="9"/>
              <w:rPr>
                <w:rFonts w:ascii="Times New Roman"/>
                <w:sz w:val="20"/>
              </w:rPr>
            </w:pPr>
          </w:p>
          <w:p>
            <w:pPr>
              <w:pStyle w:val="TableParagraph"/>
              <w:ind w:right="38"/>
              <w:jc w:val="right"/>
              <w:rPr>
                <w:sz w:val="14"/>
              </w:rPr>
            </w:pPr>
            <w:r>
              <w:rPr>
                <w:w w:val="85"/>
                <w:sz w:val="14"/>
              </w:rPr>
              <w:t>45.22</w:t>
            </w:r>
          </w:p>
        </w:tc>
        <w:tc>
          <w:tcPr>
            <w:tcW w:w="1623" w:type="dxa"/>
            <w:tcBorders>
              <w:left w:val="single" w:sz="4" w:space="0" w:color="CCCCCC"/>
              <w:bottom w:val="single" w:sz="4" w:space="0" w:color="CCCCCC"/>
              <w:right w:val="single" w:sz="4" w:space="0" w:color="CCCCCC"/>
            </w:tcBorders>
          </w:tcPr>
          <w:p>
            <w:pPr>
              <w:pStyle w:val="TableParagraph"/>
              <w:spacing w:line="249" w:lineRule="auto" w:before="155"/>
              <w:ind w:left="38"/>
              <w:rPr>
                <w:sz w:val="14"/>
              </w:rPr>
            </w:pPr>
            <w:r>
              <w:rPr>
                <w:w w:val="90"/>
                <w:sz w:val="14"/>
              </w:rPr>
              <w:t>Construcción de cubiertas y estructuras de cerramiento.</w:t>
            </w:r>
          </w:p>
        </w:tc>
        <w:tc>
          <w:tcPr>
            <w:tcW w:w="6354" w:type="dxa"/>
            <w:tcBorders>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57"/>
              </w:numPr>
              <w:tabs>
                <w:tab w:pos="132" w:val="left" w:leader="none"/>
              </w:tabs>
              <w:spacing w:line="240" w:lineRule="auto" w:before="7" w:after="0"/>
              <w:ind w:left="131" w:right="0" w:hanging="96"/>
              <w:jc w:val="left"/>
              <w:rPr>
                <w:sz w:val="14"/>
              </w:rPr>
            </w:pPr>
            <w:r>
              <w:rPr>
                <w:sz w:val="14"/>
              </w:rPr>
              <w:t>la construcción de</w:t>
            </w:r>
            <w:r>
              <w:rPr>
                <w:spacing w:val="-20"/>
                <w:sz w:val="14"/>
              </w:rPr>
              <w:t> </w:t>
            </w:r>
            <w:r>
              <w:rPr>
                <w:sz w:val="14"/>
              </w:rPr>
              <w:t>tejados,</w:t>
            </w:r>
          </w:p>
          <w:p>
            <w:pPr>
              <w:pStyle w:val="TableParagraph"/>
              <w:numPr>
                <w:ilvl w:val="0"/>
                <w:numId w:val="457"/>
              </w:numPr>
              <w:tabs>
                <w:tab w:pos="132" w:val="left" w:leader="none"/>
              </w:tabs>
              <w:spacing w:line="240" w:lineRule="auto" w:before="7" w:after="0"/>
              <w:ind w:left="131" w:right="0" w:hanging="96"/>
              <w:jc w:val="left"/>
              <w:rPr>
                <w:sz w:val="14"/>
              </w:rPr>
            </w:pPr>
            <w:r>
              <w:rPr>
                <w:sz w:val="14"/>
              </w:rPr>
              <w:t>la cubierta de</w:t>
            </w:r>
            <w:r>
              <w:rPr>
                <w:spacing w:val="-19"/>
                <w:sz w:val="14"/>
              </w:rPr>
              <w:t> </w:t>
            </w:r>
            <w:r>
              <w:rPr>
                <w:sz w:val="14"/>
              </w:rPr>
              <w:t>tejados,</w:t>
            </w:r>
          </w:p>
          <w:p>
            <w:pPr>
              <w:pStyle w:val="TableParagraph"/>
              <w:numPr>
                <w:ilvl w:val="0"/>
                <w:numId w:val="457"/>
              </w:numPr>
              <w:tabs>
                <w:tab w:pos="132" w:val="left" w:leader="none"/>
              </w:tabs>
              <w:spacing w:line="157" w:lineRule="exact" w:before="7" w:after="0"/>
              <w:ind w:left="131" w:right="0" w:hanging="96"/>
              <w:jc w:val="left"/>
              <w:rPr>
                <w:sz w:val="14"/>
              </w:rPr>
            </w:pPr>
            <w:r>
              <w:rPr>
                <w:sz w:val="14"/>
              </w:rPr>
              <w:t>la</w:t>
            </w:r>
            <w:r>
              <w:rPr>
                <w:spacing w:val="-9"/>
                <w:sz w:val="14"/>
              </w:rPr>
              <w:t> </w:t>
            </w:r>
            <w:r>
              <w:rPr>
                <w:sz w:val="14"/>
              </w:rPr>
              <w:t>impermeabilización</w:t>
            </w:r>
            <w:r>
              <w:rPr>
                <w:spacing w:val="-8"/>
                <w:sz w:val="14"/>
              </w:rPr>
              <w:t> </w:t>
            </w:r>
            <w:r>
              <w:rPr>
                <w:sz w:val="14"/>
              </w:rPr>
              <w:t>de</w:t>
            </w:r>
            <w:r>
              <w:rPr>
                <w:spacing w:val="-8"/>
                <w:sz w:val="14"/>
              </w:rPr>
              <w:t> </w:t>
            </w:r>
            <w:r>
              <w:rPr>
                <w:sz w:val="14"/>
              </w:rPr>
              <w:t>edificios</w:t>
            </w:r>
            <w:r>
              <w:rPr>
                <w:spacing w:val="-8"/>
                <w:sz w:val="14"/>
              </w:rPr>
              <w:t> </w:t>
            </w:r>
            <w:r>
              <w:rPr>
                <w:sz w:val="14"/>
              </w:rPr>
              <w:t>y</w:t>
            </w:r>
            <w:r>
              <w:rPr>
                <w:spacing w:val="-8"/>
                <w:sz w:val="14"/>
              </w:rPr>
              <w:t> </w:t>
            </w:r>
            <w:r>
              <w:rPr>
                <w:sz w:val="14"/>
              </w:rPr>
              <w:t>balcones.</w:t>
            </w:r>
          </w:p>
        </w:tc>
        <w:tc>
          <w:tcPr>
            <w:tcW w:w="893" w:type="dxa"/>
            <w:tcBorders>
              <w:left w:val="single" w:sz="4" w:space="0" w:color="CCCCCC"/>
              <w:bottom w:val="single" w:sz="4" w:space="0" w:color="CCCCCC"/>
              <w:right w:val="single" w:sz="4" w:space="0" w:color="CCCCCC"/>
            </w:tcBorders>
          </w:tcPr>
          <w:p>
            <w:pPr>
              <w:pStyle w:val="TableParagraph"/>
              <w:spacing w:before="9"/>
              <w:rPr>
                <w:rFonts w:ascii="Times New Roman"/>
                <w:sz w:val="20"/>
              </w:rPr>
            </w:pPr>
          </w:p>
          <w:p>
            <w:pPr>
              <w:pStyle w:val="TableParagraph"/>
              <w:ind w:left="35"/>
              <w:rPr>
                <w:sz w:val="14"/>
              </w:rPr>
            </w:pPr>
            <w:r>
              <w:rPr>
                <w:sz w:val="14"/>
              </w:rPr>
              <w:t>45261000</w:t>
            </w:r>
          </w:p>
        </w:tc>
      </w:tr>
      <w:tr>
        <w:trPr>
          <w:trHeight w:val="1507"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21"/>
              </w:rPr>
            </w:pPr>
          </w:p>
          <w:p>
            <w:pPr>
              <w:pStyle w:val="TableParagraph"/>
              <w:ind w:right="38"/>
              <w:jc w:val="right"/>
              <w:rPr>
                <w:sz w:val="14"/>
              </w:rPr>
            </w:pPr>
            <w:r>
              <w:rPr>
                <w:w w:val="85"/>
                <w:sz w:val="14"/>
              </w:rPr>
              <w:t>45.23</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spacing w:line="249" w:lineRule="auto"/>
              <w:ind w:left="38" w:right="61"/>
              <w:rPr>
                <w:sz w:val="14"/>
              </w:rPr>
            </w:pPr>
            <w:r>
              <w:rPr>
                <w:w w:val="85"/>
                <w:sz w:val="14"/>
              </w:rPr>
              <w:t>Construcción de autopistas, </w:t>
            </w:r>
            <w:r>
              <w:rPr>
                <w:sz w:val="14"/>
              </w:rPr>
              <w:t>carreteras, campos de aterrizaje, vías férreas y centros deportivos.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58"/>
              </w:numPr>
              <w:tabs>
                <w:tab w:pos="132" w:val="left" w:leader="none"/>
              </w:tabs>
              <w:spacing w:line="240" w:lineRule="auto" w:before="7" w:after="0"/>
              <w:ind w:left="131" w:right="0" w:hanging="96"/>
              <w:jc w:val="left"/>
              <w:rPr>
                <w:sz w:val="14"/>
              </w:rPr>
            </w:pPr>
            <w:r>
              <w:rPr>
                <w:sz w:val="14"/>
              </w:rPr>
              <w:t>la</w:t>
            </w:r>
            <w:r>
              <w:rPr>
                <w:spacing w:val="-25"/>
                <w:sz w:val="14"/>
              </w:rPr>
              <w:t> </w:t>
            </w:r>
            <w:r>
              <w:rPr>
                <w:sz w:val="14"/>
              </w:rPr>
              <w:t>construcción</w:t>
            </w:r>
            <w:r>
              <w:rPr>
                <w:spacing w:val="-24"/>
                <w:sz w:val="14"/>
              </w:rPr>
              <w:t> </w:t>
            </w:r>
            <w:r>
              <w:rPr>
                <w:sz w:val="14"/>
              </w:rPr>
              <w:t>de</w:t>
            </w:r>
            <w:r>
              <w:rPr>
                <w:spacing w:val="-24"/>
                <w:sz w:val="14"/>
              </w:rPr>
              <w:t> </w:t>
            </w:r>
            <w:r>
              <w:rPr>
                <w:sz w:val="14"/>
              </w:rPr>
              <w:t>autopistas,</w:t>
            </w:r>
            <w:r>
              <w:rPr>
                <w:spacing w:val="-24"/>
                <w:sz w:val="14"/>
              </w:rPr>
              <w:t> </w:t>
            </w:r>
            <w:r>
              <w:rPr>
                <w:sz w:val="14"/>
              </w:rPr>
              <w:t>calles,</w:t>
            </w:r>
            <w:r>
              <w:rPr>
                <w:spacing w:val="-24"/>
                <w:sz w:val="14"/>
              </w:rPr>
              <w:t> </w:t>
            </w:r>
            <w:r>
              <w:rPr>
                <w:sz w:val="14"/>
              </w:rPr>
              <w:t>carreteras</w:t>
            </w:r>
            <w:r>
              <w:rPr>
                <w:spacing w:val="-24"/>
                <w:sz w:val="14"/>
              </w:rPr>
              <w:t> </w:t>
            </w:r>
            <w:r>
              <w:rPr>
                <w:sz w:val="14"/>
              </w:rPr>
              <w:t>y</w:t>
            </w:r>
            <w:r>
              <w:rPr>
                <w:spacing w:val="-24"/>
                <w:sz w:val="14"/>
              </w:rPr>
              <w:t> </w:t>
            </w:r>
            <w:r>
              <w:rPr>
                <w:sz w:val="14"/>
              </w:rPr>
              <w:t>otras</w:t>
            </w:r>
            <w:r>
              <w:rPr>
                <w:spacing w:val="-24"/>
                <w:sz w:val="14"/>
              </w:rPr>
              <w:t> </w:t>
            </w:r>
            <w:r>
              <w:rPr>
                <w:sz w:val="14"/>
              </w:rPr>
              <w:t>vías</w:t>
            </w:r>
            <w:r>
              <w:rPr>
                <w:spacing w:val="-24"/>
                <w:sz w:val="14"/>
              </w:rPr>
              <w:t> </w:t>
            </w:r>
            <w:r>
              <w:rPr>
                <w:sz w:val="14"/>
              </w:rPr>
              <w:t>de</w:t>
            </w:r>
            <w:r>
              <w:rPr>
                <w:spacing w:val="-24"/>
                <w:sz w:val="14"/>
              </w:rPr>
              <w:t> </w:t>
            </w:r>
            <w:r>
              <w:rPr>
                <w:sz w:val="14"/>
              </w:rPr>
              <w:t>circulación</w:t>
            </w:r>
            <w:r>
              <w:rPr>
                <w:spacing w:val="-24"/>
                <w:sz w:val="14"/>
              </w:rPr>
              <w:t> </w:t>
            </w:r>
            <w:r>
              <w:rPr>
                <w:sz w:val="14"/>
              </w:rPr>
              <w:t>de</w:t>
            </w:r>
            <w:r>
              <w:rPr>
                <w:spacing w:val="-24"/>
                <w:sz w:val="14"/>
              </w:rPr>
              <w:t> </w:t>
            </w:r>
            <w:r>
              <w:rPr>
                <w:sz w:val="14"/>
              </w:rPr>
              <w:t>vehículos</w:t>
            </w:r>
            <w:r>
              <w:rPr>
                <w:spacing w:val="-24"/>
                <w:sz w:val="14"/>
              </w:rPr>
              <w:t> </w:t>
            </w:r>
            <w:r>
              <w:rPr>
                <w:sz w:val="14"/>
              </w:rPr>
              <w:t>y</w:t>
            </w:r>
            <w:r>
              <w:rPr>
                <w:spacing w:val="-24"/>
                <w:sz w:val="14"/>
              </w:rPr>
              <w:t> </w:t>
            </w:r>
            <w:r>
              <w:rPr>
                <w:sz w:val="14"/>
              </w:rPr>
              <w:t>peatones,</w:t>
            </w:r>
          </w:p>
          <w:p>
            <w:pPr>
              <w:pStyle w:val="TableParagraph"/>
              <w:numPr>
                <w:ilvl w:val="0"/>
                <w:numId w:val="458"/>
              </w:numPr>
              <w:tabs>
                <w:tab w:pos="132" w:val="left" w:leader="none"/>
              </w:tabs>
              <w:spacing w:line="240" w:lineRule="auto" w:before="7" w:after="0"/>
              <w:ind w:left="131" w:right="0" w:hanging="96"/>
              <w:jc w:val="left"/>
              <w:rPr>
                <w:sz w:val="14"/>
              </w:rPr>
            </w:pPr>
            <w:r>
              <w:rPr>
                <w:sz w:val="14"/>
              </w:rPr>
              <w:t>la construcción de vías</w:t>
            </w:r>
            <w:r>
              <w:rPr>
                <w:spacing w:val="-27"/>
                <w:sz w:val="14"/>
              </w:rPr>
              <w:t> </w:t>
            </w:r>
            <w:r>
              <w:rPr>
                <w:sz w:val="14"/>
              </w:rPr>
              <w:t>férreas,</w:t>
            </w:r>
          </w:p>
          <w:p>
            <w:pPr>
              <w:pStyle w:val="TableParagraph"/>
              <w:numPr>
                <w:ilvl w:val="0"/>
                <w:numId w:val="458"/>
              </w:numPr>
              <w:tabs>
                <w:tab w:pos="132" w:val="left" w:leader="none"/>
              </w:tabs>
              <w:spacing w:line="240" w:lineRule="auto" w:before="7" w:after="0"/>
              <w:ind w:left="131" w:right="0" w:hanging="96"/>
              <w:jc w:val="left"/>
              <w:rPr>
                <w:sz w:val="14"/>
              </w:rPr>
            </w:pPr>
            <w:r>
              <w:rPr>
                <w:sz w:val="14"/>
              </w:rPr>
              <w:t>la</w:t>
            </w:r>
            <w:r>
              <w:rPr>
                <w:spacing w:val="-8"/>
                <w:sz w:val="14"/>
              </w:rPr>
              <w:t> </w:t>
            </w:r>
            <w:r>
              <w:rPr>
                <w:sz w:val="14"/>
              </w:rPr>
              <w:t>construcción</w:t>
            </w:r>
            <w:r>
              <w:rPr>
                <w:spacing w:val="-7"/>
                <w:sz w:val="14"/>
              </w:rPr>
              <w:t> </w:t>
            </w:r>
            <w:r>
              <w:rPr>
                <w:sz w:val="14"/>
              </w:rPr>
              <w:t>de</w:t>
            </w:r>
            <w:r>
              <w:rPr>
                <w:spacing w:val="-7"/>
                <w:sz w:val="14"/>
              </w:rPr>
              <w:t> </w:t>
            </w:r>
            <w:r>
              <w:rPr>
                <w:sz w:val="14"/>
              </w:rPr>
              <w:t>pistas</w:t>
            </w:r>
            <w:r>
              <w:rPr>
                <w:spacing w:val="-8"/>
                <w:sz w:val="14"/>
              </w:rPr>
              <w:t> </w:t>
            </w:r>
            <w:r>
              <w:rPr>
                <w:sz w:val="14"/>
              </w:rPr>
              <w:t>de</w:t>
            </w:r>
            <w:r>
              <w:rPr>
                <w:spacing w:val="-7"/>
                <w:sz w:val="14"/>
              </w:rPr>
              <w:t> </w:t>
            </w:r>
            <w:r>
              <w:rPr>
                <w:sz w:val="14"/>
              </w:rPr>
              <w:t>aterrizaje,</w:t>
            </w:r>
          </w:p>
          <w:p>
            <w:pPr>
              <w:pStyle w:val="TableParagraph"/>
              <w:numPr>
                <w:ilvl w:val="0"/>
                <w:numId w:val="458"/>
              </w:numPr>
              <w:tabs>
                <w:tab w:pos="132" w:val="left" w:leader="none"/>
              </w:tabs>
              <w:spacing w:line="249" w:lineRule="auto" w:before="7" w:after="0"/>
              <w:ind w:left="36" w:right="451" w:firstLine="0"/>
              <w:jc w:val="left"/>
              <w:rPr>
                <w:sz w:val="14"/>
              </w:rPr>
            </w:pPr>
            <w:r>
              <w:rPr>
                <w:w w:val="90"/>
                <w:sz w:val="14"/>
              </w:rPr>
              <w:t>la</w:t>
            </w:r>
            <w:r>
              <w:rPr>
                <w:spacing w:val="-14"/>
                <w:w w:val="90"/>
                <w:sz w:val="14"/>
              </w:rPr>
              <w:t> </w:t>
            </w:r>
            <w:r>
              <w:rPr>
                <w:w w:val="90"/>
                <w:sz w:val="14"/>
              </w:rPr>
              <w:t>construcción</w:t>
            </w:r>
            <w:r>
              <w:rPr>
                <w:spacing w:val="-13"/>
                <w:w w:val="90"/>
                <w:sz w:val="14"/>
              </w:rPr>
              <w:t> </w:t>
            </w:r>
            <w:r>
              <w:rPr>
                <w:w w:val="90"/>
                <w:sz w:val="14"/>
              </w:rPr>
              <w:t>de</w:t>
            </w:r>
            <w:r>
              <w:rPr>
                <w:spacing w:val="-14"/>
                <w:w w:val="90"/>
                <w:sz w:val="14"/>
              </w:rPr>
              <w:t> </w:t>
            </w:r>
            <w:r>
              <w:rPr>
                <w:w w:val="90"/>
                <w:sz w:val="14"/>
              </w:rPr>
              <w:t>equipamientos</w:t>
            </w:r>
            <w:r>
              <w:rPr>
                <w:spacing w:val="-13"/>
                <w:w w:val="90"/>
                <w:sz w:val="14"/>
              </w:rPr>
              <w:t> </w:t>
            </w:r>
            <w:r>
              <w:rPr>
                <w:w w:val="90"/>
                <w:sz w:val="14"/>
              </w:rPr>
              <w:t>de</w:t>
            </w:r>
            <w:r>
              <w:rPr>
                <w:spacing w:val="-13"/>
                <w:w w:val="90"/>
                <w:sz w:val="14"/>
              </w:rPr>
              <w:t> </w:t>
            </w:r>
            <w:r>
              <w:rPr>
                <w:w w:val="90"/>
                <w:sz w:val="14"/>
              </w:rPr>
              <w:t>estadios,</w:t>
            </w:r>
            <w:r>
              <w:rPr>
                <w:spacing w:val="-14"/>
                <w:w w:val="90"/>
                <w:sz w:val="14"/>
              </w:rPr>
              <w:t> </w:t>
            </w:r>
            <w:r>
              <w:rPr>
                <w:w w:val="90"/>
                <w:sz w:val="14"/>
              </w:rPr>
              <w:t>piscinas,</w:t>
            </w:r>
            <w:r>
              <w:rPr>
                <w:spacing w:val="-13"/>
                <w:w w:val="90"/>
                <w:sz w:val="14"/>
              </w:rPr>
              <w:t> </w:t>
            </w:r>
            <w:r>
              <w:rPr>
                <w:w w:val="90"/>
                <w:sz w:val="14"/>
              </w:rPr>
              <w:t>gimnasios,</w:t>
            </w:r>
            <w:r>
              <w:rPr>
                <w:spacing w:val="-13"/>
                <w:w w:val="90"/>
                <w:sz w:val="14"/>
              </w:rPr>
              <w:t> </w:t>
            </w:r>
            <w:r>
              <w:rPr>
                <w:w w:val="90"/>
                <w:sz w:val="14"/>
              </w:rPr>
              <w:t>pistas</w:t>
            </w:r>
            <w:r>
              <w:rPr>
                <w:spacing w:val="-14"/>
                <w:w w:val="90"/>
                <w:sz w:val="14"/>
              </w:rPr>
              <w:t> </w:t>
            </w:r>
            <w:r>
              <w:rPr>
                <w:w w:val="90"/>
                <w:sz w:val="14"/>
              </w:rPr>
              <w:t>de</w:t>
            </w:r>
            <w:r>
              <w:rPr>
                <w:spacing w:val="-13"/>
                <w:w w:val="90"/>
                <w:sz w:val="14"/>
              </w:rPr>
              <w:t> </w:t>
            </w:r>
            <w:r>
              <w:rPr>
                <w:w w:val="90"/>
                <w:sz w:val="14"/>
              </w:rPr>
              <w:t>tenis,</w:t>
            </w:r>
            <w:r>
              <w:rPr>
                <w:spacing w:val="-14"/>
                <w:w w:val="90"/>
                <w:sz w:val="14"/>
              </w:rPr>
              <w:t> </w:t>
            </w:r>
            <w:r>
              <w:rPr>
                <w:w w:val="90"/>
                <w:sz w:val="14"/>
              </w:rPr>
              <w:t>campos</w:t>
            </w:r>
            <w:r>
              <w:rPr>
                <w:spacing w:val="-13"/>
                <w:w w:val="90"/>
                <w:sz w:val="14"/>
              </w:rPr>
              <w:t> </w:t>
            </w:r>
            <w:r>
              <w:rPr>
                <w:w w:val="90"/>
                <w:sz w:val="14"/>
              </w:rPr>
              <w:t>de</w:t>
            </w:r>
            <w:r>
              <w:rPr>
                <w:spacing w:val="-13"/>
                <w:w w:val="90"/>
                <w:sz w:val="14"/>
              </w:rPr>
              <w:t> </w:t>
            </w:r>
            <w:r>
              <w:rPr>
                <w:w w:val="90"/>
                <w:sz w:val="14"/>
              </w:rPr>
              <w:t>golf</w:t>
            </w:r>
            <w:r>
              <w:rPr>
                <w:spacing w:val="-14"/>
                <w:w w:val="90"/>
                <w:sz w:val="14"/>
              </w:rPr>
              <w:t> </w:t>
            </w:r>
            <w:r>
              <w:rPr>
                <w:w w:val="90"/>
                <w:sz w:val="14"/>
              </w:rPr>
              <w:t>y</w:t>
            </w:r>
            <w:r>
              <w:rPr>
                <w:spacing w:val="-13"/>
                <w:w w:val="90"/>
                <w:sz w:val="14"/>
              </w:rPr>
              <w:t> </w:t>
            </w:r>
            <w:r>
              <w:rPr>
                <w:w w:val="90"/>
                <w:sz w:val="14"/>
              </w:rPr>
              <w:t>otras </w:t>
            </w:r>
            <w:r>
              <w:rPr>
                <w:sz w:val="14"/>
              </w:rPr>
              <w:t>instalaciones</w:t>
            </w:r>
            <w:r>
              <w:rPr>
                <w:spacing w:val="-9"/>
                <w:sz w:val="14"/>
              </w:rPr>
              <w:t> </w:t>
            </w:r>
            <w:r>
              <w:rPr>
                <w:sz w:val="14"/>
              </w:rPr>
              <w:t>deportivas,</w:t>
            </w:r>
            <w:r>
              <w:rPr>
                <w:spacing w:val="-9"/>
                <w:sz w:val="14"/>
              </w:rPr>
              <w:t> </w:t>
            </w:r>
            <w:r>
              <w:rPr>
                <w:sz w:val="14"/>
              </w:rPr>
              <w:t>excluidos</w:t>
            </w:r>
            <w:r>
              <w:rPr>
                <w:spacing w:val="-9"/>
                <w:sz w:val="14"/>
              </w:rPr>
              <w:t> </w:t>
            </w:r>
            <w:r>
              <w:rPr>
                <w:sz w:val="14"/>
              </w:rPr>
              <w:t>sus</w:t>
            </w:r>
            <w:r>
              <w:rPr>
                <w:spacing w:val="-9"/>
                <w:sz w:val="14"/>
              </w:rPr>
              <w:t> </w:t>
            </w:r>
            <w:r>
              <w:rPr>
                <w:sz w:val="14"/>
              </w:rPr>
              <w:t>edificios,</w:t>
            </w:r>
          </w:p>
          <w:p>
            <w:pPr>
              <w:pStyle w:val="TableParagraph"/>
              <w:numPr>
                <w:ilvl w:val="0"/>
                <w:numId w:val="458"/>
              </w:numPr>
              <w:tabs>
                <w:tab w:pos="132" w:val="left" w:leader="none"/>
              </w:tabs>
              <w:spacing w:line="249" w:lineRule="auto" w:before="1" w:after="0"/>
              <w:ind w:left="36" w:right="3357" w:firstLine="0"/>
              <w:jc w:val="left"/>
              <w:rPr>
                <w:sz w:val="14"/>
              </w:rPr>
            </w:pPr>
            <w:r>
              <w:rPr>
                <w:w w:val="90"/>
                <w:sz w:val="14"/>
              </w:rPr>
              <w:t>la</w:t>
            </w:r>
            <w:r>
              <w:rPr>
                <w:spacing w:val="-14"/>
                <w:w w:val="90"/>
                <w:sz w:val="14"/>
              </w:rPr>
              <w:t> </w:t>
            </w:r>
            <w:r>
              <w:rPr>
                <w:w w:val="90"/>
                <w:sz w:val="14"/>
              </w:rPr>
              <w:t>pintura</w:t>
            </w:r>
            <w:r>
              <w:rPr>
                <w:spacing w:val="-14"/>
                <w:w w:val="90"/>
                <w:sz w:val="14"/>
              </w:rPr>
              <w:t> </w:t>
            </w:r>
            <w:r>
              <w:rPr>
                <w:w w:val="90"/>
                <w:sz w:val="14"/>
              </w:rPr>
              <w:t>de</w:t>
            </w:r>
            <w:r>
              <w:rPr>
                <w:spacing w:val="-13"/>
                <w:w w:val="90"/>
                <w:sz w:val="14"/>
              </w:rPr>
              <w:t> </w:t>
            </w:r>
            <w:r>
              <w:rPr>
                <w:w w:val="90"/>
                <w:sz w:val="14"/>
              </w:rPr>
              <w:t>señales</w:t>
            </w:r>
            <w:r>
              <w:rPr>
                <w:spacing w:val="-14"/>
                <w:w w:val="90"/>
                <w:sz w:val="14"/>
              </w:rPr>
              <w:t> </w:t>
            </w:r>
            <w:r>
              <w:rPr>
                <w:w w:val="90"/>
                <w:sz w:val="14"/>
              </w:rPr>
              <w:t>en</w:t>
            </w:r>
            <w:r>
              <w:rPr>
                <w:spacing w:val="-14"/>
                <w:w w:val="90"/>
                <w:sz w:val="14"/>
              </w:rPr>
              <w:t> </w:t>
            </w:r>
            <w:r>
              <w:rPr>
                <w:w w:val="90"/>
                <w:sz w:val="14"/>
              </w:rPr>
              <w:t>carreteras</w:t>
            </w:r>
            <w:r>
              <w:rPr>
                <w:spacing w:val="-13"/>
                <w:w w:val="90"/>
                <w:sz w:val="14"/>
              </w:rPr>
              <w:t> </w:t>
            </w:r>
            <w:r>
              <w:rPr>
                <w:w w:val="90"/>
                <w:sz w:val="14"/>
              </w:rPr>
              <w:t>y</w:t>
            </w:r>
            <w:r>
              <w:rPr>
                <w:spacing w:val="-14"/>
                <w:w w:val="90"/>
                <w:sz w:val="14"/>
              </w:rPr>
              <w:t> </w:t>
            </w:r>
            <w:r>
              <w:rPr>
                <w:w w:val="90"/>
                <w:sz w:val="14"/>
              </w:rPr>
              <w:t>aparcamientos. </w:t>
            </w:r>
            <w:r>
              <w:rPr>
                <w:sz w:val="14"/>
              </w:rPr>
              <w:t>Esta clase no</w:t>
            </w:r>
            <w:r>
              <w:rPr>
                <w:spacing w:val="-27"/>
                <w:sz w:val="14"/>
              </w:rPr>
              <w:t> </w:t>
            </w:r>
            <w:r>
              <w:rPr>
                <w:sz w:val="14"/>
              </w:rPr>
              <w:t>comprende:</w:t>
            </w:r>
          </w:p>
          <w:p>
            <w:pPr>
              <w:pStyle w:val="TableParagraph"/>
              <w:numPr>
                <w:ilvl w:val="0"/>
                <w:numId w:val="458"/>
              </w:numPr>
              <w:tabs>
                <w:tab w:pos="132" w:val="left" w:leader="none"/>
              </w:tabs>
              <w:spacing w:line="157" w:lineRule="exact" w:before="1" w:after="0"/>
              <w:ind w:left="131" w:right="0" w:hanging="96"/>
              <w:jc w:val="left"/>
              <w:rPr>
                <w:sz w:val="14"/>
              </w:rPr>
            </w:pPr>
            <w:r>
              <w:rPr>
                <w:sz w:val="14"/>
              </w:rPr>
              <w:t>el</w:t>
            </w:r>
            <w:r>
              <w:rPr>
                <w:spacing w:val="-8"/>
                <w:sz w:val="14"/>
              </w:rPr>
              <w:t> </w:t>
            </w:r>
            <w:r>
              <w:rPr>
                <w:sz w:val="14"/>
              </w:rPr>
              <w:t>movimiento</w:t>
            </w:r>
            <w:r>
              <w:rPr>
                <w:spacing w:val="-8"/>
                <w:sz w:val="14"/>
              </w:rPr>
              <w:t> </w:t>
            </w:r>
            <w:r>
              <w:rPr>
                <w:sz w:val="14"/>
              </w:rPr>
              <w:t>de</w:t>
            </w:r>
            <w:r>
              <w:rPr>
                <w:spacing w:val="-8"/>
                <w:sz w:val="14"/>
              </w:rPr>
              <w:t> </w:t>
            </w:r>
            <w:r>
              <w:rPr>
                <w:sz w:val="14"/>
              </w:rPr>
              <w:t>tierras</w:t>
            </w:r>
            <w:r>
              <w:rPr>
                <w:spacing w:val="-8"/>
                <w:sz w:val="14"/>
              </w:rPr>
              <w:t> </w:t>
            </w:r>
            <w:r>
              <w:rPr>
                <w:sz w:val="14"/>
              </w:rPr>
              <w:t>previo</w:t>
            </w:r>
            <w:r>
              <w:rPr>
                <w:spacing w:val="-8"/>
                <w:sz w:val="14"/>
              </w:rPr>
              <w:t> </w:t>
            </w:r>
            <w:r>
              <w:rPr>
                <w:sz w:val="14"/>
              </w:rPr>
              <w:t>(véase</w:t>
            </w:r>
            <w:r>
              <w:rPr>
                <w:spacing w:val="-8"/>
                <w:sz w:val="14"/>
              </w:rPr>
              <w:t> </w:t>
            </w:r>
            <w:r>
              <w:rPr>
                <w:sz w:val="14"/>
              </w:rPr>
              <w:t>45.11).</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line="249" w:lineRule="auto" w:before="154"/>
              <w:ind w:left="35" w:right="196"/>
              <w:rPr>
                <w:sz w:val="14"/>
              </w:rPr>
            </w:pPr>
            <w:r>
              <w:rPr>
                <w:w w:val="90"/>
                <w:sz w:val="14"/>
              </w:rPr>
              <w:t>45212212</w:t>
            </w:r>
            <w:r>
              <w:rPr>
                <w:spacing w:val="-16"/>
                <w:w w:val="90"/>
                <w:sz w:val="14"/>
              </w:rPr>
              <w:t> </w:t>
            </w:r>
            <w:r>
              <w:rPr>
                <w:spacing w:val="-11"/>
                <w:w w:val="90"/>
                <w:sz w:val="14"/>
              </w:rPr>
              <w:t>y </w:t>
            </w:r>
            <w:r>
              <w:rPr>
                <w:sz w:val="14"/>
              </w:rPr>
              <w:t>DA03 </w:t>
            </w:r>
            <w:r>
              <w:rPr>
                <w:w w:val="95"/>
                <w:sz w:val="14"/>
              </w:rPr>
              <w:t>45230000</w:t>
            </w:r>
          </w:p>
          <w:p>
            <w:pPr>
              <w:pStyle w:val="TableParagraph"/>
              <w:spacing w:line="249" w:lineRule="auto" w:before="2"/>
              <w:ind w:left="35"/>
              <w:rPr>
                <w:sz w:val="14"/>
              </w:rPr>
            </w:pPr>
            <w:r>
              <w:rPr>
                <w:w w:val="95"/>
                <w:sz w:val="14"/>
              </w:rPr>
              <w:t>Excepto: </w:t>
            </w:r>
            <w:r>
              <w:rPr>
                <w:spacing w:val="-1"/>
                <w:w w:val="85"/>
                <w:sz w:val="14"/>
              </w:rPr>
              <w:t>45231000</w:t>
            </w:r>
          </w:p>
          <w:p>
            <w:pPr>
              <w:pStyle w:val="TableParagraph"/>
              <w:spacing w:before="1"/>
              <w:ind w:left="35"/>
              <w:rPr>
                <w:sz w:val="14"/>
              </w:rPr>
            </w:pPr>
            <w:r>
              <w:rPr>
                <w:sz w:val="14"/>
              </w:rPr>
              <w:t>45232000</w:t>
            </w:r>
          </w:p>
          <w:p>
            <w:pPr>
              <w:pStyle w:val="TableParagraph"/>
              <w:spacing w:before="7"/>
              <w:ind w:left="35"/>
              <w:rPr>
                <w:sz w:val="14"/>
              </w:rPr>
            </w:pPr>
            <w:r>
              <w:rPr>
                <w:sz w:val="14"/>
              </w:rPr>
              <w:t>45234115</w:t>
            </w:r>
          </w:p>
        </w:tc>
      </w:tr>
      <w:tr>
        <w:trPr>
          <w:trHeight w:val="1003"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right="38"/>
              <w:jc w:val="right"/>
              <w:rPr>
                <w:sz w:val="14"/>
              </w:rPr>
            </w:pPr>
            <w:r>
              <w:rPr>
                <w:w w:val="85"/>
                <w:sz w:val="14"/>
              </w:rPr>
              <w:t>45.24</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left="38"/>
              <w:rPr>
                <w:sz w:val="14"/>
              </w:rPr>
            </w:pPr>
            <w:r>
              <w:rPr>
                <w:sz w:val="14"/>
              </w:rPr>
              <w:t>Obras hidráulicas.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w w:val="90"/>
                <w:sz w:val="14"/>
              </w:rPr>
              <w:t>Esta</w:t>
            </w:r>
            <w:r>
              <w:rPr>
                <w:spacing w:val="-18"/>
                <w:w w:val="90"/>
                <w:sz w:val="14"/>
              </w:rPr>
              <w:t> </w:t>
            </w:r>
            <w:r>
              <w:rPr>
                <w:w w:val="90"/>
                <w:sz w:val="14"/>
              </w:rPr>
              <w:t>clase</w:t>
            </w:r>
            <w:r>
              <w:rPr>
                <w:spacing w:val="-18"/>
                <w:w w:val="90"/>
                <w:sz w:val="14"/>
              </w:rPr>
              <w:t> </w:t>
            </w:r>
            <w:r>
              <w:rPr>
                <w:w w:val="90"/>
                <w:sz w:val="14"/>
              </w:rPr>
              <w:t>comprende:</w:t>
            </w:r>
          </w:p>
          <w:p>
            <w:pPr>
              <w:pStyle w:val="TableParagraph"/>
              <w:numPr>
                <w:ilvl w:val="0"/>
                <w:numId w:val="459"/>
              </w:numPr>
              <w:tabs>
                <w:tab w:pos="132" w:val="left" w:leader="none"/>
              </w:tabs>
              <w:spacing w:line="240" w:lineRule="auto" w:before="7" w:after="0"/>
              <w:ind w:left="131" w:right="0" w:hanging="96"/>
              <w:jc w:val="left"/>
              <w:rPr>
                <w:sz w:val="14"/>
              </w:rPr>
            </w:pPr>
            <w:r>
              <w:rPr>
                <w:w w:val="90"/>
                <w:sz w:val="14"/>
              </w:rPr>
              <w:t>la</w:t>
            </w:r>
            <w:r>
              <w:rPr>
                <w:spacing w:val="-17"/>
                <w:w w:val="90"/>
                <w:sz w:val="14"/>
              </w:rPr>
              <w:t> </w:t>
            </w:r>
            <w:r>
              <w:rPr>
                <w:w w:val="90"/>
                <w:sz w:val="14"/>
              </w:rPr>
              <w:t>construcción</w:t>
            </w:r>
            <w:r>
              <w:rPr>
                <w:spacing w:val="-17"/>
                <w:w w:val="90"/>
                <w:sz w:val="14"/>
              </w:rPr>
              <w:t> </w:t>
            </w:r>
            <w:r>
              <w:rPr>
                <w:w w:val="90"/>
                <w:sz w:val="14"/>
              </w:rPr>
              <w:t>de:</w:t>
            </w:r>
          </w:p>
          <w:p>
            <w:pPr>
              <w:pStyle w:val="TableParagraph"/>
              <w:numPr>
                <w:ilvl w:val="0"/>
                <w:numId w:val="459"/>
              </w:numPr>
              <w:tabs>
                <w:tab w:pos="132" w:val="left" w:leader="none"/>
              </w:tabs>
              <w:spacing w:line="240" w:lineRule="auto" w:before="7" w:after="0"/>
              <w:ind w:left="131" w:right="0" w:hanging="96"/>
              <w:jc w:val="left"/>
              <w:rPr>
                <w:sz w:val="14"/>
              </w:rPr>
            </w:pPr>
            <w:r>
              <w:rPr>
                <w:sz w:val="14"/>
              </w:rPr>
              <w:t>vías</w:t>
            </w:r>
            <w:r>
              <w:rPr>
                <w:spacing w:val="-18"/>
                <w:sz w:val="14"/>
              </w:rPr>
              <w:t> </w:t>
            </w:r>
            <w:r>
              <w:rPr>
                <w:sz w:val="14"/>
              </w:rPr>
              <w:t>navegables,</w:t>
            </w:r>
            <w:r>
              <w:rPr>
                <w:spacing w:val="-18"/>
                <w:sz w:val="14"/>
              </w:rPr>
              <w:t> </w:t>
            </w:r>
            <w:r>
              <w:rPr>
                <w:sz w:val="14"/>
              </w:rPr>
              <w:t>instalaciones</w:t>
            </w:r>
            <w:r>
              <w:rPr>
                <w:spacing w:val="-18"/>
                <w:sz w:val="14"/>
              </w:rPr>
              <w:t> </w:t>
            </w:r>
            <w:r>
              <w:rPr>
                <w:sz w:val="14"/>
              </w:rPr>
              <w:t>portuarias</w:t>
            </w:r>
            <w:r>
              <w:rPr>
                <w:spacing w:val="-17"/>
                <w:sz w:val="14"/>
              </w:rPr>
              <w:t> </w:t>
            </w:r>
            <w:r>
              <w:rPr>
                <w:sz w:val="14"/>
              </w:rPr>
              <w:t>y</w:t>
            </w:r>
            <w:r>
              <w:rPr>
                <w:spacing w:val="-18"/>
                <w:sz w:val="14"/>
              </w:rPr>
              <w:t> </w:t>
            </w:r>
            <w:r>
              <w:rPr>
                <w:sz w:val="14"/>
              </w:rPr>
              <w:t>fluviales,</w:t>
            </w:r>
            <w:r>
              <w:rPr>
                <w:spacing w:val="-18"/>
                <w:sz w:val="14"/>
              </w:rPr>
              <w:t> </w:t>
            </w:r>
            <w:r>
              <w:rPr>
                <w:sz w:val="14"/>
              </w:rPr>
              <w:t>puertos</w:t>
            </w:r>
            <w:r>
              <w:rPr>
                <w:spacing w:val="-17"/>
                <w:sz w:val="14"/>
              </w:rPr>
              <w:t> </w:t>
            </w:r>
            <w:r>
              <w:rPr>
                <w:sz w:val="14"/>
              </w:rPr>
              <w:t>deportivos,</w:t>
            </w:r>
            <w:r>
              <w:rPr>
                <w:spacing w:val="-18"/>
                <w:sz w:val="14"/>
              </w:rPr>
              <w:t> </w:t>
            </w:r>
            <w:r>
              <w:rPr>
                <w:sz w:val="14"/>
              </w:rPr>
              <w:t>esclusas,</w:t>
            </w:r>
            <w:r>
              <w:rPr>
                <w:spacing w:val="-18"/>
                <w:sz w:val="14"/>
              </w:rPr>
              <w:t> </w:t>
            </w:r>
            <w:r>
              <w:rPr>
                <w:sz w:val="14"/>
              </w:rPr>
              <w:t>etc.,</w:t>
            </w:r>
          </w:p>
          <w:p>
            <w:pPr>
              <w:pStyle w:val="TableParagraph"/>
              <w:numPr>
                <w:ilvl w:val="0"/>
                <w:numId w:val="459"/>
              </w:numPr>
              <w:tabs>
                <w:tab w:pos="132" w:val="left" w:leader="none"/>
              </w:tabs>
              <w:spacing w:line="240" w:lineRule="auto" w:before="7" w:after="0"/>
              <w:ind w:left="131" w:right="0" w:hanging="96"/>
              <w:jc w:val="left"/>
              <w:rPr>
                <w:sz w:val="14"/>
              </w:rPr>
            </w:pPr>
            <w:r>
              <w:rPr>
                <w:sz w:val="14"/>
              </w:rPr>
              <w:t>presas y</w:t>
            </w:r>
            <w:r>
              <w:rPr>
                <w:spacing w:val="-12"/>
                <w:sz w:val="14"/>
              </w:rPr>
              <w:t> </w:t>
            </w:r>
            <w:r>
              <w:rPr>
                <w:sz w:val="14"/>
              </w:rPr>
              <w:t>diques,</w:t>
            </w:r>
          </w:p>
          <w:p>
            <w:pPr>
              <w:pStyle w:val="TableParagraph"/>
              <w:numPr>
                <w:ilvl w:val="0"/>
                <w:numId w:val="459"/>
              </w:numPr>
              <w:tabs>
                <w:tab w:pos="132" w:val="left" w:leader="none"/>
              </w:tabs>
              <w:spacing w:line="240" w:lineRule="auto" w:before="7" w:after="0"/>
              <w:ind w:left="131" w:right="0" w:hanging="96"/>
              <w:jc w:val="left"/>
              <w:rPr>
                <w:sz w:val="14"/>
              </w:rPr>
            </w:pPr>
            <w:r>
              <w:rPr>
                <w:sz w:val="14"/>
              </w:rPr>
              <w:t>dragados,</w:t>
            </w:r>
          </w:p>
          <w:p>
            <w:pPr>
              <w:pStyle w:val="TableParagraph"/>
              <w:numPr>
                <w:ilvl w:val="0"/>
                <w:numId w:val="459"/>
              </w:numPr>
              <w:tabs>
                <w:tab w:pos="132" w:val="left" w:leader="none"/>
              </w:tabs>
              <w:spacing w:line="157" w:lineRule="exact" w:before="7" w:after="0"/>
              <w:ind w:left="131" w:right="0" w:hanging="96"/>
              <w:jc w:val="left"/>
              <w:rPr>
                <w:sz w:val="14"/>
              </w:rPr>
            </w:pPr>
            <w:r>
              <w:rPr>
                <w:sz w:val="14"/>
              </w:rPr>
              <w:t>obras</w:t>
            </w:r>
            <w:r>
              <w:rPr>
                <w:spacing w:val="-7"/>
                <w:sz w:val="14"/>
              </w:rPr>
              <w:t> </w:t>
            </w:r>
            <w:r>
              <w:rPr>
                <w:sz w:val="14"/>
              </w:rPr>
              <w:t>subterráneas.</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left="35"/>
              <w:rPr>
                <w:sz w:val="14"/>
              </w:rPr>
            </w:pPr>
            <w:r>
              <w:rPr>
                <w:sz w:val="14"/>
              </w:rPr>
              <w:t>45240000</w:t>
            </w:r>
          </w:p>
        </w:tc>
      </w:tr>
      <w:tr>
        <w:trPr>
          <w:trHeight w:val="2011"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5"/>
              </w:rPr>
            </w:pPr>
          </w:p>
          <w:p>
            <w:pPr>
              <w:pStyle w:val="TableParagraph"/>
              <w:ind w:right="38"/>
              <w:jc w:val="right"/>
              <w:rPr>
                <w:sz w:val="14"/>
              </w:rPr>
            </w:pPr>
            <w:r>
              <w:rPr>
                <w:w w:val="85"/>
                <w:sz w:val="14"/>
              </w:rPr>
              <w:t>45.25</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249" w:lineRule="auto" w:before="122"/>
              <w:ind w:left="38"/>
              <w:rPr>
                <w:sz w:val="14"/>
              </w:rPr>
            </w:pPr>
            <w:r>
              <w:rPr>
                <w:w w:val="90"/>
                <w:sz w:val="14"/>
              </w:rPr>
              <w:t>Otros trabajos de </w:t>
            </w:r>
            <w:r>
              <w:rPr>
                <w:sz w:val="14"/>
              </w:rPr>
              <w:t>construcción </w:t>
            </w:r>
            <w:r>
              <w:rPr>
                <w:w w:val="90"/>
                <w:sz w:val="14"/>
              </w:rPr>
              <w:t>especializados.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0"/>
              </w:numPr>
              <w:tabs>
                <w:tab w:pos="132" w:val="left" w:leader="none"/>
              </w:tabs>
              <w:spacing w:line="249" w:lineRule="auto" w:before="7" w:after="0"/>
              <w:ind w:left="36" w:right="151" w:firstLine="0"/>
              <w:jc w:val="left"/>
              <w:rPr>
                <w:sz w:val="14"/>
              </w:rPr>
            </w:pPr>
            <w:r>
              <w:rPr>
                <w:w w:val="90"/>
                <w:sz w:val="14"/>
              </w:rPr>
              <w:t>las</w:t>
            </w:r>
            <w:r>
              <w:rPr>
                <w:spacing w:val="-13"/>
                <w:w w:val="90"/>
                <w:sz w:val="14"/>
              </w:rPr>
              <w:t> </w:t>
            </w:r>
            <w:r>
              <w:rPr>
                <w:w w:val="90"/>
                <w:sz w:val="14"/>
              </w:rPr>
              <w:t>actividades</w:t>
            </w:r>
            <w:r>
              <w:rPr>
                <w:spacing w:val="-12"/>
                <w:w w:val="90"/>
                <w:sz w:val="14"/>
              </w:rPr>
              <w:t> </w:t>
            </w:r>
            <w:r>
              <w:rPr>
                <w:w w:val="90"/>
                <w:sz w:val="14"/>
              </w:rPr>
              <w:t>de</w:t>
            </w:r>
            <w:r>
              <w:rPr>
                <w:spacing w:val="-13"/>
                <w:w w:val="90"/>
                <w:sz w:val="14"/>
              </w:rPr>
              <w:t> </w:t>
            </w:r>
            <w:r>
              <w:rPr>
                <w:w w:val="90"/>
                <w:sz w:val="14"/>
              </w:rPr>
              <w:t>construcción</w:t>
            </w:r>
            <w:r>
              <w:rPr>
                <w:spacing w:val="-12"/>
                <w:w w:val="90"/>
                <w:sz w:val="14"/>
              </w:rPr>
              <w:t> </w:t>
            </w:r>
            <w:r>
              <w:rPr>
                <w:w w:val="90"/>
                <w:sz w:val="14"/>
              </w:rPr>
              <w:t>que</w:t>
            </w:r>
            <w:r>
              <w:rPr>
                <w:spacing w:val="-13"/>
                <w:w w:val="90"/>
                <w:sz w:val="14"/>
              </w:rPr>
              <w:t> </w:t>
            </w:r>
            <w:r>
              <w:rPr>
                <w:w w:val="90"/>
                <w:sz w:val="14"/>
              </w:rPr>
              <w:t>se</w:t>
            </w:r>
            <w:r>
              <w:rPr>
                <w:spacing w:val="-12"/>
                <w:w w:val="90"/>
                <w:sz w:val="14"/>
              </w:rPr>
              <w:t> </w:t>
            </w:r>
            <w:r>
              <w:rPr>
                <w:w w:val="90"/>
                <w:sz w:val="14"/>
              </w:rPr>
              <w:t>especialicen</w:t>
            </w:r>
            <w:r>
              <w:rPr>
                <w:spacing w:val="-13"/>
                <w:w w:val="90"/>
                <w:sz w:val="14"/>
              </w:rPr>
              <w:t> </w:t>
            </w:r>
            <w:r>
              <w:rPr>
                <w:w w:val="90"/>
                <w:sz w:val="14"/>
              </w:rPr>
              <w:t>en</w:t>
            </w:r>
            <w:r>
              <w:rPr>
                <w:spacing w:val="-12"/>
                <w:w w:val="90"/>
                <w:sz w:val="14"/>
              </w:rPr>
              <w:t> </w:t>
            </w:r>
            <w:r>
              <w:rPr>
                <w:w w:val="90"/>
                <w:sz w:val="14"/>
              </w:rPr>
              <w:t>un</w:t>
            </w:r>
            <w:r>
              <w:rPr>
                <w:spacing w:val="-12"/>
                <w:w w:val="90"/>
                <w:sz w:val="14"/>
              </w:rPr>
              <w:t> </w:t>
            </w:r>
            <w:r>
              <w:rPr>
                <w:w w:val="90"/>
                <w:sz w:val="14"/>
              </w:rPr>
              <w:t>aspecto</w:t>
            </w:r>
            <w:r>
              <w:rPr>
                <w:spacing w:val="-13"/>
                <w:w w:val="90"/>
                <w:sz w:val="14"/>
              </w:rPr>
              <w:t> </w:t>
            </w:r>
            <w:r>
              <w:rPr>
                <w:w w:val="90"/>
                <w:sz w:val="14"/>
              </w:rPr>
              <w:t>común</w:t>
            </w:r>
            <w:r>
              <w:rPr>
                <w:spacing w:val="-12"/>
                <w:w w:val="90"/>
                <w:sz w:val="14"/>
              </w:rPr>
              <w:t> </w:t>
            </w:r>
            <w:r>
              <w:rPr>
                <w:w w:val="90"/>
                <w:sz w:val="14"/>
              </w:rPr>
              <w:t>a</w:t>
            </w:r>
            <w:r>
              <w:rPr>
                <w:spacing w:val="-13"/>
                <w:w w:val="90"/>
                <w:sz w:val="14"/>
              </w:rPr>
              <w:t> </w:t>
            </w:r>
            <w:r>
              <w:rPr>
                <w:w w:val="90"/>
                <w:sz w:val="14"/>
              </w:rPr>
              <w:t>diferentes</w:t>
            </w:r>
            <w:r>
              <w:rPr>
                <w:spacing w:val="-12"/>
                <w:w w:val="90"/>
                <w:sz w:val="14"/>
              </w:rPr>
              <w:t> </w:t>
            </w:r>
            <w:r>
              <w:rPr>
                <w:w w:val="90"/>
                <w:sz w:val="14"/>
              </w:rPr>
              <w:t>tipos</w:t>
            </w:r>
            <w:r>
              <w:rPr>
                <w:spacing w:val="-13"/>
                <w:w w:val="90"/>
                <w:sz w:val="14"/>
              </w:rPr>
              <w:t> </w:t>
            </w:r>
            <w:r>
              <w:rPr>
                <w:w w:val="90"/>
                <w:sz w:val="14"/>
              </w:rPr>
              <w:t>de</w:t>
            </w:r>
            <w:r>
              <w:rPr>
                <w:spacing w:val="-12"/>
                <w:w w:val="90"/>
                <w:sz w:val="14"/>
              </w:rPr>
              <w:t> </w:t>
            </w:r>
            <w:r>
              <w:rPr>
                <w:w w:val="90"/>
                <w:sz w:val="14"/>
              </w:rPr>
              <w:t>estructura</w:t>
            </w:r>
            <w:r>
              <w:rPr>
                <w:spacing w:val="-13"/>
                <w:w w:val="90"/>
                <w:sz w:val="14"/>
              </w:rPr>
              <w:t> </w:t>
            </w:r>
            <w:r>
              <w:rPr>
                <w:w w:val="90"/>
                <w:sz w:val="14"/>
              </w:rPr>
              <w:t>y</w:t>
            </w:r>
            <w:r>
              <w:rPr>
                <w:spacing w:val="-12"/>
                <w:w w:val="90"/>
                <w:sz w:val="14"/>
              </w:rPr>
              <w:t> </w:t>
            </w:r>
            <w:r>
              <w:rPr>
                <w:w w:val="90"/>
                <w:sz w:val="14"/>
              </w:rPr>
              <w:t>que </w:t>
            </w:r>
            <w:r>
              <w:rPr>
                <w:sz w:val="14"/>
              </w:rPr>
              <w:t>requieran</w:t>
            </w:r>
            <w:r>
              <w:rPr>
                <w:spacing w:val="-9"/>
                <w:sz w:val="14"/>
              </w:rPr>
              <w:t> </w:t>
            </w:r>
            <w:r>
              <w:rPr>
                <w:sz w:val="14"/>
              </w:rPr>
              <w:t>aptitudes</w:t>
            </w:r>
            <w:r>
              <w:rPr>
                <w:spacing w:val="-8"/>
                <w:sz w:val="14"/>
              </w:rPr>
              <w:t> </w:t>
            </w:r>
            <w:r>
              <w:rPr>
                <w:sz w:val="14"/>
              </w:rPr>
              <w:t>o</w:t>
            </w:r>
            <w:r>
              <w:rPr>
                <w:spacing w:val="-8"/>
                <w:sz w:val="14"/>
              </w:rPr>
              <w:t> </w:t>
            </w:r>
            <w:r>
              <w:rPr>
                <w:sz w:val="14"/>
              </w:rPr>
              <w:t>materiales</w:t>
            </w:r>
            <w:r>
              <w:rPr>
                <w:spacing w:val="-8"/>
                <w:sz w:val="14"/>
              </w:rPr>
              <w:t> </w:t>
            </w:r>
            <w:r>
              <w:rPr>
                <w:sz w:val="14"/>
              </w:rPr>
              <w:t>específicos,</w:t>
            </w:r>
          </w:p>
          <w:p>
            <w:pPr>
              <w:pStyle w:val="TableParagraph"/>
              <w:numPr>
                <w:ilvl w:val="0"/>
                <w:numId w:val="460"/>
              </w:numPr>
              <w:tabs>
                <w:tab w:pos="132" w:val="left" w:leader="none"/>
              </w:tabs>
              <w:spacing w:line="240" w:lineRule="auto" w:before="1" w:after="0"/>
              <w:ind w:left="131" w:right="0" w:hanging="96"/>
              <w:jc w:val="left"/>
              <w:rPr>
                <w:sz w:val="14"/>
              </w:rPr>
            </w:pPr>
            <w:r>
              <w:rPr>
                <w:sz w:val="14"/>
              </w:rPr>
              <w:t>obras</w:t>
            </w:r>
            <w:r>
              <w:rPr>
                <w:spacing w:val="-9"/>
                <w:sz w:val="14"/>
              </w:rPr>
              <w:t> </w:t>
            </w:r>
            <w:r>
              <w:rPr>
                <w:sz w:val="14"/>
              </w:rPr>
              <w:t>de</w:t>
            </w:r>
            <w:r>
              <w:rPr>
                <w:spacing w:val="-8"/>
                <w:sz w:val="14"/>
              </w:rPr>
              <w:t> </w:t>
            </w:r>
            <w:r>
              <w:rPr>
                <w:sz w:val="14"/>
              </w:rPr>
              <w:t>cimentación,</w:t>
            </w:r>
            <w:r>
              <w:rPr>
                <w:spacing w:val="-9"/>
                <w:sz w:val="14"/>
              </w:rPr>
              <w:t> </w:t>
            </w:r>
            <w:r>
              <w:rPr>
                <w:sz w:val="14"/>
              </w:rPr>
              <w:t>incluida</w:t>
            </w:r>
            <w:r>
              <w:rPr>
                <w:spacing w:val="-8"/>
                <w:sz w:val="14"/>
              </w:rPr>
              <w:t> </w:t>
            </w:r>
            <w:r>
              <w:rPr>
                <w:sz w:val="14"/>
              </w:rPr>
              <w:t>la</w:t>
            </w:r>
            <w:r>
              <w:rPr>
                <w:spacing w:val="-8"/>
                <w:sz w:val="14"/>
              </w:rPr>
              <w:t> </w:t>
            </w:r>
            <w:r>
              <w:rPr>
                <w:sz w:val="14"/>
              </w:rPr>
              <w:t>hinca</w:t>
            </w:r>
            <w:r>
              <w:rPr>
                <w:spacing w:val="-9"/>
                <w:sz w:val="14"/>
              </w:rPr>
              <w:t> </w:t>
            </w:r>
            <w:r>
              <w:rPr>
                <w:sz w:val="14"/>
              </w:rPr>
              <w:t>de</w:t>
            </w:r>
            <w:r>
              <w:rPr>
                <w:spacing w:val="-8"/>
                <w:sz w:val="14"/>
              </w:rPr>
              <w:t> </w:t>
            </w:r>
            <w:r>
              <w:rPr>
                <w:sz w:val="14"/>
              </w:rPr>
              <w:t>pilotes,</w:t>
            </w:r>
          </w:p>
          <w:p>
            <w:pPr>
              <w:pStyle w:val="TableParagraph"/>
              <w:numPr>
                <w:ilvl w:val="0"/>
                <w:numId w:val="460"/>
              </w:numPr>
              <w:tabs>
                <w:tab w:pos="132" w:val="left" w:leader="none"/>
              </w:tabs>
              <w:spacing w:line="240" w:lineRule="auto" w:before="7" w:after="0"/>
              <w:ind w:left="131" w:right="0" w:hanging="96"/>
              <w:jc w:val="left"/>
              <w:rPr>
                <w:sz w:val="14"/>
              </w:rPr>
            </w:pPr>
            <w:r>
              <w:rPr>
                <w:sz w:val="14"/>
              </w:rPr>
              <w:t>construcción</w:t>
            </w:r>
            <w:r>
              <w:rPr>
                <w:spacing w:val="-15"/>
                <w:sz w:val="14"/>
              </w:rPr>
              <w:t> </w:t>
            </w:r>
            <w:r>
              <w:rPr>
                <w:sz w:val="14"/>
              </w:rPr>
              <w:t>y</w:t>
            </w:r>
            <w:r>
              <w:rPr>
                <w:spacing w:val="-14"/>
                <w:sz w:val="14"/>
              </w:rPr>
              <w:t> </w:t>
            </w:r>
            <w:r>
              <w:rPr>
                <w:sz w:val="14"/>
              </w:rPr>
              <w:t>perforación</w:t>
            </w:r>
            <w:r>
              <w:rPr>
                <w:spacing w:val="-14"/>
                <w:sz w:val="14"/>
              </w:rPr>
              <w:t> </w:t>
            </w:r>
            <w:r>
              <w:rPr>
                <w:sz w:val="14"/>
              </w:rPr>
              <w:t>de</w:t>
            </w:r>
            <w:r>
              <w:rPr>
                <w:spacing w:val="-15"/>
                <w:sz w:val="14"/>
              </w:rPr>
              <w:t> </w:t>
            </w:r>
            <w:r>
              <w:rPr>
                <w:sz w:val="14"/>
              </w:rPr>
              <w:t>pozos</w:t>
            </w:r>
            <w:r>
              <w:rPr>
                <w:spacing w:val="-14"/>
                <w:sz w:val="14"/>
              </w:rPr>
              <w:t> </w:t>
            </w:r>
            <w:r>
              <w:rPr>
                <w:sz w:val="14"/>
              </w:rPr>
              <w:t>hidráulicos,</w:t>
            </w:r>
            <w:r>
              <w:rPr>
                <w:spacing w:val="-14"/>
                <w:sz w:val="14"/>
              </w:rPr>
              <w:t> </w:t>
            </w:r>
            <w:r>
              <w:rPr>
                <w:sz w:val="14"/>
              </w:rPr>
              <w:t>excavación</w:t>
            </w:r>
            <w:r>
              <w:rPr>
                <w:spacing w:val="-15"/>
                <w:sz w:val="14"/>
              </w:rPr>
              <w:t> </w:t>
            </w:r>
            <w:r>
              <w:rPr>
                <w:sz w:val="14"/>
              </w:rPr>
              <w:t>de</w:t>
            </w:r>
            <w:r>
              <w:rPr>
                <w:spacing w:val="-14"/>
                <w:sz w:val="14"/>
              </w:rPr>
              <w:t> </w:t>
            </w:r>
            <w:r>
              <w:rPr>
                <w:sz w:val="14"/>
              </w:rPr>
              <w:t>pozos</w:t>
            </w:r>
            <w:r>
              <w:rPr>
                <w:spacing w:val="-14"/>
                <w:sz w:val="14"/>
              </w:rPr>
              <w:t> </w:t>
            </w:r>
            <w:r>
              <w:rPr>
                <w:sz w:val="14"/>
              </w:rPr>
              <w:t>de</w:t>
            </w:r>
            <w:r>
              <w:rPr>
                <w:spacing w:val="-15"/>
                <w:sz w:val="14"/>
              </w:rPr>
              <w:t> </w:t>
            </w:r>
            <w:r>
              <w:rPr>
                <w:sz w:val="14"/>
              </w:rPr>
              <w:t>minas,</w:t>
            </w:r>
          </w:p>
          <w:p>
            <w:pPr>
              <w:pStyle w:val="TableParagraph"/>
              <w:numPr>
                <w:ilvl w:val="0"/>
                <w:numId w:val="460"/>
              </w:numPr>
              <w:tabs>
                <w:tab w:pos="132" w:val="left" w:leader="none"/>
              </w:tabs>
              <w:spacing w:line="240" w:lineRule="auto" w:before="7" w:after="0"/>
              <w:ind w:left="131" w:right="0" w:hanging="96"/>
              <w:jc w:val="left"/>
              <w:rPr>
                <w:sz w:val="14"/>
              </w:rPr>
            </w:pPr>
            <w:r>
              <w:rPr>
                <w:sz w:val="14"/>
              </w:rPr>
              <w:t>montaje</w:t>
            </w:r>
            <w:r>
              <w:rPr>
                <w:spacing w:val="-11"/>
                <w:sz w:val="14"/>
              </w:rPr>
              <w:t> </w:t>
            </w:r>
            <w:r>
              <w:rPr>
                <w:sz w:val="14"/>
              </w:rPr>
              <w:t>de</w:t>
            </w:r>
            <w:r>
              <w:rPr>
                <w:spacing w:val="-10"/>
                <w:sz w:val="14"/>
              </w:rPr>
              <w:t> </w:t>
            </w:r>
            <w:r>
              <w:rPr>
                <w:sz w:val="14"/>
              </w:rPr>
              <w:t>piezas</w:t>
            </w:r>
            <w:r>
              <w:rPr>
                <w:spacing w:val="-10"/>
                <w:sz w:val="14"/>
              </w:rPr>
              <w:t> </w:t>
            </w:r>
            <w:r>
              <w:rPr>
                <w:sz w:val="14"/>
              </w:rPr>
              <w:t>de</w:t>
            </w:r>
            <w:r>
              <w:rPr>
                <w:spacing w:val="-10"/>
                <w:sz w:val="14"/>
              </w:rPr>
              <w:t> </w:t>
            </w:r>
            <w:r>
              <w:rPr>
                <w:sz w:val="14"/>
              </w:rPr>
              <w:t>acero</w:t>
            </w:r>
            <w:r>
              <w:rPr>
                <w:spacing w:val="-10"/>
                <w:sz w:val="14"/>
              </w:rPr>
              <w:t> </w:t>
            </w:r>
            <w:r>
              <w:rPr>
                <w:sz w:val="14"/>
              </w:rPr>
              <w:t>que</w:t>
            </w:r>
            <w:r>
              <w:rPr>
                <w:spacing w:val="-10"/>
                <w:sz w:val="14"/>
              </w:rPr>
              <w:t> </w:t>
            </w:r>
            <w:r>
              <w:rPr>
                <w:sz w:val="14"/>
              </w:rPr>
              <w:t>no</w:t>
            </w:r>
            <w:r>
              <w:rPr>
                <w:spacing w:val="-10"/>
                <w:sz w:val="14"/>
              </w:rPr>
              <w:t> </w:t>
            </w:r>
            <w:r>
              <w:rPr>
                <w:sz w:val="14"/>
              </w:rPr>
              <w:t>sean</w:t>
            </w:r>
            <w:r>
              <w:rPr>
                <w:spacing w:val="-10"/>
                <w:sz w:val="14"/>
              </w:rPr>
              <w:t> </w:t>
            </w:r>
            <w:r>
              <w:rPr>
                <w:sz w:val="14"/>
              </w:rPr>
              <w:t>de</w:t>
            </w:r>
            <w:r>
              <w:rPr>
                <w:spacing w:val="-10"/>
                <w:sz w:val="14"/>
              </w:rPr>
              <w:t> </w:t>
            </w:r>
            <w:r>
              <w:rPr>
                <w:sz w:val="14"/>
              </w:rPr>
              <w:t>producción</w:t>
            </w:r>
            <w:r>
              <w:rPr>
                <w:spacing w:val="-10"/>
                <w:sz w:val="14"/>
              </w:rPr>
              <w:t> </w:t>
            </w:r>
            <w:r>
              <w:rPr>
                <w:sz w:val="14"/>
              </w:rPr>
              <w:t>propia,</w:t>
            </w:r>
          </w:p>
          <w:p>
            <w:pPr>
              <w:pStyle w:val="TableParagraph"/>
              <w:numPr>
                <w:ilvl w:val="0"/>
                <w:numId w:val="460"/>
              </w:numPr>
              <w:tabs>
                <w:tab w:pos="132" w:val="left" w:leader="none"/>
              </w:tabs>
              <w:spacing w:line="240" w:lineRule="auto" w:before="7" w:after="0"/>
              <w:ind w:left="131" w:right="0" w:hanging="96"/>
              <w:jc w:val="left"/>
              <w:rPr>
                <w:sz w:val="14"/>
              </w:rPr>
            </w:pPr>
            <w:r>
              <w:rPr>
                <w:sz w:val="14"/>
              </w:rPr>
              <w:t>curvado del</w:t>
            </w:r>
            <w:r>
              <w:rPr>
                <w:spacing w:val="-12"/>
                <w:sz w:val="14"/>
              </w:rPr>
              <w:t> </w:t>
            </w:r>
            <w:r>
              <w:rPr>
                <w:sz w:val="14"/>
              </w:rPr>
              <w:t>acero,</w:t>
            </w:r>
          </w:p>
          <w:p>
            <w:pPr>
              <w:pStyle w:val="TableParagraph"/>
              <w:numPr>
                <w:ilvl w:val="0"/>
                <w:numId w:val="460"/>
              </w:numPr>
              <w:tabs>
                <w:tab w:pos="132" w:val="left" w:leader="none"/>
              </w:tabs>
              <w:spacing w:line="240" w:lineRule="auto" w:before="7" w:after="0"/>
              <w:ind w:left="131" w:right="0" w:hanging="96"/>
              <w:jc w:val="left"/>
              <w:rPr>
                <w:sz w:val="14"/>
              </w:rPr>
            </w:pPr>
            <w:r>
              <w:rPr>
                <w:sz w:val="14"/>
              </w:rPr>
              <w:t>colocación de ladrillos y</w:t>
            </w:r>
            <w:r>
              <w:rPr>
                <w:spacing w:val="-27"/>
                <w:sz w:val="14"/>
              </w:rPr>
              <w:t> </w:t>
            </w:r>
            <w:r>
              <w:rPr>
                <w:sz w:val="14"/>
              </w:rPr>
              <w:t>piedra,</w:t>
            </w:r>
          </w:p>
          <w:p>
            <w:pPr>
              <w:pStyle w:val="TableParagraph"/>
              <w:numPr>
                <w:ilvl w:val="0"/>
                <w:numId w:val="460"/>
              </w:numPr>
              <w:tabs>
                <w:tab w:pos="132" w:val="left" w:leader="none"/>
              </w:tabs>
              <w:spacing w:line="240" w:lineRule="auto" w:before="7" w:after="0"/>
              <w:ind w:left="131" w:right="0" w:hanging="96"/>
              <w:jc w:val="left"/>
              <w:rPr>
                <w:sz w:val="14"/>
              </w:rPr>
            </w:pPr>
            <w:r>
              <w:rPr>
                <w:sz w:val="14"/>
              </w:rPr>
              <w:t>montaje</w:t>
            </w:r>
            <w:r>
              <w:rPr>
                <w:spacing w:val="-18"/>
                <w:sz w:val="14"/>
              </w:rPr>
              <w:t> </w:t>
            </w:r>
            <w:r>
              <w:rPr>
                <w:sz w:val="14"/>
              </w:rPr>
              <w:t>y</w:t>
            </w:r>
            <w:r>
              <w:rPr>
                <w:spacing w:val="-17"/>
                <w:sz w:val="14"/>
              </w:rPr>
              <w:t> </w:t>
            </w:r>
            <w:r>
              <w:rPr>
                <w:sz w:val="14"/>
              </w:rPr>
              <w:t>desmantelamiento</w:t>
            </w:r>
            <w:r>
              <w:rPr>
                <w:spacing w:val="-17"/>
                <w:sz w:val="14"/>
              </w:rPr>
              <w:t> </w:t>
            </w:r>
            <w:r>
              <w:rPr>
                <w:sz w:val="14"/>
              </w:rPr>
              <w:t>de</w:t>
            </w:r>
            <w:r>
              <w:rPr>
                <w:spacing w:val="-17"/>
                <w:sz w:val="14"/>
              </w:rPr>
              <w:t> </w:t>
            </w:r>
            <w:r>
              <w:rPr>
                <w:sz w:val="14"/>
              </w:rPr>
              <w:t>andamios</w:t>
            </w:r>
            <w:r>
              <w:rPr>
                <w:spacing w:val="-18"/>
                <w:sz w:val="14"/>
              </w:rPr>
              <w:t> </w:t>
            </w:r>
            <w:r>
              <w:rPr>
                <w:sz w:val="14"/>
              </w:rPr>
              <w:t>y</w:t>
            </w:r>
            <w:r>
              <w:rPr>
                <w:spacing w:val="-17"/>
                <w:sz w:val="14"/>
              </w:rPr>
              <w:t> </w:t>
            </w:r>
            <w:r>
              <w:rPr>
                <w:sz w:val="14"/>
              </w:rPr>
              <w:t>plataformas</w:t>
            </w:r>
            <w:r>
              <w:rPr>
                <w:spacing w:val="-17"/>
                <w:sz w:val="14"/>
              </w:rPr>
              <w:t> </w:t>
            </w:r>
            <w:r>
              <w:rPr>
                <w:sz w:val="14"/>
              </w:rPr>
              <w:t>de</w:t>
            </w:r>
            <w:r>
              <w:rPr>
                <w:spacing w:val="-17"/>
                <w:sz w:val="14"/>
              </w:rPr>
              <w:t> </w:t>
            </w:r>
            <w:r>
              <w:rPr>
                <w:sz w:val="14"/>
              </w:rPr>
              <w:t>trabajo,</w:t>
            </w:r>
            <w:r>
              <w:rPr>
                <w:spacing w:val="-17"/>
                <w:sz w:val="14"/>
              </w:rPr>
              <w:t> </w:t>
            </w:r>
            <w:r>
              <w:rPr>
                <w:sz w:val="14"/>
              </w:rPr>
              <w:t>incluido</w:t>
            </w:r>
            <w:r>
              <w:rPr>
                <w:spacing w:val="-18"/>
                <w:sz w:val="14"/>
              </w:rPr>
              <w:t> </w:t>
            </w:r>
            <w:r>
              <w:rPr>
                <w:sz w:val="14"/>
              </w:rPr>
              <w:t>su</w:t>
            </w:r>
            <w:r>
              <w:rPr>
                <w:spacing w:val="-17"/>
                <w:sz w:val="14"/>
              </w:rPr>
              <w:t> </w:t>
            </w:r>
            <w:r>
              <w:rPr>
                <w:sz w:val="14"/>
              </w:rPr>
              <w:t>alquiler,</w:t>
            </w:r>
          </w:p>
          <w:p>
            <w:pPr>
              <w:pStyle w:val="TableParagraph"/>
              <w:numPr>
                <w:ilvl w:val="0"/>
                <w:numId w:val="460"/>
              </w:numPr>
              <w:tabs>
                <w:tab w:pos="132" w:val="left" w:leader="none"/>
              </w:tabs>
              <w:spacing w:line="249" w:lineRule="auto" w:before="7" w:after="0"/>
              <w:ind w:left="36" w:right="3786" w:firstLine="0"/>
              <w:jc w:val="left"/>
              <w:rPr>
                <w:sz w:val="14"/>
              </w:rPr>
            </w:pPr>
            <w:r>
              <w:rPr>
                <w:w w:val="90"/>
                <w:sz w:val="14"/>
              </w:rPr>
              <w:t>montaje</w:t>
            </w:r>
            <w:r>
              <w:rPr>
                <w:spacing w:val="-16"/>
                <w:w w:val="90"/>
                <w:sz w:val="14"/>
              </w:rPr>
              <w:t> </w:t>
            </w:r>
            <w:r>
              <w:rPr>
                <w:w w:val="90"/>
                <w:sz w:val="14"/>
              </w:rPr>
              <w:t>de</w:t>
            </w:r>
            <w:r>
              <w:rPr>
                <w:spacing w:val="-16"/>
                <w:w w:val="90"/>
                <w:sz w:val="14"/>
              </w:rPr>
              <w:t> </w:t>
            </w:r>
            <w:r>
              <w:rPr>
                <w:w w:val="90"/>
                <w:sz w:val="14"/>
              </w:rPr>
              <w:t>chimeneas</w:t>
            </w:r>
            <w:r>
              <w:rPr>
                <w:spacing w:val="-16"/>
                <w:w w:val="90"/>
                <w:sz w:val="14"/>
              </w:rPr>
              <w:t> </w:t>
            </w:r>
            <w:r>
              <w:rPr>
                <w:w w:val="90"/>
                <w:sz w:val="14"/>
              </w:rPr>
              <w:t>y</w:t>
            </w:r>
            <w:r>
              <w:rPr>
                <w:spacing w:val="-16"/>
                <w:w w:val="90"/>
                <w:sz w:val="14"/>
              </w:rPr>
              <w:t> </w:t>
            </w:r>
            <w:r>
              <w:rPr>
                <w:w w:val="90"/>
                <w:sz w:val="14"/>
              </w:rPr>
              <w:t>hornos</w:t>
            </w:r>
            <w:r>
              <w:rPr>
                <w:spacing w:val="-16"/>
                <w:w w:val="90"/>
                <w:sz w:val="14"/>
              </w:rPr>
              <w:t> </w:t>
            </w:r>
            <w:r>
              <w:rPr>
                <w:w w:val="90"/>
                <w:sz w:val="14"/>
              </w:rPr>
              <w:t>industriales. </w:t>
            </w:r>
            <w:r>
              <w:rPr>
                <w:sz w:val="14"/>
              </w:rPr>
              <w:t>Esta</w:t>
            </w:r>
            <w:r>
              <w:rPr>
                <w:spacing w:val="-11"/>
                <w:sz w:val="14"/>
              </w:rPr>
              <w:t> </w:t>
            </w:r>
            <w:r>
              <w:rPr>
                <w:sz w:val="14"/>
              </w:rPr>
              <w:t>clase</w:t>
            </w:r>
            <w:r>
              <w:rPr>
                <w:spacing w:val="-10"/>
                <w:sz w:val="14"/>
              </w:rPr>
              <w:t> </w:t>
            </w:r>
            <w:r>
              <w:rPr>
                <w:sz w:val="14"/>
              </w:rPr>
              <w:t>no</w:t>
            </w:r>
            <w:r>
              <w:rPr>
                <w:spacing w:val="-10"/>
                <w:sz w:val="14"/>
              </w:rPr>
              <w:t> </w:t>
            </w:r>
            <w:r>
              <w:rPr>
                <w:sz w:val="14"/>
              </w:rPr>
              <w:t>comprende:</w:t>
            </w:r>
          </w:p>
          <w:p>
            <w:pPr>
              <w:pStyle w:val="TableParagraph"/>
              <w:numPr>
                <w:ilvl w:val="0"/>
                <w:numId w:val="460"/>
              </w:numPr>
              <w:tabs>
                <w:tab w:pos="132" w:val="left" w:leader="none"/>
              </w:tabs>
              <w:spacing w:line="157" w:lineRule="exact" w:before="1" w:after="0"/>
              <w:ind w:left="131" w:right="0" w:hanging="96"/>
              <w:jc w:val="left"/>
              <w:rPr>
                <w:sz w:val="14"/>
              </w:rPr>
            </w:pPr>
            <w:r>
              <w:rPr>
                <w:sz w:val="14"/>
              </w:rPr>
              <w:t>el</w:t>
            </w:r>
            <w:r>
              <w:rPr>
                <w:spacing w:val="-13"/>
                <w:sz w:val="14"/>
              </w:rPr>
              <w:t> </w:t>
            </w:r>
            <w:r>
              <w:rPr>
                <w:sz w:val="14"/>
              </w:rPr>
              <w:t>alquiler</w:t>
            </w:r>
            <w:r>
              <w:rPr>
                <w:spacing w:val="-12"/>
                <w:sz w:val="14"/>
              </w:rPr>
              <w:t> </w:t>
            </w:r>
            <w:r>
              <w:rPr>
                <w:sz w:val="14"/>
              </w:rPr>
              <w:t>de</w:t>
            </w:r>
            <w:r>
              <w:rPr>
                <w:spacing w:val="-12"/>
                <w:sz w:val="14"/>
              </w:rPr>
              <w:t> </w:t>
            </w:r>
            <w:r>
              <w:rPr>
                <w:sz w:val="14"/>
              </w:rPr>
              <w:t>andamios</w:t>
            </w:r>
            <w:r>
              <w:rPr>
                <w:spacing w:val="-12"/>
                <w:sz w:val="14"/>
              </w:rPr>
              <w:t> </w:t>
            </w:r>
            <w:r>
              <w:rPr>
                <w:sz w:val="14"/>
              </w:rPr>
              <w:t>sin</w:t>
            </w:r>
            <w:r>
              <w:rPr>
                <w:spacing w:val="-12"/>
                <w:sz w:val="14"/>
              </w:rPr>
              <w:t> </w:t>
            </w:r>
            <w:r>
              <w:rPr>
                <w:sz w:val="14"/>
              </w:rPr>
              <w:t>montaje</w:t>
            </w:r>
            <w:r>
              <w:rPr>
                <w:spacing w:val="-12"/>
                <w:sz w:val="14"/>
              </w:rPr>
              <w:t> </w:t>
            </w:r>
            <w:r>
              <w:rPr>
                <w:sz w:val="14"/>
              </w:rPr>
              <w:t>ni</w:t>
            </w:r>
            <w:r>
              <w:rPr>
                <w:spacing w:val="-12"/>
                <w:sz w:val="14"/>
              </w:rPr>
              <w:t> </w:t>
            </w:r>
            <w:r>
              <w:rPr>
                <w:sz w:val="14"/>
              </w:rPr>
              <w:t>desmantelamiento</w:t>
            </w:r>
            <w:r>
              <w:rPr>
                <w:spacing w:val="-12"/>
                <w:sz w:val="14"/>
              </w:rPr>
              <w:t> </w:t>
            </w:r>
            <w:r>
              <w:rPr>
                <w:sz w:val="14"/>
              </w:rPr>
              <w:t>(véase</w:t>
            </w:r>
            <w:r>
              <w:rPr>
                <w:spacing w:val="-12"/>
                <w:sz w:val="14"/>
              </w:rPr>
              <w:t> </w:t>
            </w:r>
            <w:r>
              <w:rPr>
                <w:sz w:val="14"/>
              </w:rPr>
              <w:t>71.32).</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35"/>
              <w:rPr>
                <w:sz w:val="14"/>
              </w:rPr>
            </w:pPr>
            <w:r>
              <w:rPr>
                <w:sz w:val="14"/>
              </w:rPr>
              <w:t>45250000</w:t>
            </w:r>
          </w:p>
          <w:p>
            <w:pPr>
              <w:pStyle w:val="TableParagraph"/>
              <w:spacing w:before="7"/>
              <w:ind w:left="35"/>
              <w:rPr>
                <w:sz w:val="14"/>
              </w:rPr>
            </w:pPr>
            <w:r>
              <w:rPr>
                <w:sz w:val="14"/>
              </w:rPr>
              <w:t>45262000</w:t>
            </w:r>
          </w:p>
        </w:tc>
      </w:tr>
      <w:tr>
        <w:trPr>
          <w:trHeight w:val="331"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spacing w:before="70"/>
              <w:ind w:left="11" w:right="8"/>
              <w:jc w:val="center"/>
              <w:rPr>
                <w:sz w:val="14"/>
              </w:rPr>
            </w:pPr>
            <w:r>
              <w:rPr>
                <w:sz w:val="14"/>
              </w:rPr>
              <w:t>45.3</w:t>
            </w: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8"/>
              <w:rPr>
                <w:sz w:val="14"/>
              </w:rPr>
            </w:pPr>
            <w:r>
              <w:rPr>
                <w:sz w:val="14"/>
              </w:rPr>
              <w:t>Instalación de edificios y</w:t>
            </w:r>
          </w:p>
          <w:p>
            <w:pPr>
              <w:pStyle w:val="TableParagraph"/>
              <w:spacing w:line="157" w:lineRule="exact" w:before="7"/>
              <w:ind w:left="38"/>
              <w:rPr>
                <w:sz w:val="14"/>
              </w:rPr>
            </w:pPr>
            <w:r>
              <w:rPr>
                <w:sz w:val="14"/>
              </w:rPr>
              <w:t>obras.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70"/>
              <w:ind w:left="35"/>
              <w:rPr>
                <w:sz w:val="14"/>
              </w:rPr>
            </w:pPr>
            <w:r>
              <w:rPr>
                <w:sz w:val="14"/>
              </w:rPr>
              <w:t>45300000</w:t>
            </w:r>
          </w:p>
        </w:tc>
      </w:tr>
      <w:tr>
        <w:trPr>
          <w:trHeight w:val="1675"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22"/>
              <w:ind w:right="38"/>
              <w:jc w:val="right"/>
              <w:rPr>
                <w:sz w:val="14"/>
              </w:rPr>
            </w:pPr>
            <w:r>
              <w:rPr>
                <w:w w:val="85"/>
                <w:sz w:val="14"/>
              </w:rPr>
              <w:t>45.31</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22"/>
              <w:ind w:left="38"/>
              <w:rPr>
                <w:sz w:val="14"/>
              </w:rPr>
            </w:pPr>
            <w:r>
              <w:rPr>
                <w:sz w:val="14"/>
              </w:rPr>
              <w:t>Instalación eléctrica.</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1"/>
              </w:numPr>
              <w:tabs>
                <w:tab w:pos="132" w:val="left" w:leader="none"/>
              </w:tabs>
              <w:spacing w:line="240" w:lineRule="auto" w:before="7" w:after="0"/>
              <w:ind w:left="131" w:right="0" w:hanging="96"/>
              <w:jc w:val="left"/>
              <w:rPr>
                <w:sz w:val="14"/>
              </w:rPr>
            </w:pPr>
            <w:r>
              <w:rPr>
                <w:sz w:val="14"/>
              </w:rPr>
              <w:t>la</w:t>
            </w:r>
            <w:r>
              <w:rPr>
                <w:spacing w:val="-10"/>
                <w:sz w:val="14"/>
              </w:rPr>
              <w:t> </w:t>
            </w:r>
            <w:r>
              <w:rPr>
                <w:sz w:val="14"/>
              </w:rPr>
              <w:t>instalación</w:t>
            </w:r>
            <w:r>
              <w:rPr>
                <w:spacing w:val="-9"/>
                <w:sz w:val="14"/>
              </w:rPr>
              <w:t> </w:t>
            </w:r>
            <w:r>
              <w:rPr>
                <w:sz w:val="14"/>
              </w:rPr>
              <w:t>en</w:t>
            </w:r>
            <w:r>
              <w:rPr>
                <w:spacing w:val="-10"/>
                <w:sz w:val="14"/>
              </w:rPr>
              <w:t> </w:t>
            </w:r>
            <w:r>
              <w:rPr>
                <w:sz w:val="14"/>
              </w:rPr>
              <w:t>edificios</w:t>
            </w:r>
            <w:r>
              <w:rPr>
                <w:spacing w:val="-9"/>
                <w:sz w:val="14"/>
              </w:rPr>
              <w:t> </w:t>
            </w:r>
            <w:r>
              <w:rPr>
                <w:sz w:val="14"/>
              </w:rPr>
              <w:t>y</w:t>
            </w:r>
            <w:r>
              <w:rPr>
                <w:spacing w:val="-10"/>
                <w:sz w:val="14"/>
              </w:rPr>
              <w:t> </w:t>
            </w:r>
            <w:r>
              <w:rPr>
                <w:sz w:val="14"/>
              </w:rPr>
              <w:t>otras</w:t>
            </w:r>
            <w:r>
              <w:rPr>
                <w:spacing w:val="-9"/>
                <w:sz w:val="14"/>
              </w:rPr>
              <w:t> </w:t>
            </w:r>
            <w:r>
              <w:rPr>
                <w:sz w:val="14"/>
              </w:rPr>
              <w:t>obras</w:t>
            </w:r>
            <w:r>
              <w:rPr>
                <w:spacing w:val="-10"/>
                <w:sz w:val="14"/>
              </w:rPr>
              <w:t> </w:t>
            </w:r>
            <w:r>
              <w:rPr>
                <w:sz w:val="14"/>
              </w:rPr>
              <w:t>de</w:t>
            </w:r>
            <w:r>
              <w:rPr>
                <w:spacing w:val="-9"/>
                <w:sz w:val="14"/>
              </w:rPr>
              <w:t> </w:t>
            </w:r>
            <w:r>
              <w:rPr>
                <w:sz w:val="14"/>
              </w:rPr>
              <w:t>construcción</w:t>
            </w:r>
            <w:r>
              <w:rPr>
                <w:spacing w:val="-10"/>
                <w:sz w:val="14"/>
              </w:rPr>
              <w:t> </w:t>
            </w:r>
            <w:r>
              <w:rPr>
                <w:sz w:val="14"/>
              </w:rPr>
              <w:t>de:</w:t>
            </w:r>
          </w:p>
          <w:p>
            <w:pPr>
              <w:pStyle w:val="TableParagraph"/>
              <w:numPr>
                <w:ilvl w:val="0"/>
                <w:numId w:val="461"/>
              </w:numPr>
              <w:tabs>
                <w:tab w:pos="132" w:val="left" w:leader="none"/>
              </w:tabs>
              <w:spacing w:line="240" w:lineRule="auto" w:before="7" w:after="0"/>
              <w:ind w:left="131" w:right="0" w:hanging="96"/>
              <w:jc w:val="left"/>
              <w:rPr>
                <w:sz w:val="14"/>
              </w:rPr>
            </w:pPr>
            <w:r>
              <w:rPr>
                <w:sz w:val="14"/>
              </w:rPr>
              <w:t>cables y material</w:t>
            </w:r>
            <w:r>
              <w:rPr>
                <w:spacing w:val="-20"/>
                <w:sz w:val="14"/>
              </w:rPr>
              <w:t> </w:t>
            </w:r>
            <w:r>
              <w:rPr>
                <w:sz w:val="14"/>
              </w:rPr>
              <w:t>eléctrico,</w:t>
            </w:r>
          </w:p>
          <w:p>
            <w:pPr>
              <w:pStyle w:val="TableParagraph"/>
              <w:numPr>
                <w:ilvl w:val="0"/>
                <w:numId w:val="461"/>
              </w:numPr>
              <w:tabs>
                <w:tab w:pos="132" w:val="left" w:leader="none"/>
              </w:tabs>
              <w:spacing w:line="240" w:lineRule="auto" w:before="7" w:after="0"/>
              <w:ind w:left="131" w:right="0" w:hanging="96"/>
              <w:jc w:val="left"/>
              <w:rPr>
                <w:sz w:val="14"/>
              </w:rPr>
            </w:pPr>
            <w:r>
              <w:rPr>
                <w:sz w:val="14"/>
              </w:rPr>
              <w:t>sistemas de</w:t>
            </w:r>
            <w:r>
              <w:rPr>
                <w:spacing w:val="-14"/>
                <w:sz w:val="14"/>
              </w:rPr>
              <w:t> </w:t>
            </w:r>
            <w:r>
              <w:rPr>
                <w:sz w:val="14"/>
              </w:rPr>
              <w:t>telecomunicación,</w:t>
            </w:r>
          </w:p>
          <w:p>
            <w:pPr>
              <w:pStyle w:val="TableParagraph"/>
              <w:numPr>
                <w:ilvl w:val="0"/>
                <w:numId w:val="461"/>
              </w:numPr>
              <w:tabs>
                <w:tab w:pos="132" w:val="left" w:leader="none"/>
              </w:tabs>
              <w:spacing w:line="240" w:lineRule="auto" w:before="7" w:after="0"/>
              <w:ind w:left="131" w:right="0" w:hanging="96"/>
              <w:jc w:val="left"/>
              <w:rPr>
                <w:sz w:val="14"/>
              </w:rPr>
            </w:pPr>
            <w:r>
              <w:rPr>
                <w:sz w:val="14"/>
              </w:rPr>
              <w:t>instalaciones de calefacción</w:t>
            </w:r>
            <w:r>
              <w:rPr>
                <w:spacing w:val="-23"/>
                <w:sz w:val="14"/>
              </w:rPr>
              <w:t> </w:t>
            </w:r>
            <w:r>
              <w:rPr>
                <w:sz w:val="14"/>
              </w:rPr>
              <w:t>eléctrica,</w:t>
            </w:r>
          </w:p>
          <w:p>
            <w:pPr>
              <w:pStyle w:val="TableParagraph"/>
              <w:numPr>
                <w:ilvl w:val="0"/>
                <w:numId w:val="461"/>
              </w:numPr>
              <w:tabs>
                <w:tab w:pos="132" w:val="left" w:leader="none"/>
              </w:tabs>
              <w:spacing w:line="240" w:lineRule="auto" w:before="7" w:after="0"/>
              <w:ind w:left="131" w:right="0" w:hanging="96"/>
              <w:jc w:val="left"/>
              <w:rPr>
                <w:sz w:val="14"/>
              </w:rPr>
            </w:pPr>
            <w:r>
              <w:rPr>
                <w:sz w:val="14"/>
              </w:rPr>
              <w:t>antenas de</w:t>
            </w:r>
            <w:r>
              <w:rPr>
                <w:spacing w:val="-13"/>
                <w:sz w:val="14"/>
              </w:rPr>
              <w:t> </w:t>
            </w:r>
            <w:r>
              <w:rPr>
                <w:sz w:val="14"/>
              </w:rPr>
              <w:t>viviendas,</w:t>
            </w:r>
          </w:p>
          <w:p>
            <w:pPr>
              <w:pStyle w:val="TableParagraph"/>
              <w:numPr>
                <w:ilvl w:val="0"/>
                <w:numId w:val="461"/>
              </w:numPr>
              <w:tabs>
                <w:tab w:pos="132" w:val="left" w:leader="none"/>
              </w:tabs>
              <w:spacing w:line="240" w:lineRule="auto" w:before="7" w:after="0"/>
              <w:ind w:left="131" w:right="0" w:hanging="96"/>
              <w:jc w:val="left"/>
              <w:rPr>
                <w:sz w:val="14"/>
              </w:rPr>
            </w:pPr>
            <w:r>
              <w:rPr>
                <w:sz w:val="14"/>
              </w:rPr>
              <w:t>alarmas contra</w:t>
            </w:r>
            <w:r>
              <w:rPr>
                <w:spacing w:val="-13"/>
                <w:sz w:val="14"/>
              </w:rPr>
              <w:t> </w:t>
            </w:r>
            <w:r>
              <w:rPr>
                <w:sz w:val="14"/>
              </w:rPr>
              <w:t>incendios,</w:t>
            </w:r>
          </w:p>
          <w:p>
            <w:pPr>
              <w:pStyle w:val="TableParagraph"/>
              <w:numPr>
                <w:ilvl w:val="0"/>
                <w:numId w:val="461"/>
              </w:numPr>
              <w:tabs>
                <w:tab w:pos="132" w:val="left" w:leader="none"/>
              </w:tabs>
              <w:spacing w:line="240" w:lineRule="auto" w:before="7" w:after="0"/>
              <w:ind w:left="131" w:right="0" w:hanging="96"/>
              <w:jc w:val="left"/>
              <w:rPr>
                <w:sz w:val="14"/>
              </w:rPr>
            </w:pPr>
            <w:r>
              <w:rPr>
                <w:sz w:val="14"/>
              </w:rPr>
              <w:t>sistemas</w:t>
            </w:r>
            <w:r>
              <w:rPr>
                <w:spacing w:val="-9"/>
                <w:sz w:val="14"/>
              </w:rPr>
              <w:t> </w:t>
            </w:r>
            <w:r>
              <w:rPr>
                <w:sz w:val="14"/>
              </w:rPr>
              <w:t>de</w:t>
            </w:r>
            <w:r>
              <w:rPr>
                <w:spacing w:val="-8"/>
                <w:sz w:val="14"/>
              </w:rPr>
              <w:t> </w:t>
            </w:r>
            <w:r>
              <w:rPr>
                <w:sz w:val="14"/>
              </w:rPr>
              <w:t>alarma</w:t>
            </w:r>
            <w:r>
              <w:rPr>
                <w:spacing w:val="-8"/>
                <w:sz w:val="14"/>
              </w:rPr>
              <w:t> </w:t>
            </w:r>
            <w:r>
              <w:rPr>
                <w:sz w:val="14"/>
              </w:rPr>
              <w:t>de</w:t>
            </w:r>
            <w:r>
              <w:rPr>
                <w:spacing w:val="-8"/>
                <w:sz w:val="14"/>
              </w:rPr>
              <w:t> </w:t>
            </w:r>
            <w:r>
              <w:rPr>
                <w:sz w:val="14"/>
              </w:rPr>
              <w:t>protección</w:t>
            </w:r>
            <w:r>
              <w:rPr>
                <w:spacing w:val="-8"/>
                <w:sz w:val="14"/>
              </w:rPr>
              <w:t> </w:t>
            </w:r>
            <w:r>
              <w:rPr>
                <w:sz w:val="14"/>
              </w:rPr>
              <w:t>contra</w:t>
            </w:r>
            <w:r>
              <w:rPr>
                <w:spacing w:val="-8"/>
                <w:sz w:val="14"/>
              </w:rPr>
              <w:t> </w:t>
            </w:r>
            <w:r>
              <w:rPr>
                <w:sz w:val="14"/>
              </w:rPr>
              <w:t>robos,</w:t>
            </w:r>
          </w:p>
          <w:p>
            <w:pPr>
              <w:pStyle w:val="TableParagraph"/>
              <w:numPr>
                <w:ilvl w:val="0"/>
                <w:numId w:val="461"/>
              </w:numPr>
              <w:tabs>
                <w:tab w:pos="132" w:val="left" w:leader="none"/>
              </w:tabs>
              <w:spacing w:line="240" w:lineRule="auto" w:before="7" w:after="0"/>
              <w:ind w:left="131" w:right="0" w:hanging="96"/>
              <w:jc w:val="left"/>
              <w:rPr>
                <w:sz w:val="14"/>
              </w:rPr>
            </w:pPr>
            <w:r>
              <w:rPr>
                <w:sz w:val="14"/>
              </w:rPr>
              <w:t>ascensores y escaleras</w:t>
            </w:r>
            <w:r>
              <w:rPr>
                <w:spacing w:val="-22"/>
                <w:sz w:val="14"/>
              </w:rPr>
              <w:t> </w:t>
            </w:r>
            <w:r>
              <w:rPr>
                <w:sz w:val="14"/>
              </w:rPr>
              <w:t>mecánicas,</w:t>
            </w:r>
          </w:p>
          <w:p>
            <w:pPr>
              <w:pStyle w:val="TableParagraph"/>
              <w:numPr>
                <w:ilvl w:val="0"/>
                <w:numId w:val="461"/>
              </w:numPr>
              <w:tabs>
                <w:tab w:pos="132" w:val="left" w:leader="none"/>
              </w:tabs>
              <w:spacing w:line="157" w:lineRule="exact" w:before="7" w:after="0"/>
              <w:ind w:left="131" w:right="0" w:hanging="96"/>
              <w:jc w:val="left"/>
              <w:rPr>
                <w:sz w:val="14"/>
              </w:rPr>
            </w:pPr>
            <w:r>
              <w:rPr>
                <w:sz w:val="14"/>
              </w:rPr>
              <w:t>pararrayos,</w:t>
            </w:r>
            <w:r>
              <w:rPr>
                <w:spacing w:val="-6"/>
                <w:sz w:val="14"/>
              </w:rPr>
              <w:t> </w:t>
            </w:r>
            <w:r>
              <w:rPr>
                <w:sz w:val="14"/>
              </w:rPr>
              <w:t>etc.</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7"/>
              <w:rPr>
                <w:rFonts w:ascii="Times New Roman"/>
                <w:sz w:val="24"/>
              </w:rPr>
            </w:pPr>
          </w:p>
          <w:p>
            <w:pPr>
              <w:pStyle w:val="TableParagraph"/>
              <w:spacing w:before="1"/>
              <w:ind w:left="35"/>
              <w:rPr>
                <w:sz w:val="14"/>
              </w:rPr>
            </w:pPr>
            <w:r>
              <w:rPr>
                <w:sz w:val="14"/>
              </w:rPr>
              <w:t>45213316</w:t>
            </w:r>
          </w:p>
          <w:p>
            <w:pPr>
              <w:pStyle w:val="TableParagraph"/>
              <w:spacing w:before="7"/>
              <w:ind w:left="35"/>
              <w:rPr>
                <w:sz w:val="14"/>
              </w:rPr>
            </w:pPr>
            <w:r>
              <w:rPr>
                <w:sz w:val="14"/>
              </w:rPr>
              <w:t>45310000</w:t>
            </w:r>
          </w:p>
          <w:p>
            <w:pPr>
              <w:pStyle w:val="TableParagraph"/>
              <w:spacing w:line="249" w:lineRule="auto" w:before="7"/>
              <w:ind w:left="35"/>
              <w:rPr>
                <w:sz w:val="14"/>
              </w:rPr>
            </w:pPr>
            <w:r>
              <w:rPr>
                <w:w w:val="95"/>
                <w:sz w:val="14"/>
              </w:rPr>
              <w:t>Excepto: </w:t>
            </w:r>
            <w:r>
              <w:rPr>
                <w:spacing w:val="-1"/>
                <w:w w:val="85"/>
                <w:sz w:val="14"/>
              </w:rPr>
              <w:t>45316000</w:t>
            </w:r>
          </w:p>
        </w:tc>
      </w:tr>
      <w:tr>
        <w:trPr>
          <w:trHeight w:val="667"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spacing w:before="8"/>
              <w:rPr>
                <w:rFonts w:ascii="Times New Roman"/>
                <w:sz w:val="20"/>
              </w:rPr>
            </w:pPr>
          </w:p>
          <w:p>
            <w:pPr>
              <w:pStyle w:val="TableParagraph"/>
              <w:spacing w:before="1"/>
              <w:ind w:right="38"/>
              <w:jc w:val="right"/>
              <w:rPr>
                <w:sz w:val="14"/>
              </w:rPr>
            </w:pPr>
            <w:r>
              <w:rPr>
                <w:w w:val="85"/>
                <w:sz w:val="14"/>
              </w:rPr>
              <w:t>45.32</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before="8"/>
              <w:rPr>
                <w:rFonts w:ascii="Times New Roman"/>
                <w:sz w:val="20"/>
              </w:rPr>
            </w:pPr>
          </w:p>
          <w:p>
            <w:pPr>
              <w:pStyle w:val="TableParagraph"/>
              <w:spacing w:before="1"/>
              <w:ind w:left="38"/>
              <w:rPr>
                <w:sz w:val="14"/>
              </w:rPr>
            </w:pPr>
            <w:r>
              <w:rPr>
                <w:sz w:val="14"/>
              </w:rPr>
              <w:t>Trabajos de aislamiento.</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2"/>
              </w:numPr>
              <w:tabs>
                <w:tab w:pos="132" w:val="left" w:leader="none"/>
              </w:tabs>
              <w:spacing w:line="249" w:lineRule="auto" w:before="7" w:after="0"/>
              <w:ind w:left="36" w:right="574" w:firstLine="0"/>
              <w:jc w:val="left"/>
              <w:rPr>
                <w:sz w:val="14"/>
              </w:rPr>
            </w:pPr>
            <w:r>
              <w:rPr>
                <w:w w:val="90"/>
                <w:sz w:val="14"/>
              </w:rPr>
              <w:t>la</w:t>
            </w:r>
            <w:r>
              <w:rPr>
                <w:spacing w:val="-15"/>
                <w:w w:val="90"/>
                <w:sz w:val="14"/>
              </w:rPr>
              <w:t> </w:t>
            </w:r>
            <w:r>
              <w:rPr>
                <w:w w:val="90"/>
                <w:sz w:val="14"/>
              </w:rPr>
              <w:t>instalación</w:t>
            </w:r>
            <w:r>
              <w:rPr>
                <w:spacing w:val="-14"/>
                <w:w w:val="90"/>
                <w:sz w:val="14"/>
              </w:rPr>
              <w:t> </w:t>
            </w:r>
            <w:r>
              <w:rPr>
                <w:w w:val="90"/>
                <w:sz w:val="14"/>
              </w:rPr>
              <w:t>en</w:t>
            </w:r>
            <w:r>
              <w:rPr>
                <w:spacing w:val="-14"/>
                <w:w w:val="90"/>
                <w:sz w:val="14"/>
              </w:rPr>
              <w:t> </w:t>
            </w:r>
            <w:r>
              <w:rPr>
                <w:w w:val="90"/>
                <w:sz w:val="14"/>
              </w:rPr>
              <w:t>edificios</w:t>
            </w:r>
            <w:r>
              <w:rPr>
                <w:spacing w:val="-15"/>
                <w:w w:val="90"/>
                <w:sz w:val="14"/>
              </w:rPr>
              <w:t> </w:t>
            </w:r>
            <w:r>
              <w:rPr>
                <w:w w:val="90"/>
                <w:sz w:val="14"/>
              </w:rPr>
              <w:t>y</w:t>
            </w:r>
            <w:r>
              <w:rPr>
                <w:spacing w:val="-14"/>
                <w:w w:val="90"/>
                <w:sz w:val="14"/>
              </w:rPr>
              <w:t> </w:t>
            </w:r>
            <w:r>
              <w:rPr>
                <w:w w:val="90"/>
                <w:sz w:val="14"/>
              </w:rPr>
              <w:t>otras</w:t>
            </w:r>
            <w:r>
              <w:rPr>
                <w:spacing w:val="-14"/>
                <w:w w:val="90"/>
                <w:sz w:val="14"/>
              </w:rPr>
              <w:t> </w:t>
            </w:r>
            <w:r>
              <w:rPr>
                <w:w w:val="90"/>
                <w:sz w:val="14"/>
              </w:rPr>
              <w:t>obras</w:t>
            </w:r>
            <w:r>
              <w:rPr>
                <w:spacing w:val="-14"/>
                <w:w w:val="90"/>
                <w:sz w:val="14"/>
              </w:rPr>
              <w:t> </w:t>
            </w:r>
            <w:r>
              <w:rPr>
                <w:w w:val="90"/>
                <w:sz w:val="14"/>
              </w:rPr>
              <w:t>de</w:t>
            </w:r>
            <w:r>
              <w:rPr>
                <w:spacing w:val="-15"/>
                <w:w w:val="90"/>
                <w:sz w:val="14"/>
              </w:rPr>
              <w:t> </w:t>
            </w:r>
            <w:r>
              <w:rPr>
                <w:w w:val="90"/>
                <w:sz w:val="14"/>
              </w:rPr>
              <w:t>construcción</w:t>
            </w:r>
            <w:r>
              <w:rPr>
                <w:spacing w:val="-14"/>
                <w:w w:val="90"/>
                <w:sz w:val="14"/>
              </w:rPr>
              <w:t> </w:t>
            </w:r>
            <w:r>
              <w:rPr>
                <w:w w:val="90"/>
                <w:sz w:val="14"/>
              </w:rPr>
              <w:t>de</w:t>
            </w:r>
            <w:r>
              <w:rPr>
                <w:spacing w:val="-14"/>
                <w:w w:val="90"/>
                <w:sz w:val="14"/>
              </w:rPr>
              <w:t> </w:t>
            </w:r>
            <w:r>
              <w:rPr>
                <w:w w:val="90"/>
                <w:sz w:val="14"/>
              </w:rPr>
              <w:t>aislamiento</w:t>
            </w:r>
            <w:r>
              <w:rPr>
                <w:spacing w:val="-14"/>
                <w:w w:val="90"/>
                <w:sz w:val="14"/>
              </w:rPr>
              <w:t> </w:t>
            </w:r>
            <w:r>
              <w:rPr>
                <w:w w:val="90"/>
                <w:sz w:val="14"/>
              </w:rPr>
              <w:t>térmico,</w:t>
            </w:r>
            <w:r>
              <w:rPr>
                <w:spacing w:val="-15"/>
                <w:w w:val="90"/>
                <w:sz w:val="14"/>
              </w:rPr>
              <w:t> </w:t>
            </w:r>
            <w:r>
              <w:rPr>
                <w:w w:val="90"/>
                <w:sz w:val="14"/>
              </w:rPr>
              <w:t>acústico</w:t>
            </w:r>
            <w:r>
              <w:rPr>
                <w:spacing w:val="-14"/>
                <w:w w:val="90"/>
                <w:sz w:val="14"/>
              </w:rPr>
              <w:t> </w:t>
            </w:r>
            <w:r>
              <w:rPr>
                <w:w w:val="90"/>
                <w:sz w:val="14"/>
              </w:rPr>
              <w:t>o</w:t>
            </w:r>
            <w:r>
              <w:rPr>
                <w:spacing w:val="-14"/>
                <w:w w:val="90"/>
                <w:sz w:val="14"/>
              </w:rPr>
              <w:t> </w:t>
            </w:r>
            <w:r>
              <w:rPr>
                <w:w w:val="90"/>
                <w:sz w:val="14"/>
              </w:rPr>
              <w:t>antivibratorio. </w:t>
            </w:r>
            <w:r>
              <w:rPr>
                <w:sz w:val="14"/>
              </w:rPr>
              <w:t>Esta clase no</w:t>
            </w:r>
            <w:r>
              <w:rPr>
                <w:spacing w:val="-20"/>
                <w:sz w:val="14"/>
              </w:rPr>
              <w:t> </w:t>
            </w:r>
            <w:r>
              <w:rPr>
                <w:sz w:val="14"/>
              </w:rPr>
              <w:t>comprende:</w:t>
            </w:r>
          </w:p>
          <w:p>
            <w:pPr>
              <w:pStyle w:val="TableParagraph"/>
              <w:numPr>
                <w:ilvl w:val="0"/>
                <w:numId w:val="462"/>
              </w:numPr>
              <w:tabs>
                <w:tab w:pos="132" w:val="left" w:leader="none"/>
              </w:tabs>
              <w:spacing w:line="157" w:lineRule="exact" w:before="1" w:after="0"/>
              <w:ind w:left="131" w:right="0" w:hanging="96"/>
              <w:jc w:val="left"/>
              <w:rPr>
                <w:sz w:val="14"/>
              </w:rPr>
            </w:pPr>
            <w:r>
              <w:rPr>
                <w:sz w:val="14"/>
              </w:rPr>
              <w:t>la</w:t>
            </w:r>
            <w:r>
              <w:rPr>
                <w:spacing w:val="-10"/>
                <w:sz w:val="14"/>
              </w:rPr>
              <w:t> </w:t>
            </w:r>
            <w:r>
              <w:rPr>
                <w:sz w:val="14"/>
              </w:rPr>
              <w:t>impermeabilización</w:t>
            </w:r>
            <w:r>
              <w:rPr>
                <w:spacing w:val="-10"/>
                <w:sz w:val="14"/>
              </w:rPr>
              <w:t> </w:t>
            </w:r>
            <w:r>
              <w:rPr>
                <w:sz w:val="14"/>
              </w:rPr>
              <w:t>de</w:t>
            </w:r>
            <w:r>
              <w:rPr>
                <w:spacing w:val="-10"/>
                <w:sz w:val="14"/>
              </w:rPr>
              <w:t> </w:t>
            </w:r>
            <w:r>
              <w:rPr>
                <w:sz w:val="14"/>
              </w:rPr>
              <w:t>edificios</w:t>
            </w:r>
            <w:r>
              <w:rPr>
                <w:spacing w:val="-10"/>
                <w:sz w:val="14"/>
              </w:rPr>
              <w:t> </w:t>
            </w:r>
            <w:r>
              <w:rPr>
                <w:sz w:val="14"/>
              </w:rPr>
              <w:t>y</w:t>
            </w:r>
            <w:r>
              <w:rPr>
                <w:spacing w:val="-10"/>
                <w:sz w:val="14"/>
              </w:rPr>
              <w:t> </w:t>
            </w:r>
            <w:r>
              <w:rPr>
                <w:sz w:val="14"/>
              </w:rPr>
              <w:t>balcones</w:t>
            </w:r>
            <w:r>
              <w:rPr>
                <w:spacing w:val="-10"/>
                <w:sz w:val="14"/>
              </w:rPr>
              <w:t> </w:t>
            </w:r>
            <w:r>
              <w:rPr>
                <w:sz w:val="14"/>
              </w:rPr>
              <w:t>(véase</w:t>
            </w:r>
            <w:r>
              <w:rPr>
                <w:spacing w:val="-10"/>
                <w:sz w:val="14"/>
              </w:rPr>
              <w:t> </w:t>
            </w:r>
            <w:r>
              <w:rPr>
                <w:sz w:val="14"/>
              </w:rPr>
              <w:t>45.22).</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8"/>
              <w:rPr>
                <w:rFonts w:ascii="Times New Roman"/>
                <w:sz w:val="20"/>
              </w:rPr>
            </w:pPr>
          </w:p>
          <w:p>
            <w:pPr>
              <w:pStyle w:val="TableParagraph"/>
              <w:spacing w:before="1"/>
              <w:ind w:left="35"/>
              <w:rPr>
                <w:sz w:val="14"/>
              </w:rPr>
            </w:pPr>
            <w:r>
              <w:rPr>
                <w:sz w:val="14"/>
              </w:rPr>
              <w:t>45320000</w:t>
            </w:r>
          </w:p>
        </w:tc>
      </w:tr>
      <w:tr>
        <w:trPr>
          <w:trHeight w:val="133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spacing w:before="161"/>
              <w:ind w:right="38"/>
              <w:jc w:val="right"/>
              <w:rPr>
                <w:sz w:val="14"/>
              </w:rPr>
            </w:pPr>
            <w:r>
              <w:rPr>
                <w:w w:val="85"/>
                <w:sz w:val="14"/>
              </w:rPr>
              <w:t>45.33</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spacing w:before="161"/>
              <w:ind w:left="38"/>
              <w:rPr>
                <w:sz w:val="14"/>
              </w:rPr>
            </w:pPr>
            <w:r>
              <w:rPr>
                <w:sz w:val="14"/>
              </w:rPr>
              <w:t>Fontanería.</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3"/>
              </w:numPr>
              <w:tabs>
                <w:tab w:pos="132" w:val="left" w:leader="none"/>
              </w:tabs>
              <w:spacing w:line="240" w:lineRule="auto" w:before="7" w:after="0"/>
              <w:ind w:left="131" w:right="0" w:hanging="96"/>
              <w:jc w:val="left"/>
              <w:rPr>
                <w:sz w:val="14"/>
              </w:rPr>
            </w:pPr>
            <w:r>
              <w:rPr>
                <w:sz w:val="14"/>
              </w:rPr>
              <w:t>la</w:t>
            </w:r>
            <w:r>
              <w:rPr>
                <w:spacing w:val="-10"/>
                <w:sz w:val="14"/>
              </w:rPr>
              <w:t> </w:t>
            </w:r>
            <w:r>
              <w:rPr>
                <w:sz w:val="14"/>
              </w:rPr>
              <w:t>instalación</w:t>
            </w:r>
            <w:r>
              <w:rPr>
                <w:spacing w:val="-9"/>
                <w:sz w:val="14"/>
              </w:rPr>
              <w:t> </w:t>
            </w:r>
            <w:r>
              <w:rPr>
                <w:sz w:val="14"/>
              </w:rPr>
              <w:t>en</w:t>
            </w:r>
            <w:r>
              <w:rPr>
                <w:spacing w:val="-10"/>
                <w:sz w:val="14"/>
              </w:rPr>
              <w:t> </w:t>
            </w:r>
            <w:r>
              <w:rPr>
                <w:sz w:val="14"/>
              </w:rPr>
              <w:t>edificios</w:t>
            </w:r>
            <w:r>
              <w:rPr>
                <w:spacing w:val="-9"/>
                <w:sz w:val="14"/>
              </w:rPr>
              <w:t> </w:t>
            </w:r>
            <w:r>
              <w:rPr>
                <w:sz w:val="14"/>
              </w:rPr>
              <w:t>y</w:t>
            </w:r>
            <w:r>
              <w:rPr>
                <w:spacing w:val="-10"/>
                <w:sz w:val="14"/>
              </w:rPr>
              <w:t> </w:t>
            </w:r>
            <w:r>
              <w:rPr>
                <w:sz w:val="14"/>
              </w:rPr>
              <w:t>otras</w:t>
            </w:r>
            <w:r>
              <w:rPr>
                <w:spacing w:val="-9"/>
                <w:sz w:val="14"/>
              </w:rPr>
              <w:t> </w:t>
            </w:r>
            <w:r>
              <w:rPr>
                <w:sz w:val="14"/>
              </w:rPr>
              <w:t>obras</w:t>
            </w:r>
            <w:r>
              <w:rPr>
                <w:spacing w:val="-10"/>
                <w:sz w:val="14"/>
              </w:rPr>
              <w:t> </w:t>
            </w:r>
            <w:r>
              <w:rPr>
                <w:sz w:val="14"/>
              </w:rPr>
              <w:t>de</w:t>
            </w:r>
            <w:r>
              <w:rPr>
                <w:spacing w:val="-9"/>
                <w:sz w:val="14"/>
              </w:rPr>
              <w:t> </w:t>
            </w:r>
            <w:r>
              <w:rPr>
                <w:sz w:val="14"/>
              </w:rPr>
              <w:t>construcción</w:t>
            </w:r>
            <w:r>
              <w:rPr>
                <w:spacing w:val="-10"/>
                <w:sz w:val="14"/>
              </w:rPr>
              <w:t> </w:t>
            </w:r>
            <w:r>
              <w:rPr>
                <w:sz w:val="14"/>
              </w:rPr>
              <w:t>de:</w:t>
            </w:r>
          </w:p>
          <w:p>
            <w:pPr>
              <w:pStyle w:val="TableParagraph"/>
              <w:numPr>
                <w:ilvl w:val="0"/>
                <w:numId w:val="463"/>
              </w:numPr>
              <w:tabs>
                <w:tab w:pos="132" w:val="left" w:leader="none"/>
              </w:tabs>
              <w:spacing w:line="240" w:lineRule="auto" w:before="7" w:after="0"/>
              <w:ind w:left="131" w:right="0" w:hanging="96"/>
              <w:jc w:val="left"/>
              <w:rPr>
                <w:sz w:val="14"/>
              </w:rPr>
            </w:pPr>
            <w:r>
              <w:rPr>
                <w:sz w:val="14"/>
              </w:rPr>
              <w:t>fontanería y</w:t>
            </w:r>
            <w:r>
              <w:rPr>
                <w:spacing w:val="-13"/>
                <w:sz w:val="14"/>
              </w:rPr>
              <w:t> </w:t>
            </w:r>
            <w:r>
              <w:rPr>
                <w:sz w:val="14"/>
              </w:rPr>
              <w:t>sanitarios,</w:t>
            </w:r>
          </w:p>
          <w:p>
            <w:pPr>
              <w:pStyle w:val="TableParagraph"/>
              <w:numPr>
                <w:ilvl w:val="0"/>
                <w:numId w:val="463"/>
              </w:numPr>
              <w:tabs>
                <w:tab w:pos="132" w:val="left" w:leader="none"/>
              </w:tabs>
              <w:spacing w:line="240" w:lineRule="auto" w:before="7" w:after="0"/>
              <w:ind w:left="131" w:right="0" w:hanging="96"/>
              <w:jc w:val="left"/>
              <w:rPr>
                <w:sz w:val="14"/>
              </w:rPr>
            </w:pPr>
            <w:r>
              <w:rPr>
                <w:sz w:val="14"/>
              </w:rPr>
              <w:t>aparatos de</w:t>
            </w:r>
            <w:r>
              <w:rPr>
                <w:spacing w:val="-12"/>
                <w:sz w:val="14"/>
              </w:rPr>
              <w:t> </w:t>
            </w:r>
            <w:r>
              <w:rPr>
                <w:sz w:val="14"/>
              </w:rPr>
              <w:t>gas,</w:t>
            </w:r>
          </w:p>
          <w:p>
            <w:pPr>
              <w:pStyle w:val="TableParagraph"/>
              <w:numPr>
                <w:ilvl w:val="0"/>
                <w:numId w:val="463"/>
              </w:numPr>
              <w:tabs>
                <w:tab w:pos="132" w:val="left" w:leader="none"/>
              </w:tabs>
              <w:spacing w:line="240" w:lineRule="auto" w:before="7" w:after="0"/>
              <w:ind w:left="131" w:right="0" w:hanging="96"/>
              <w:jc w:val="left"/>
              <w:rPr>
                <w:sz w:val="14"/>
              </w:rPr>
            </w:pPr>
            <w:r>
              <w:rPr>
                <w:sz w:val="14"/>
              </w:rPr>
              <w:t>aparatos</w:t>
            </w:r>
            <w:r>
              <w:rPr>
                <w:spacing w:val="-18"/>
                <w:sz w:val="14"/>
              </w:rPr>
              <w:t> </w:t>
            </w:r>
            <w:r>
              <w:rPr>
                <w:sz w:val="14"/>
              </w:rPr>
              <w:t>y</w:t>
            </w:r>
            <w:r>
              <w:rPr>
                <w:spacing w:val="-18"/>
                <w:sz w:val="14"/>
              </w:rPr>
              <w:t> </w:t>
            </w:r>
            <w:r>
              <w:rPr>
                <w:sz w:val="14"/>
              </w:rPr>
              <w:t>conducciones</w:t>
            </w:r>
            <w:r>
              <w:rPr>
                <w:spacing w:val="-17"/>
                <w:sz w:val="14"/>
              </w:rPr>
              <w:t> </w:t>
            </w:r>
            <w:r>
              <w:rPr>
                <w:sz w:val="14"/>
              </w:rPr>
              <w:t>de</w:t>
            </w:r>
            <w:r>
              <w:rPr>
                <w:spacing w:val="-18"/>
                <w:sz w:val="14"/>
              </w:rPr>
              <w:t> </w:t>
            </w:r>
            <w:r>
              <w:rPr>
                <w:sz w:val="14"/>
              </w:rPr>
              <w:t>calefacción,</w:t>
            </w:r>
            <w:r>
              <w:rPr>
                <w:spacing w:val="-18"/>
                <w:sz w:val="14"/>
              </w:rPr>
              <w:t> </w:t>
            </w:r>
            <w:r>
              <w:rPr>
                <w:sz w:val="14"/>
              </w:rPr>
              <w:t>ventilación,</w:t>
            </w:r>
            <w:r>
              <w:rPr>
                <w:spacing w:val="-17"/>
                <w:sz w:val="14"/>
              </w:rPr>
              <w:t> </w:t>
            </w:r>
            <w:r>
              <w:rPr>
                <w:sz w:val="14"/>
              </w:rPr>
              <w:t>refrigeración</w:t>
            </w:r>
            <w:r>
              <w:rPr>
                <w:spacing w:val="-18"/>
                <w:sz w:val="14"/>
              </w:rPr>
              <w:t> </w:t>
            </w:r>
            <w:r>
              <w:rPr>
                <w:sz w:val="14"/>
              </w:rPr>
              <w:t>o</w:t>
            </w:r>
            <w:r>
              <w:rPr>
                <w:spacing w:val="-18"/>
                <w:sz w:val="14"/>
              </w:rPr>
              <w:t> </w:t>
            </w:r>
            <w:r>
              <w:rPr>
                <w:sz w:val="14"/>
              </w:rPr>
              <w:t>aire</w:t>
            </w:r>
            <w:r>
              <w:rPr>
                <w:spacing w:val="-17"/>
                <w:sz w:val="14"/>
              </w:rPr>
              <w:t> </w:t>
            </w:r>
            <w:r>
              <w:rPr>
                <w:sz w:val="14"/>
              </w:rPr>
              <w:t>acondicionado,</w:t>
            </w:r>
          </w:p>
          <w:p>
            <w:pPr>
              <w:pStyle w:val="TableParagraph"/>
              <w:numPr>
                <w:ilvl w:val="0"/>
                <w:numId w:val="463"/>
              </w:numPr>
              <w:tabs>
                <w:tab w:pos="132" w:val="left" w:leader="none"/>
              </w:tabs>
              <w:spacing w:line="249" w:lineRule="auto" w:before="7" w:after="0"/>
              <w:ind w:left="36" w:right="3317" w:firstLine="0"/>
              <w:jc w:val="left"/>
              <w:rPr>
                <w:sz w:val="14"/>
              </w:rPr>
            </w:pPr>
            <w:r>
              <w:rPr>
                <w:w w:val="90"/>
                <w:sz w:val="14"/>
              </w:rPr>
              <w:t>la</w:t>
            </w:r>
            <w:r>
              <w:rPr>
                <w:spacing w:val="-18"/>
                <w:w w:val="90"/>
                <w:sz w:val="14"/>
              </w:rPr>
              <w:t> </w:t>
            </w:r>
            <w:r>
              <w:rPr>
                <w:w w:val="90"/>
                <w:sz w:val="14"/>
              </w:rPr>
              <w:t>instalación</w:t>
            </w:r>
            <w:r>
              <w:rPr>
                <w:spacing w:val="-17"/>
                <w:w w:val="90"/>
                <w:sz w:val="14"/>
              </w:rPr>
              <w:t> </w:t>
            </w:r>
            <w:r>
              <w:rPr>
                <w:w w:val="90"/>
                <w:sz w:val="14"/>
              </w:rPr>
              <w:t>de</w:t>
            </w:r>
            <w:r>
              <w:rPr>
                <w:spacing w:val="-18"/>
                <w:w w:val="90"/>
                <w:sz w:val="14"/>
              </w:rPr>
              <w:t> </w:t>
            </w:r>
            <w:r>
              <w:rPr>
                <w:w w:val="90"/>
                <w:sz w:val="14"/>
              </w:rPr>
              <w:t>extintores</w:t>
            </w:r>
            <w:r>
              <w:rPr>
                <w:spacing w:val="-17"/>
                <w:w w:val="90"/>
                <w:sz w:val="14"/>
              </w:rPr>
              <w:t> </w:t>
            </w:r>
            <w:r>
              <w:rPr>
                <w:w w:val="90"/>
                <w:sz w:val="14"/>
              </w:rPr>
              <w:t>automáticos</w:t>
            </w:r>
            <w:r>
              <w:rPr>
                <w:spacing w:val="-17"/>
                <w:w w:val="90"/>
                <w:sz w:val="14"/>
              </w:rPr>
              <w:t> </w:t>
            </w:r>
            <w:r>
              <w:rPr>
                <w:w w:val="90"/>
                <w:sz w:val="14"/>
              </w:rPr>
              <w:t>de</w:t>
            </w:r>
            <w:r>
              <w:rPr>
                <w:spacing w:val="-18"/>
                <w:w w:val="90"/>
                <w:sz w:val="14"/>
              </w:rPr>
              <w:t> </w:t>
            </w:r>
            <w:r>
              <w:rPr>
                <w:w w:val="90"/>
                <w:sz w:val="14"/>
              </w:rPr>
              <w:t>incendios. </w:t>
            </w:r>
            <w:r>
              <w:rPr>
                <w:sz w:val="14"/>
              </w:rPr>
              <w:t>Esta clase no</w:t>
            </w:r>
            <w:r>
              <w:rPr>
                <w:spacing w:val="-27"/>
                <w:sz w:val="14"/>
              </w:rPr>
              <w:t> </w:t>
            </w:r>
            <w:r>
              <w:rPr>
                <w:sz w:val="14"/>
              </w:rPr>
              <w:t>comprende:</w:t>
            </w:r>
          </w:p>
          <w:p>
            <w:pPr>
              <w:pStyle w:val="TableParagraph"/>
              <w:numPr>
                <w:ilvl w:val="0"/>
                <w:numId w:val="463"/>
              </w:numPr>
              <w:tabs>
                <w:tab w:pos="132" w:val="left" w:leader="none"/>
              </w:tabs>
              <w:spacing w:line="157" w:lineRule="exact" w:before="1" w:after="0"/>
              <w:ind w:left="131" w:right="0" w:hanging="96"/>
              <w:jc w:val="left"/>
              <w:rPr>
                <w:sz w:val="14"/>
              </w:rPr>
            </w:pPr>
            <w:r>
              <w:rPr>
                <w:sz w:val="14"/>
              </w:rPr>
              <w:t>la</w:t>
            </w:r>
            <w:r>
              <w:rPr>
                <w:spacing w:val="-15"/>
                <w:sz w:val="14"/>
              </w:rPr>
              <w:t> </w:t>
            </w:r>
            <w:r>
              <w:rPr>
                <w:sz w:val="14"/>
              </w:rPr>
              <w:t>instalación</w:t>
            </w:r>
            <w:r>
              <w:rPr>
                <w:spacing w:val="-15"/>
                <w:sz w:val="14"/>
              </w:rPr>
              <w:t> </w:t>
            </w:r>
            <w:r>
              <w:rPr>
                <w:sz w:val="14"/>
              </w:rPr>
              <w:t>y</w:t>
            </w:r>
            <w:r>
              <w:rPr>
                <w:spacing w:val="-15"/>
                <w:sz w:val="14"/>
              </w:rPr>
              <w:t> </w:t>
            </w:r>
            <w:r>
              <w:rPr>
                <w:sz w:val="14"/>
              </w:rPr>
              <w:t>reparación</w:t>
            </w:r>
            <w:r>
              <w:rPr>
                <w:spacing w:val="-15"/>
                <w:sz w:val="14"/>
              </w:rPr>
              <w:t> </w:t>
            </w:r>
            <w:r>
              <w:rPr>
                <w:sz w:val="14"/>
              </w:rPr>
              <w:t>de</w:t>
            </w:r>
            <w:r>
              <w:rPr>
                <w:spacing w:val="-15"/>
                <w:sz w:val="14"/>
              </w:rPr>
              <w:t> </w:t>
            </w:r>
            <w:r>
              <w:rPr>
                <w:sz w:val="14"/>
              </w:rPr>
              <w:t>instalaciones</w:t>
            </w:r>
            <w:r>
              <w:rPr>
                <w:spacing w:val="-15"/>
                <w:sz w:val="14"/>
              </w:rPr>
              <w:t> </w:t>
            </w:r>
            <w:r>
              <w:rPr>
                <w:sz w:val="14"/>
              </w:rPr>
              <w:t>de</w:t>
            </w:r>
            <w:r>
              <w:rPr>
                <w:spacing w:val="-15"/>
                <w:sz w:val="14"/>
              </w:rPr>
              <w:t> </w:t>
            </w:r>
            <w:r>
              <w:rPr>
                <w:sz w:val="14"/>
              </w:rPr>
              <w:t>calefacción</w:t>
            </w:r>
            <w:r>
              <w:rPr>
                <w:spacing w:val="-15"/>
                <w:sz w:val="14"/>
              </w:rPr>
              <w:t> </w:t>
            </w:r>
            <w:r>
              <w:rPr>
                <w:sz w:val="14"/>
              </w:rPr>
              <w:t>eléctrica</w:t>
            </w:r>
            <w:r>
              <w:rPr>
                <w:spacing w:val="-15"/>
                <w:sz w:val="14"/>
              </w:rPr>
              <w:t> </w:t>
            </w:r>
            <w:r>
              <w:rPr>
                <w:sz w:val="14"/>
              </w:rPr>
              <w:t>(véase</w:t>
            </w:r>
            <w:r>
              <w:rPr>
                <w:spacing w:val="-15"/>
                <w:sz w:val="14"/>
              </w:rPr>
              <w:t> </w:t>
            </w:r>
            <w:r>
              <w:rPr>
                <w:sz w:val="14"/>
              </w:rPr>
              <w:t>45.31).</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rPr>
                <w:rFonts w:ascii="Times New Roman"/>
                <w:sz w:val="18"/>
              </w:rPr>
            </w:pPr>
          </w:p>
          <w:p>
            <w:pPr>
              <w:pStyle w:val="TableParagraph"/>
              <w:spacing w:before="161"/>
              <w:ind w:left="35"/>
              <w:rPr>
                <w:sz w:val="14"/>
              </w:rPr>
            </w:pPr>
            <w:r>
              <w:rPr>
                <w:sz w:val="14"/>
              </w:rPr>
              <w:t>45330000</w:t>
            </w:r>
          </w:p>
        </w:tc>
      </w:tr>
      <w:tr>
        <w:trPr>
          <w:trHeight w:val="49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spacing w:before="154"/>
              <w:ind w:right="38"/>
              <w:jc w:val="right"/>
              <w:rPr>
                <w:sz w:val="14"/>
              </w:rPr>
            </w:pPr>
            <w:r>
              <w:rPr>
                <w:w w:val="85"/>
                <w:sz w:val="14"/>
              </w:rPr>
              <w:t>45.34</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249" w:lineRule="auto" w:before="70"/>
              <w:ind w:left="38"/>
              <w:rPr>
                <w:sz w:val="14"/>
              </w:rPr>
            </w:pPr>
            <w:r>
              <w:rPr>
                <w:w w:val="90"/>
                <w:sz w:val="14"/>
              </w:rPr>
              <w:t>Otras instalaciones de </w:t>
            </w:r>
            <w:r>
              <w:rPr>
                <w:sz w:val="14"/>
              </w:rPr>
              <w:t>edificios y obras.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4"/>
              </w:numPr>
              <w:tabs>
                <w:tab w:pos="132" w:val="left" w:leader="none"/>
              </w:tabs>
              <w:spacing w:line="240" w:lineRule="auto" w:before="7" w:after="0"/>
              <w:ind w:left="131" w:right="0" w:hanging="96"/>
              <w:jc w:val="left"/>
              <w:rPr>
                <w:sz w:val="14"/>
              </w:rPr>
            </w:pPr>
            <w:r>
              <w:rPr>
                <w:sz w:val="14"/>
              </w:rPr>
              <w:t>la</w:t>
            </w:r>
            <w:r>
              <w:rPr>
                <w:spacing w:val="-20"/>
                <w:sz w:val="14"/>
              </w:rPr>
              <w:t> </w:t>
            </w:r>
            <w:r>
              <w:rPr>
                <w:sz w:val="14"/>
              </w:rPr>
              <w:t>instalación</w:t>
            </w:r>
            <w:r>
              <w:rPr>
                <w:spacing w:val="-21"/>
                <w:sz w:val="14"/>
              </w:rPr>
              <w:t> </w:t>
            </w:r>
            <w:r>
              <w:rPr>
                <w:sz w:val="14"/>
              </w:rPr>
              <w:t>de</w:t>
            </w:r>
            <w:r>
              <w:rPr>
                <w:spacing w:val="-20"/>
                <w:sz w:val="14"/>
              </w:rPr>
              <w:t> </w:t>
            </w:r>
            <w:r>
              <w:rPr>
                <w:sz w:val="14"/>
              </w:rPr>
              <w:t>sistemas</w:t>
            </w:r>
            <w:r>
              <w:rPr>
                <w:spacing w:val="-20"/>
                <w:sz w:val="14"/>
              </w:rPr>
              <w:t> </w:t>
            </w:r>
            <w:r>
              <w:rPr>
                <w:sz w:val="14"/>
              </w:rPr>
              <w:t>de</w:t>
            </w:r>
            <w:r>
              <w:rPr>
                <w:spacing w:val="-20"/>
                <w:sz w:val="14"/>
              </w:rPr>
              <w:t> </w:t>
            </w:r>
            <w:r>
              <w:rPr>
                <w:sz w:val="14"/>
              </w:rPr>
              <w:t>iluminación</w:t>
            </w:r>
            <w:r>
              <w:rPr>
                <w:spacing w:val="-20"/>
                <w:sz w:val="14"/>
              </w:rPr>
              <w:t> </w:t>
            </w:r>
            <w:r>
              <w:rPr>
                <w:sz w:val="14"/>
              </w:rPr>
              <w:t>y</w:t>
            </w:r>
            <w:r>
              <w:rPr>
                <w:spacing w:val="-20"/>
                <w:sz w:val="14"/>
              </w:rPr>
              <w:t> </w:t>
            </w:r>
            <w:r>
              <w:rPr>
                <w:sz w:val="14"/>
              </w:rPr>
              <w:t>señalización</w:t>
            </w:r>
            <w:r>
              <w:rPr>
                <w:spacing w:val="-20"/>
                <w:sz w:val="14"/>
              </w:rPr>
              <w:t> </w:t>
            </w:r>
            <w:r>
              <w:rPr>
                <w:sz w:val="14"/>
              </w:rPr>
              <w:t>de</w:t>
            </w:r>
            <w:r>
              <w:rPr>
                <w:spacing w:val="-20"/>
                <w:sz w:val="14"/>
              </w:rPr>
              <w:t> </w:t>
            </w:r>
            <w:r>
              <w:rPr>
                <w:sz w:val="14"/>
              </w:rPr>
              <w:t>carreteras,</w:t>
            </w:r>
            <w:r>
              <w:rPr>
                <w:spacing w:val="-20"/>
                <w:sz w:val="14"/>
              </w:rPr>
              <w:t> </w:t>
            </w:r>
            <w:r>
              <w:rPr>
                <w:sz w:val="14"/>
              </w:rPr>
              <w:t>puertos</w:t>
            </w:r>
            <w:r>
              <w:rPr>
                <w:spacing w:val="-20"/>
                <w:sz w:val="14"/>
              </w:rPr>
              <w:t> </w:t>
            </w:r>
            <w:r>
              <w:rPr>
                <w:sz w:val="14"/>
              </w:rPr>
              <w:t>y</w:t>
            </w:r>
            <w:r>
              <w:rPr>
                <w:spacing w:val="-20"/>
                <w:sz w:val="14"/>
              </w:rPr>
              <w:t> </w:t>
            </w:r>
            <w:r>
              <w:rPr>
                <w:sz w:val="14"/>
              </w:rPr>
              <w:t>aeropuertos,</w:t>
            </w:r>
          </w:p>
          <w:p>
            <w:pPr>
              <w:pStyle w:val="TableParagraph"/>
              <w:numPr>
                <w:ilvl w:val="0"/>
                <w:numId w:val="464"/>
              </w:numPr>
              <w:tabs>
                <w:tab w:pos="132" w:val="left" w:leader="none"/>
              </w:tabs>
              <w:spacing w:line="157" w:lineRule="exact" w:before="7" w:after="0"/>
              <w:ind w:left="131" w:right="0" w:hanging="96"/>
              <w:jc w:val="left"/>
              <w:rPr>
                <w:sz w:val="14"/>
              </w:rPr>
            </w:pPr>
            <w:r>
              <w:rPr>
                <w:w w:val="95"/>
                <w:sz w:val="14"/>
              </w:rPr>
              <w:t>la</w:t>
            </w:r>
            <w:r>
              <w:rPr>
                <w:spacing w:val="-25"/>
                <w:w w:val="95"/>
                <w:sz w:val="14"/>
              </w:rPr>
              <w:t> </w:t>
            </w:r>
            <w:r>
              <w:rPr>
                <w:w w:val="95"/>
                <w:sz w:val="14"/>
              </w:rPr>
              <w:t>instalación</w:t>
            </w:r>
            <w:r>
              <w:rPr>
                <w:spacing w:val="-25"/>
                <w:w w:val="95"/>
                <w:sz w:val="14"/>
              </w:rPr>
              <w:t> </w:t>
            </w:r>
            <w:r>
              <w:rPr>
                <w:w w:val="95"/>
                <w:sz w:val="14"/>
              </w:rPr>
              <w:t>en</w:t>
            </w:r>
            <w:r>
              <w:rPr>
                <w:spacing w:val="-25"/>
                <w:w w:val="95"/>
                <w:sz w:val="14"/>
              </w:rPr>
              <w:t> </w:t>
            </w:r>
            <w:r>
              <w:rPr>
                <w:w w:val="95"/>
                <w:sz w:val="14"/>
              </w:rPr>
              <w:t>edificios</w:t>
            </w:r>
            <w:r>
              <w:rPr>
                <w:spacing w:val="-25"/>
                <w:w w:val="95"/>
                <w:sz w:val="14"/>
              </w:rPr>
              <w:t> </w:t>
            </w:r>
            <w:r>
              <w:rPr>
                <w:w w:val="95"/>
                <w:sz w:val="14"/>
              </w:rPr>
              <w:t>y</w:t>
            </w:r>
            <w:r>
              <w:rPr>
                <w:spacing w:val="-25"/>
                <w:w w:val="95"/>
                <w:sz w:val="14"/>
              </w:rPr>
              <w:t> </w:t>
            </w:r>
            <w:r>
              <w:rPr>
                <w:w w:val="95"/>
                <w:sz w:val="14"/>
              </w:rPr>
              <w:t>otras</w:t>
            </w:r>
            <w:r>
              <w:rPr>
                <w:spacing w:val="-25"/>
                <w:w w:val="95"/>
                <w:sz w:val="14"/>
              </w:rPr>
              <w:t> </w:t>
            </w:r>
            <w:r>
              <w:rPr>
                <w:w w:val="95"/>
                <w:sz w:val="14"/>
              </w:rPr>
              <w:t>obras</w:t>
            </w:r>
            <w:r>
              <w:rPr>
                <w:spacing w:val="-25"/>
                <w:w w:val="95"/>
                <w:sz w:val="14"/>
              </w:rPr>
              <w:t> </w:t>
            </w:r>
            <w:r>
              <w:rPr>
                <w:w w:val="95"/>
                <w:sz w:val="14"/>
              </w:rPr>
              <w:t>de</w:t>
            </w:r>
            <w:r>
              <w:rPr>
                <w:spacing w:val="-25"/>
                <w:w w:val="95"/>
                <w:sz w:val="14"/>
              </w:rPr>
              <w:t> </w:t>
            </w:r>
            <w:r>
              <w:rPr>
                <w:w w:val="95"/>
                <w:sz w:val="14"/>
              </w:rPr>
              <w:t>construcción</w:t>
            </w:r>
            <w:r>
              <w:rPr>
                <w:spacing w:val="-24"/>
                <w:w w:val="95"/>
                <w:sz w:val="14"/>
              </w:rPr>
              <w:t> </w:t>
            </w:r>
            <w:r>
              <w:rPr>
                <w:w w:val="95"/>
                <w:sz w:val="14"/>
              </w:rPr>
              <w:t>de</w:t>
            </w:r>
            <w:r>
              <w:rPr>
                <w:spacing w:val="-25"/>
                <w:w w:val="95"/>
                <w:sz w:val="14"/>
              </w:rPr>
              <w:t> </w:t>
            </w:r>
            <w:r>
              <w:rPr>
                <w:w w:val="95"/>
                <w:sz w:val="14"/>
              </w:rPr>
              <w:t>aparatos</w:t>
            </w:r>
            <w:r>
              <w:rPr>
                <w:spacing w:val="-25"/>
                <w:w w:val="95"/>
                <w:sz w:val="14"/>
              </w:rPr>
              <w:t> </w:t>
            </w:r>
            <w:r>
              <w:rPr>
                <w:w w:val="95"/>
                <w:sz w:val="14"/>
              </w:rPr>
              <w:t>y</w:t>
            </w:r>
            <w:r>
              <w:rPr>
                <w:spacing w:val="-25"/>
                <w:w w:val="95"/>
                <w:sz w:val="14"/>
              </w:rPr>
              <w:t> </w:t>
            </w:r>
            <w:r>
              <w:rPr>
                <w:w w:val="95"/>
                <w:sz w:val="14"/>
              </w:rPr>
              <w:t>dispositivos</w:t>
            </w:r>
            <w:r>
              <w:rPr>
                <w:spacing w:val="-25"/>
                <w:w w:val="95"/>
                <w:sz w:val="14"/>
              </w:rPr>
              <w:t> </w:t>
            </w:r>
            <w:r>
              <w:rPr>
                <w:w w:val="95"/>
                <w:sz w:val="14"/>
              </w:rPr>
              <w:t>no</w:t>
            </w:r>
            <w:r>
              <w:rPr>
                <w:spacing w:val="-25"/>
                <w:w w:val="95"/>
                <w:sz w:val="14"/>
              </w:rPr>
              <w:t> </w:t>
            </w:r>
            <w:r>
              <w:rPr>
                <w:w w:val="95"/>
                <w:sz w:val="14"/>
              </w:rPr>
              <w:t>clasificados</w:t>
            </w:r>
            <w:r>
              <w:rPr>
                <w:spacing w:val="-25"/>
                <w:w w:val="95"/>
                <w:sz w:val="14"/>
              </w:rPr>
              <w:t> </w:t>
            </w:r>
            <w:r>
              <w:rPr>
                <w:w w:val="95"/>
                <w:sz w:val="14"/>
              </w:rPr>
              <w:t>en</w:t>
            </w:r>
            <w:r>
              <w:rPr>
                <w:spacing w:val="-25"/>
                <w:w w:val="95"/>
                <w:sz w:val="14"/>
              </w:rPr>
              <w:t> </w:t>
            </w:r>
            <w:r>
              <w:rPr>
                <w:w w:val="95"/>
                <w:sz w:val="14"/>
              </w:rPr>
              <w:t>otra</w:t>
            </w:r>
            <w:r>
              <w:rPr>
                <w:spacing w:val="-25"/>
                <w:w w:val="95"/>
                <w:sz w:val="14"/>
              </w:rPr>
              <w:t> </w:t>
            </w:r>
            <w:r>
              <w:rPr>
                <w:w w:val="95"/>
                <w:sz w:val="14"/>
              </w:rPr>
              <w:t>parte.</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5"/>
              <w:rPr>
                <w:sz w:val="14"/>
              </w:rPr>
            </w:pPr>
            <w:r>
              <w:rPr>
                <w:sz w:val="14"/>
              </w:rPr>
              <w:t>45234115</w:t>
            </w:r>
          </w:p>
          <w:p>
            <w:pPr>
              <w:pStyle w:val="TableParagraph"/>
              <w:spacing w:before="7"/>
              <w:ind w:left="35"/>
              <w:rPr>
                <w:sz w:val="14"/>
              </w:rPr>
            </w:pPr>
            <w:r>
              <w:rPr>
                <w:sz w:val="14"/>
              </w:rPr>
              <w:t>45316000</w:t>
            </w:r>
          </w:p>
          <w:p>
            <w:pPr>
              <w:pStyle w:val="TableParagraph"/>
              <w:spacing w:line="157" w:lineRule="exact" w:before="7"/>
              <w:ind w:left="35"/>
              <w:rPr>
                <w:sz w:val="14"/>
              </w:rPr>
            </w:pPr>
            <w:r>
              <w:rPr>
                <w:sz w:val="14"/>
              </w:rPr>
              <w:t>45340000</w:t>
            </w:r>
          </w:p>
        </w:tc>
      </w:tr>
      <w:tr>
        <w:trPr>
          <w:trHeight w:val="331"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spacing w:before="70"/>
              <w:ind w:left="11" w:right="8"/>
              <w:jc w:val="center"/>
              <w:rPr>
                <w:sz w:val="14"/>
              </w:rPr>
            </w:pPr>
            <w:r>
              <w:rPr>
                <w:sz w:val="14"/>
              </w:rPr>
              <w:t>45.4</w:t>
            </w: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8"/>
              <w:rPr>
                <w:sz w:val="14"/>
              </w:rPr>
            </w:pPr>
            <w:r>
              <w:rPr>
                <w:sz w:val="14"/>
              </w:rPr>
              <w:t>Acabado de edificios y</w:t>
            </w:r>
          </w:p>
          <w:p>
            <w:pPr>
              <w:pStyle w:val="TableParagraph"/>
              <w:spacing w:line="157" w:lineRule="exact" w:before="7"/>
              <w:ind w:left="38"/>
              <w:rPr>
                <w:sz w:val="14"/>
              </w:rPr>
            </w:pPr>
            <w:r>
              <w:rPr>
                <w:sz w:val="14"/>
              </w:rPr>
              <w:t>obras.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70"/>
              <w:ind w:left="35"/>
              <w:rPr>
                <w:sz w:val="14"/>
              </w:rPr>
            </w:pPr>
            <w:r>
              <w:rPr>
                <w:sz w:val="14"/>
              </w:rPr>
              <w:t>45400000</w:t>
            </w:r>
          </w:p>
        </w:tc>
      </w:tr>
      <w:tr>
        <w:trPr>
          <w:trHeight w:val="49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spacing w:before="154"/>
              <w:ind w:right="38"/>
              <w:jc w:val="right"/>
              <w:rPr>
                <w:sz w:val="14"/>
              </w:rPr>
            </w:pPr>
            <w:r>
              <w:rPr>
                <w:w w:val="85"/>
                <w:sz w:val="14"/>
              </w:rPr>
              <w:t>45.41</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before="154"/>
              <w:ind w:left="38"/>
              <w:rPr>
                <w:sz w:val="14"/>
              </w:rPr>
            </w:pPr>
            <w:r>
              <w:rPr>
                <w:sz w:val="14"/>
              </w:rPr>
              <w:t>Revocamiento.</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spacing w:line="170" w:lineRule="atLeast"/>
              <w:ind w:left="36" w:right="4"/>
              <w:rPr>
                <w:sz w:val="14"/>
              </w:rPr>
            </w:pPr>
            <w:r>
              <w:rPr>
                <w:w w:val="90"/>
                <w:sz w:val="14"/>
              </w:rPr>
              <w:t>–</w:t>
            </w:r>
            <w:r>
              <w:rPr>
                <w:spacing w:val="-12"/>
                <w:w w:val="90"/>
                <w:sz w:val="14"/>
              </w:rPr>
              <w:t> </w:t>
            </w:r>
            <w:r>
              <w:rPr>
                <w:w w:val="90"/>
                <w:sz w:val="14"/>
              </w:rPr>
              <w:t>la</w:t>
            </w:r>
            <w:r>
              <w:rPr>
                <w:spacing w:val="-12"/>
                <w:w w:val="90"/>
                <w:sz w:val="14"/>
              </w:rPr>
              <w:t> </w:t>
            </w:r>
            <w:r>
              <w:rPr>
                <w:w w:val="90"/>
                <w:sz w:val="14"/>
              </w:rPr>
              <w:t>aplicación,</w:t>
            </w:r>
            <w:r>
              <w:rPr>
                <w:spacing w:val="-12"/>
                <w:w w:val="90"/>
                <w:sz w:val="14"/>
              </w:rPr>
              <w:t> </w:t>
            </w:r>
            <w:r>
              <w:rPr>
                <w:w w:val="90"/>
                <w:sz w:val="14"/>
              </w:rPr>
              <w:t>en</w:t>
            </w:r>
            <w:r>
              <w:rPr>
                <w:spacing w:val="-12"/>
                <w:w w:val="90"/>
                <w:sz w:val="14"/>
              </w:rPr>
              <w:t> </w:t>
            </w:r>
            <w:r>
              <w:rPr>
                <w:w w:val="90"/>
                <w:sz w:val="14"/>
              </w:rPr>
              <w:t>edificios</w:t>
            </w:r>
            <w:r>
              <w:rPr>
                <w:spacing w:val="-12"/>
                <w:w w:val="90"/>
                <w:sz w:val="14"/>
              </w:rPr>
              <w:t> </w:t>
            </w:r>
            <w:r>
              <w:rPr>
                <w:w w:val="90"/>
                <w:sz w:val="14"/>
              </w:rPr>
              <w:t>y</w:t>
            </w:r>
            <w:r>
              <w:rPr>
                <w:spacing w:val="-12"/>
                <w:w w:val="90"/>
                <w:sz w:val="14"/>
              </w:rPr>
              <w:t> </w:t>
            </w:r>
            <w:r>
              <w:rPr>
                <w:w w:val="90"/>
                <w:sz w:val="14"/>
              </w:rPr>
              <w:t>otras</w:t>
            </w:r>
            <w:r>
              <w:rPr>
                <w:spacing w:val="-12"/>
                <w:w w:val="90"/>
                <w:sz w:val="14"/>
              </w:rPr>
              <w:t> </w:t>
            </w:r>
            <w:r>
              <w:rPr>
                <w:w w:val="90"/>
                <w:sz w:val="14"/>
              </w:rPr>
              <w:t>obras</w:t>
            </w:r>
            <w:r>
              <w:rPr>
                <w:spacing w:val="-12"/>
                <w:w w:val="90"/>
                <w:sz w:val="14"/>
              </w:rPr>
              <w:t> </w:t>
            </w:r>
            <w:r>
              <w:rPr>
                <w:w w:val="90"/>
                <w:sz w:val="14"/>
              </w:rPr>
              <w:t>de</w:t>
            </w:r>
            <w:r>
              <w:rPr>
                <w:spacing w:val="-12"/>
                <w:w w:val="90"/>
                <w:sz w:val="14"/>
              </w:rPr>
              <w:t> </w:t>
            </w:r>
            <w:r>
              <w:rPr>
                <w:w w:val="90"/>
                <w:sz w:val="14"/>
              </w:rPr>
              <w:t>construcción,</w:t>
            </w:r>
            <w:r>
              <w:rPr>
                <w:spacing w:val="-12"/>
                <w:w w:val="90"/>
                <w:sz w:val="14"/>
              </w:rPr>
              <w:t> </w:t>
            </w:r>
            <w:r>
              <w:rPr>
                <w:w w:val="90"/>
                <w:sz w:val="14"/>
              </w:rPr>
              <w:t>de</w:t>
            </w:r>
            <w:r>
              <w:rPr>
                <w:spacing w:val="-12"/>
                <w:w w:val="90"/>
                <w:sz w:val="14"/>
              </w:rPr>
              <w:t> </w:t>
            </w:r>
            <w:r>
              <w:rPr>
                <w:w w:val="90"/>
                <w:sz w:val="14"/>
              </w:rPr>
              <w:t>yeso</w:t>
            </w:r>
            <w:r>
              <w:rPr>
                <w:spacing w:val="-12"/>
                <w:w w:val="90"/>
                <w:sz w:val="14"/>
              </w:rPr>
              <w:t> </w:t>
            </w:r>
            <w:r>
              <w:rPr>
                <w:w w:val="90"/>
                <w:sz w:val="14"/>
              </w:rPr>
              <w:t>y</w:t>
            </w:r>
            <w:r>
              <w:rPr>
                <w:spacing w:val="-11"/>
                <w:w w:val="90"/>
                <w:sz w:val="14"/>
              </w:rPr>
              <w:t> </w:t>
            </w:r>
            <w:r>
              <w:rPr>
                <w:w w:val="90"/>
                <w:sz w:val="14"/>
              </w:rPr>
              <w:t>estuco</w:t>
            </w:r>
            <w:r>
              <w:rPr>
                <w:spacing w:val="-12"/>
                <w:w w:val="90"/>
                <w:sz w:val="14"/>
              </w:rPr>
              <w:t> </w:t>
            </w:r>
            <w:r>
              <w:rPr>
                <w:w w:val="90"/>
                <w:sz w:val="14"/>
              </w:rPr>
              <w:t>interior</w:t>
            </w:r>
            <w:r>
              <w:rPr>
                <w:spacing w:val="-12"/>
                <w:w w:val="90"/>
                <w:sz w:val="14"/>
              </w:rPr>
              <w:t> </w:t>
            </w:r>
            <w:r>
              <w:rPr>
                <w:w w:val="90"/>
                <w:sz w:val="14"/>
              </w:rPr>
              <w:t>y</w:t>
            </w:r>
            <w:r>
              <w:rPr>
                <w:spacing w:val="-12"/>
                <w:w w:val="90"/>
                <w:sz w:val="14"/>
              </w:rPr>
              <w:t> </w:t>
            </w:r>
            <w:r>
              <w:rPr>
                <w:w w:val="90"/>
                <w:sz w:val="14"/>
              </w:rPr>
              <w:t>exterior,</w:t>
            </w:r>
            <w:r>
              <w:rPr>
                <w:spacing w:val="-12"/>
                <w:w w:val="90"/>
                <w:sz w:val="14"/>
              </w:rPr>
              <w:t> </w:t>
            </w:r>
            <w:r>
              <w:rPr>
                <w:w w:val="90"/>
                <w:sz w:val="14"/>
              </w:rPr>
              <w:t>incluidos</w:t>
            </w:r>
            <w:r>
              <w:rPr>
                <w:spacing w:val="-12"/>
                <w:w w:val="90"/>
                <w:sz w:val="14"/>
              </w:rPr>
              <w:t> </w:t>
            </w:r>
            <w:r>
              <w:rPr>
                <w:w w:val="90"/>
                <w:sz w:val="14"/>
              </w:rPr>
              <w:t>los </w:t>
            </w:r>
            <w:r>
              <w:rPr>
                <w:w w:val="95"/>
                <w:sz w:val="14"/>
              </w:rPr>
              <w:t>materiales de listado</w:t>
            </w:r>
            <w:r>
              <w:rPr>
                <w:spacing w:val="-15"/>
                <w:w w:val="95"/>
                <w:sz w:val="14"/>
              </w:rPr>
              <w:t> </w:t>
            </w:r>
            <w:r>
              <w:rPr>
                <w:w w:val="95"/>
                <w:sz w:val="14"/>
              </w:rPr>
              <w:t>correspondientes.</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154"/>
              <w:ind w:left="35"/>
              <w:rPr>
                <w:sz w:val="14"/>
              </w:rPr>
            </w:pPr>
            <w:r>
              <w:rPr>
                <w:sz w:val="14"/>
              </w:rPr>
              <w:t>45410000</w:t>
            </w:r>
          </w:p>
        </w:tc>
      </w:tr>
      <w:tr>
        <w:trPr>
          <w:trHeight w:val="1003"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right="38"/>
              <w:jc w:val="right"/>
              <w:rPr>
                <w:sz w:val="14"/>
              </w:rPr>
            </w:pPr>
            <w:r>
              <w:rPr>
                <w:w w:val="85"/>
                <w:sz w:val="14"/>
              </w:rPr>
              <w:t>45.42</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left="38"/>
              <w:rPr>
                <w:sz w:val="14"/>
              </w:rPr>
            </w:pPr>
            <w:r>
              <w:rPr>
                <w:w w:val="90"/>
                <w:sz w:val="14"/>
              </w:rPr>
              <w:t>Instalaciones de</w:t>
            </w:r>
            <w:r>
              <w:rPr>
                <w:spacing w:val="-29"/>
                <w:w w:val="90"/>
                <w:sz w:val="14"/>
              </w:rPr>
              <w:t> </w:t>
            </w:r>
            <w:r>
              <w:rPr>
                <w:w w:val="90"/>
                <w:sz w:val="14"/>
              </w:rPr>
              <w:t>carpintería.</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5"/>
              </w:numPr>
              <w:tabs>
                <w:tab w:pos="132" w:val="left" w:leader="none"/>
              </w:tabs>
              <w:spacing w:line="249" w:lineRule="auto" w:before="7" w:after="0"/>
              <w:ind w:left="36" w:right="164" w:firstLine="0"/>
              <w:jc w:val="left"/>
              <w:rPr>
                <w:sz w:val="14"/>
              </w:rPr>
            </w:pPr>
            <w:r>
              <w:rPr>
                <w:w w:val="90"/>
                <w:sz w:val="14"/>
              </w:rPr>
              <w:t>la</w:t>
            </w:r>
            <w:r>
              <w:rPr>
                <w:spacing w:val="-14"/>
                <w:w w:val="90"/>
                <w:sz w:val="14"/>
              </w:rPr>
              <w:t> </w:t>
            </w:r>
            <w:r>
              <w:rPr>
                <w:w w:val="90"/>
                <w:sz w:val="14"/>
              </w:rPr>
              <w:t>instalación</w:t>
            </w:r>
            <w:r>
              <w:rPr>
                <w:spacing w:val="-13"/>
                <w:w w:val="90"/>
                <w:sz w:val="14"/>
              </w:rPr>
              <w:t> </w:t>
            </w:r>
            <w:r>
              <w:rPr>
                <w:w w:val="90"/>
                <w:sz w:val="14"/>
              </w:rPr>
              <w:t>de</w:t>
            </w:r>
            <w:r>
              <w:rPr>
                <w:spacing w:val="-13"/>
                <w:w w:val="90"/>
                <w:sz w:val="14"/>
              </w:rPr>
              <w:t> </w:t>
            </w:r>
            <w:r>
              <w:rPr>
                <w:w w:val="90"/>
                <w:sz w:val="14"/>
              </w:rPr>
              <w:t>puertas,</w:t>
            </w:r>
            <w:r>
              <w:rPr>
                <w:spacing w:val="-14"/>
                <w:w w:val="90"/>
                <w:sz w:val="14"/>
              </w:rPr>
              <w:t> </w:t>
            </w:r>
            <w:r>
              <w:rPr>
                <w:w w:val="90"/>
                <w:sz w:val="14"/>
              </w:rPr>
              <w:t>ventanas</w:t>
            </w:r>
            <w:r>
              <w:rPr>
                <w:spacing w:val="-13"/>
                <w:w w:val="90"/>
                <w:sz w:val="14"/>
              </w:rPr>
              <w:t> </w:t>
            </w:r>
            <w:r>
              <w:rPr>
                <w:w w:val="90"/>
                <w:sz w:val="14"/>
              </w:rPr>
              <w:t>y</w:t>
            </w:r>
            <w:r>
              <w:rPr>
                <w:spacing w:val="-13"/>
                <w:w w:val="90"/>
                <w:sz w:val="14"/>
              </w:rPr>
              <w:t> </w:t>
            </w:r>
            <w:r>
              <w:rPr>
                <w:w w:val="90"/>
                <w:sz w:val="14"/>
              </w:rPr>
              <w:t>marcos,</w:t>
            </w:r>
            <w:r>
              <w:rPr>
                <w:spacing w:val="-13"/>
                <w:w w:val="90"/>
                <w:sz w:val="14"/>
              </w:rPr>
              <w:t> </w:t>
            </w:r>
            <w:r>
              <w:rPr>
                <w:w w:val="90"/>
                <w:sz w:val="14"/>
              </w:rPr>
              <w:t>cocinas</w:t>
            </w:r>
            <w:r>
              <w:rPr>
                <w:spacing w:val="-14"/>
                <w:w w:val="90"/>
                <w:sz w:val="14"/>
              </w:rPr>
              <w:t> </w:t>
            </w:r>
            <w:r>
              <w:rPr>
                <w:w w:val="90"/>
                <w:sz w:val="14"/>
              </w:rPr>
              <w:t>equipadas,</w:t>
            </w:r>
            <w:r>
              <w:rPr>
                <w:spacing w:val="-13"/>
                <w:w w:val="90"/>
                <w:sz w:val="14"/>
              </w:rPr>
              <w:t> </w:t>
            </w:r>
            <w:r>
              <w:rPr>
                <w:w w:val="90"/>
                <w:sz w:val="14"/>
              </w:rPr>
              <w:t>escaleras,</w:t>
            </w:r>
            <w:r>
              <w:rPr>
                <w:spacing w:val="-13"/>
                <w:w w:val="90"/>
                <w:sz w:val="14"/>
              </w:rPr>
              <w:t> </w:t>
            </w:r>
            <w:r>
              <w:rPr>
                <w:w w:val="90"/>
                <w:sz w:val="14"/>
              </w:rPr>
              <w:t>mobiliario</w:t>
            </w:r>
            <w:r>
              <w:rPr>
                <w:spacing w:val="-13"/>
                <w:w w:val="90"/>
                <w:sz w:val="14"/>
              </w:rPr>
              <w:t> </w:t>
            </w:r>
            <w:r>
              <w:rPr>
                <w:w w:val="90"/>
                <w:sz w:val="14"/>
              </w:rPr>
              <w:t>de</w:t>
            </w:r>
            <w:r>
              <w:rPr>
                <w:spacing w:val="-14"/>
                <w:w w:val="90"/>
                <w:sz w:val="14"/>
              </w:rPr>
              <w:t> </w:t>
            </w:r>
            <w:r>
              <w:rPr>
                <w:w w:val="90"/>
                <w:sz w:val="14"/>
              </w:rPr>
              <w:t>trabajo</w:t>
            </w:r>
            <w:r>
              <w:rPr>
                <w:spacing w:val="-13"/>
                <w:w w:val="90"/>
                <w:sz w:val="14"/>
              </w:rPr>
              <w:t> </w:t>
            </w:r>
            <w:r>
              <w:rPr>
                <w:w w:val="90"/>
                <w:sz w:val="14"/>
              </w:rPr>
              <w:t>y</w:t>
            </w:r>
            <w:r>
              <w:rPr>
                <w:spacing w:val="-13"/>
                <w:w w:val="90"/>
                <w:sz w:val="14"/>
              </w:rPr>
              <w:t> </w:t>
            </w:r>
            <w:r>
              <w:rPr>
                <w:w w:val="90"/>
                <w:sz w:val="14"/>
              </w:rPr>
              <w:t>similares</w:t>
            </w:r>
            <w:r>
              <w:rPr>
                <w:spacing w:val="-13"/>
                <w:w w:val="90"/>
                <w:sz w:val="14"/>
              </w:rPr>
              <w:t> </w:t>
            </w:r>
            <w:r>
              <w:rPr>
                <w:w w:val="90"/>
                <w:sz w:val="14"/>
              </w:rPr>
              <w:t>de </w:t>
            </w:r>
            <w:r>
              <w:rPr>
                <w:w w:val="95"/>
                <w:sz w:val="14"/>
              </w:rPr>
              <w:t>madera</w:t>
            </w:r>
            <w:r>
              <w:rPr>
                <w:spacing w:val="-7"/>
                <w:w w:val="95"/>
                <w:sz w:val="14"/>
              </w:rPr>
              <w:t> </w:t>
            </w:r>
            <w:r>
              <w:rPr>
                <w:w w:val="95"/>
                <w:sz w:val="14"/>
              </w:rPr>
              <w:t>u</w:t>
            </w:r>
            <w:r>
              <w:rPr>
                <w:spacing w:val="-6"/>
                <w:w w:val="95"/>
                <w:sz w:val="14"/>
              </w:rPr>
              <w:t> </w:t>
            </w:r>
            <w:r>
              <w:rPr>
                <w:w w:val="95"/>
                <w:sz w:val="14"/>
              </w:rPr>
              <w:t>otros</w:t>
            </w:r>
            <w:r>
              <w:rPr>
                <w:spacing w:val="-6"/>
                <w:w w:val="95"/>
                <w:sz w:val="14"/>
              </w:rPr>
              <w:t> </w:t>
            </w:r>
            <w:r>
              <w:rPr>
                <w:w w:val="95"/>
                <w:sz w:val="14"/>
              </w:rPr>
              <w:t>materiales,</w:t>
            </w:r>
            <w:r>
              <w:rPr>
                <w:spacing w:val="-6"/>
                <w:w w:val="95"/>
                <w:sz w:val="14"/>
              </w:rPr>
              <w:t> </w:t>
            </w:r>
            <w:r>
              <w:rPr>
                <w:w w:val="95"/>
                <w:sz w:val="14"/>
              </w:rPr>
              <w:t>que</w:t>
            </w:r>
            <w:r>
              <w:rPr>
                <w:spacing w:val="-6"/>
                <w:w w:val="95"/>
                <w:sz w:val="14"/>
              </w:rPr>
              <w:t> </w:t>
            </w:r>
            <w:r>
              <w:rPr>
                <w:w w:val="95"/>
                <w:sz w:val="14"/>
              </w:rPr>
              <w:t>no</w:t>
            </w:r>
            <w:r>
              <w:rPr>
                <w:spacing w:val="-7"/>
                <w:w w:val="95"/>
                <w:sz w:val="14"/>
              </w:rPr>
              <w:t> </w:t>
            </w:r>
            <w:r>
              <w:rPr>
                <w:w w:val="95"/>
                <w:sz w:val="14"/>
              </w:rPr>
              <w:t>sean</w:t>
            </w:r>
            <w:r>
              <w:rPr>
                <w:spacing w:val="-6"/>
                <w:w w:val="95"/>
                <w:sz w:val="14"/>
              </w:rPr>
              <w:t> </w:t>
            </w:r>
            <w:r>
              <w:rPr>
                <w:w w:val="95"/>
                <w:sz w:val="14"/>
              </w:rPr>
              <w:t>de</w:t>
            </w:r>
            <w:r>
              <w:rPr>
                <w:spacing w:val="-6"/>
                <w:w w:val="95"/>
                <w:sz w:val="14"/>
              </w:rPr>
              <w:t> </w:t>
            </w:r>
            <w:r>
              <w:rPr>
                <w:w w:val="95"/>
                <w:sz w:val="14"/>
              </w:rPr>
              <w:t>producción</w:t>
            </w:r>
            <w:r>
              <w:rPr>
                <w:spacing w:val="-6"/>
                <w:w w:val="95"/>
                <w:sz w:val="14"/>
              </w:rPr>
              <w:t> </w:t>
            </w:r>
            <w:r>
              <w:rPr>
                <w:w w:val="95"/>
                <w:sz w:val="14"/>
              </w:rPr>
              <w:t>propia,</w:t>
            </w:r>
          </w:p>
          <w:p>
            <w:pPr>
              <w:pStyle w:val="TableParagraph"/>
              <w:numPr>
                <w:ilvl w:val="0"/>
                <w:numId w:val="465"/>
              </w:numPr>
              <w:tabs>
                <w:tab w:pos="132" w:val="left" w:leader="none"/>
              </w:tabs>
              <w:spacing w:line="249" w:lineRule="auto" w:before="1" w:after="0"/>
              <w:ind w:left="36" w:right="899" w:firstLine="0"/>
              <w:jc w:val="left"/>
              <w:rPr>
                <w:sz w:val="14"/>
              </w:rPr>
            </w:pPr>
            <w:r>
              <w:rPr>
                <w:w w:val="90"/>
                <w:sz w:val="14"/>
              </w:rPr>
              <w:t>acabados</w:t>
            </w:r>
            <w:r>
              <w:rPr>
                <w:spacing w:val="-16"/>
                <w:w w:val="90"/>
                <w:sz w:val="14"/>
              </w:rPr>
              <w:t> </w:t>
            </w:r>
            <w:r>
              <w:rPr>
                <w:w w:val="90"/>
                <w:sz w:val="14"/>
              </w:rPr>
              <w:t>interiores,</w:t>
            </w:r>
            <w:r>
              <w:rPr>
                <w:spacing w:val="-15"/>
                <w:w w:val="90"/>
                <w:sz w:val="14"/>
              </w:rPr>
              <w:t> </w:t>
            </w:r>
            <w:r>
              <w:rPr>
                <w:w w:val="90"/>
                <w:sz w:val="14"/>
              </w:rPr>
              <w:t>como</w:t>
            </w:r>
            <w:r>
              <w:rPr>
                <w:spacing w:val="-16"/>
                <w:w w:val="90"/>
                <w:sz w:val="14"/>
              </w:rPr>
              <w:t> </w:t>
            </w:r>
            <w:r>
              <w:rPr>
                <w:w w:val="90"/>
                <w:sz w:val="14"/>
              </w:rPr>
              <w:t>techos,</w:t>
            </w:r>
            <w:r>
              <w:rPr>
                <w:spacing w:val="-15"/>
                <w:w w:val="90"/>
                <w:sz w:val="14"/>
              </w:rPr>
              <w:t> </w:t>
            </w:r>
            <w:r>
              <w:rPr>
                <w:w w:val="90"/>
                <w:sz w:val="14"/>
              </w:rPr>
              <w:t>revestimientos</w:t>
            </w:r>
            <w:r>
              <w:rPr>
                <w:spacing w:val="-16"/>
                <w:w w:val="90"/>
                <w:sz w:val="14"/>
              </w:rPr>
              <w:t> </w:t>
            </w:r>
            <w:r>
              <w:rPr>
                <w:w w:val="90"/>
                <w:sz w:val="14"/>
              </w:rPr>
              <w:t>de</w:t>
            </w:r>
            <w:r>
              <w:rPr>
                <w:spacing w:val="-15"/>
                <w:w w:val="90"/>
                <w:sz w:val="14"/>
              </w:rPr>
              <w:t> </w:t>
            </w:r>
            <w:r>
              <w:rPr>
                <w:w w:val="90"/>
                <w:sz w:val="14"/>
              </w:rPr>
              <w:t>madera</w:t>
            </w:r>
            <w:r>
              <w:rPr>
                <w:spacing w:val="-16"/>
                <w:w w:val="90"/>
                <w:sz w:val="14"/>
              </w:rPr>
              <w:t> </w:t>
            </w:r>
            <w:r>
              <w:rPr>
                <w:w w:val="90"/>
                <w:sz w:val="14"/>
              </w:rPr>
              <w:t>para</w:t>
            </w:r>
            <w:r>
              <w:rPr>
                <w:spacing w:val="-15"/>
                <w:w w:val="90"/>
                <w:sz w:val="14"/>
              </w:rPr>
              <w:t> </w:t>
            </w:r>
            <w:r>
              <w:rPr>
                <w:w w:val="90"/>
                <w:sz w:val="14"/>
              </w:rPr>
              <w:t>paredes,</w:t>
            </w:r>
            <w:r>
              <w:rPr>
                <w:spacing w:val="-15"/>
                <w:w w:val="90"/>
                <w:sz w:val="14"/>
              </w:rPr>
              <w:t> </w:t>
            </w:r>
            <w:r>
              <w:rPr>
                <w:w w:val="90"/>
                <w:sz w:val="14"/>
              </w:rPr>
              <w:t>tabiques</w:t>
            </w:r>
            <w:r>
              <w:rPr>
                <w:spacing w:val="-16"/>
                <w:w w:val="90"/>
                <w:sz w:val="14"/>
              </w:rPr>
              <w:t> </w:t>
            </w:r>
            <w:r>
              <w:rPr>
                <w:w w:val="90"/>
                <w:sz w:val="14"/>
              </w:rPr>
              <w:t>móviles,</w:t>
            </w:r>
            <w:r>
              <w:rPr>
                <w:spacing w:val="-15"/>
                <w:w w:val="90"/>
                <w:sz w:val="14"/>
              </w:rPr>
              <w:t> </w:t>
            </w:r>
            <w:r>
              <w:rPr>
                <w:w w:val="90"/>
                <w:sz w:val="14"/>
              </w:rPr>
              <w:t>etc. </w:t>
            </w:r>
            <w:r>
              <w:rPr>
                <w:sz w:val="14"/>
              </w:rPr>
              <w:t>Esta clase no</w:t>
            </w:r>
            <w:r>
              <w:rPr>
                <w:spacing w:val="-20"/>
                <w:sz w:val="14"/>
              </w:rPr>
              <w:t> </w:t>
            </w:r>
            <w:r>
              <w:rPr>
                <w:sz w:val="14"/>
              </w:rPr>
              <w:t>comprende:</w:t>
            </w:r>
          </w:p>
          <w:p>
            <w:pPr>
              <w:pStyle w:val="TableParagraph"/>
              <w:numPr>
                <w:ilvl w:val="0"/>
                <w:numId w:val="465"/>
              </w:numPr>
              <w:tabs>
                <w:tab w:pos="132" w:val="left" w:leader="none"/>
              </w:tabs>
              <w:spacing w:line="157" w:lineRule="exact" w:before="1" w:after="0"/>
              <w:ind w:left="131" w:right="0" w:hanging="96"/>
              <w:jc w:val="left"/>
              <w:rPr>
                <w:sz w:val="14"/>
              </w:rPr>
            </w:pPr>
            <w:r>
              <w:rPr>
                <w:sz w:val="14"/>
              </w:rPr>
              <w:t>los</w:t>
            </w:r>
            <w:r>
              <w:rPr>
                <w:spacing w:val="-12"/>
                <w:sz w:val="14"/>
              </w:rPr>
              <w:t> </w:t>
            </w:r>
            <w:r>
              <w:rPr>
                <w:sz w:val="14"/>
              </w:rPr>
              <w:t>revestimientos</w:t>
            </w:r>
            <w:r>
              <w:rPr>
                <w:spacing w:val="-12"/>
                <w:sz w:val="14"/>
              </w:rPr>
              <w:t> </w:t>
            </w:r>
            <w:r>
              <w:rPr>
                <w:sz w:val="14"/>
              </w:rPr>
              <w:t>de</w:t>
            </w:r>
            <w:r>
              <w:rPr>
                <w:spacing w:val="-12"/>
                <w:sz w:val="14"/>
              </w:rPr>
              <w:t> </w:t>
            </w:r>
            <w:r>
              <w:rPr>
                <w:sz w:val="14"/>
              </w:rPr>
              <w:t>parqué</w:t>
            </w:r>
            <w:r>
              <w:rPr>
                <w:spacing w:val="-12"/>
                <w:sz w:val="14"/>
              </w:rPr>
              <w:t> </w:t>
            </w:r>
            <w:r>
              <w:rPr>
                <w:sz w:val="14"/>
              </w:rPr>
              <w:t>y</w:t>
            </w:r>
            <w:r>
              <w:rPr>
                <w:spacing w:val="-12"/>
                <w:sz w:val="14"/>
              </w:rPr>
              <w:t> </w:t>
            </w:r>
            <w:r>
              <w:rPr>
                <w:sz w:val="14"/>
              </w:rPr>
              <w:t>otras</w:t>
            </w:r>
            <w:r>
              <w:rPr>
                <w:spacing w:val="-12"/>
                <w:sz w:val="14"/>
              </w:rPr>
              <w:t> </w:t>
            </w:r>
            <w:r>
              <w:rPr>
                <w:sz w:val="14"/>
              </w:rPr>
              <w:t>maderas</w:t>
            </w:r>
            <w:r>
              <w:rPr>
                <w:spacing w:val="-12"/>
                <w:sz w:val="14"/>
              </w:rPr>
              <w:t> </w:t>
            </w:r>
            <w:r>
              <w:rPr>
                <w:sz w:val="14"/>
              </w:rPr>
              <w:t>para</w:t>
            </w:r>
            <w:r>
              <w:rPr>
                <w:spacing w:val="-12"/>
                <w:sz w:val="14"/>
              </w:rPr>
              <w:t> </w:t>
            </w:r>
            <w:r>
              <w:rPr>
                <w:sz w:val="14"/>
              </w:rPr>
              <w:t>suelos</w:t>
            </w:r>
            <w:r>
              <w:rPr>
                <w:spacing w:val="-12"/>
                <w:sz w:val="14"/>
              </w:rPr>
              <w:t> </w:t>
            </w:r>
            <w:r>
              <w:rPr>
                <w:sz w:val="14"/>
              </w:rPr>
              <w:t>(véase</w:t>
            </w:r>
            <w:r>
              <w:rPr>
                <w:spacing w:val="-12"/>
                <w:sz w:val="14"/>
              </w:rPr>
              <w:t> </w:t>
            </w:r>
            <w:r>
              <w:rPr>
                <w:sz w:val="14"/>
              </w:rPr>
              <w:t>45.43).</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left="35"/>
              <w:rPr>
                <w:sz w:val="14"/>
              </w:rPr>
            </w:pPr>
            <w:r>
              <w:rPr>
                <w:sz w:val="14"/>
              </w:rPr>
              <w:t>45420000</w:t>
            </w:r>
          </w:p>
        </w:tc>
      </w:tr>
      <w:tr>
        <w:trPr>
          <w:trHeight w:val="1171"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2"/>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7"/>
              <w:rPr>
                <w:rFonts w:ascii="Times New Roman"/>
                <w:sz w:val="24"/>
              </w:rPr>
            </w:pPr>
          </w:p>
          <w:p>
            <w:pPr>
              <w:pStyle w:val="TableParagraph"/>
              <w:spacing w:before="1"/>
              <w:ind w:right="38"/>
              <w:jc w:val="right"/>
              <w:rPr>
                <w:sz w:val="14"/>
              </w:rPr>
            </w:pPr>
            <w:r>
              <w:rPr>
                <w:w w:val="85"/>
                <w:sz w:val="14"/>
              </w:rPr>
              <w:t>45.43</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spacing w:line="249" w:lineRule="auto"/>
              <w:ind w:left="38"/>
              <w:rPr>
                <w:sz w:val="14"/>
              </w:rPr>
            </w:pPr>
            <w:r>
              <w:rPr>
                <w:w w:val="90"/>
                <w:sz w:val="14"/>
              </w:rPr>
              <w:t>Revestimiento de suelos y </w:t>
            </w:r>
            <w:r>
              <w:rPr>
                <w:sz w:val="14"/>
              </w:rPr>
              <w:t>paredes.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6"/>
              </w:numPr>
              <w:tabs>
                <w:tab w:pos="132" w:val="left" w:leader="none"/>
              </w:tabs>
              <w:spacing w:line="240" w:lineRule="auto" w:before="7" w:after="0"/>
              <w:ind w:left="131" w:right="0" w:hanging="96"/>
              <w:jc w:val="left"/>
              <w:rPr>
                <w:sz w:val="14"/>
              </w:rPr>
            </w:pPr>
            <w:r>
              <w:rPr>
                <w:sz w:val="14"/>
              </w:rPr>
              <w:t>la</w:t>
            </w:r>
            <w:r>
              <w:rPr>
                <w:spacing w:val="-10"/>
                <w:sz w:val="14"/>
              </w:rPr>
              <w:t> </w:t>
            </w:r>
            <w:r>
              <w:rPr>
                <w:sz w:val="14"/>
              </w:rPr>
              <w:t>colocación</w:t>
            </w:r>
            <w:r>
              <w:rPr>
                <w:spacing w:val="-9"/>
                <w:sz w:val="14"/>
              </w:rPr>
              <w:t> </w:t>
            </w:r>
            <w:r>
              <w:rPr>
                <w:sz w:val="14"/>
              </w:rPr>
              <w:t>en</w:t>
            </w:r>
            <w:r>
              <w:rPr>
                <w:spacing w:val="-10"/>
                <w:sz w:val="14"/>
              </w:rPr>
              <w:t> </w:t>
            </w:r>
            <w:r>
              <w:rPr>
                <w:sz w:val="14"/>
              </w:rPr>
              <w:t>edificios</w:t>
            </w:r>
            <w:r>
              <w:rPr>
                <w:spacing w:val="-9"/>
                <w:sz w:val="14"/>
              </w:rPr>
              <w:t> </w:t>
            </w:r>
            <w:r>
              <w:rPr>
                <w:sz w:val="14"/>
              </w:rPr>
              <w:t>y</w:t>
            </w:r>
            <w:r>
              <w:rPr>
                <w:spacing w:val="-9"/>
                <w:sz w:val="14"/>
              </w:rPr>
              <w:t> </w:t>
            </w:r>
            <w:r>
              <w:rPr>
                <w:sz w:val="14"/>
              </w:rPr>
              <w:t>otras</w:t>
            </w:r>
            <w:r>
              <w:rPr>
                <w:spacing w:val="-10"/>
                <w:sz w:val="14"/>
              </w:rPr>
              <w:t> </w:t>
            </w:r>
            <w:r>
              <w:rPr>
                <w:sz w:val="14"/>
              </w:rPr>
              <w:t>obras</w:t>
            </w:r>
            <w:r>
              <w:rPr>
                <w:spacing w:val="-9"/>
                <w:sz w:val="14"/>
              </w:rPr>
              <w:t> </w:t>
            </w:r>
            <w:r>
              <w:rPr>
                <w:sz w:val="14"/>
              </w:rPr>
              <w:t>de</w:t>
            </w:r>
            <w:r>
              <w:rPr>
                <w:spacing w:val="-10"/>
                <w:sz w:val="14"/>
              </w:rPr>
              <w:t> </w:t>
            </w:r>
            <w:r>
              <w:rPr>
                <w:sz w:val="14"/>
              </w:rPr>
              <w:t>construcción</w:t>
            </w:r>
            <w:r>
              <w:rPr>
                <w:spacing w:val="-9"/>
                <w:sz w:val="14"/>
              </w:rPr>
              <w:t> </w:t>
            </w:r>
            <w:r>
              <w:rPr>
                <w:sz w:val="14"/>
              </w:rPr>
              <w:t>de:</w:t>
            </w:r>
          </w:p>
          <w:p>
            <w:pPr>
              <w:pStyle w:val="TableParagraph"/>
              <w:numPr>
                <w:ilvl w:val="0"/>
                <w:numId w:val="466"/>
              </w:numPr>
              <w:tabs>
                <w:tab w:pos="132" w:val="left" w:leader="none"/>
              </w:tabs>
              <w:spacing w:line="240" w:lineRule="auto" w:before="7" w:after="0"/>
              <w:ind w:left="131" w:right="0" w:hanging="96"/>
              <w:jc w:val="left"/>
              <w:rPr>
                <w:sz w:val="14"/>
              </w:rPr>
            </w:pPr>
            <w:r>
              <w:rPr>
                <w:sz w:val="14"/>
              </w:rPr>
              <w:t>revestimientos</w:t>
            </w:r>
            <w:r>
              <w:rPr>
                <w:spacing w:val="-14"/>
                <w:sz w:val="14"/>
              </w:rPr>
              <w:t> </w:t>
            </w:r>
            <w:r>
              <w:rPr>
                <w:sz w:val="14"/>
              </w:rPr>
              <w:t>de</w:t>
            </w:r>
            <w:r>
              <w:rPr>
                <w:spacing w:val="-13"/>
                <w:sz w:val="14"/>
              </w:rPr>
              <w:t> </w:t>
            </w:r>
            <w:r>
              <w:rPr>
                <w:sz w:val="14"/>
              </w:rPr>
              <w:t>cerámica,</w:t>
            </w:r>
            <w:r>
              <w:rPr>
                <w:spacing w:val="-13"/>
                <w:sz w:val="14"/>
              </w:rPr>
              <w:t> </w:t>
            </w:r>
            <w:r>
              <w:rPr>
                <w:sz w:val="14"/>
              </w:rPr>
              <w:t>hormigón</w:t>
            </w:r>
            <w:r>
              <w:rPr>
                <w:spacing w:val="-14"/>
                <w:sz w:val="14"/>
              </w:rPr>
              <w:t> </w:t>
            </w:r>
            <w:r>
              <w:rPr>
                <w:sz w:val="14"/>
              </w:rPr>
              <w:t>o</w:t>
            </w:r>
            <w:r>
              <w:rPr>
                <w:spacing w:val="-13"/>
                <w:sz w:val="14"/>
              </w:rPr>
              <w:t> </w:t>
            </w:r>
            <w:r>
              <w:rPr>
                <w:sz w:val="14"/>
              </w:rPr>
              <w:t>piedra</w:t>
            </w:r>
            <w:r>
              <w:rPr>
                <w:spacing w:val="-13"/>
                <w:sz w:val="14"/>
              </w:rPr>
              <w:t> </w:t>
            </w:r>
            <w:r>
              <w:rPr>
                <w:sz w:val="14"/>
              </w:rPr>
              <w:t>tallada</w:t>
            </w:r>
            <w:r>
              <w:rPr>
                <w:spacing w:val="-13"/>
                <w:sz w:val="14"/>
              </w:rPr>
              <w:t> </w:t>
            </w:r>
            <w:r>
              <w:rPr>
                <w:sz w:val="14"/>
              </w:rPr>
              <w:t>para</w:t>
            </w:r>
            <w:r>
              <w:rPr>
                <w:spacing w:val="-14"/>
                <w:sz w:val="14"/>
              </w:rPr>
              <w:t> </w:t>
            </w:r>
            <w:r>
              <w:rPr>
                <w:sz w:val="14"/>
              </w:rPr>
              <w:t>paredes</w:t>
            </w:r>
            <w:r>
              <w:rPr>
                <w:spacing w:val="-13"/>
                <w:sz w:val="14"/>
              </w:rPr>
              <w:t> </w:t>
            </w:r>
            <w:r>
              <w:rPr>
                <w:sz w:val="14"/>
              </w:rPr>
              <w:t>y</w:t>
            </w:r>
            <w:r>
              <w:rPr>
                <w:spacing w:val="-13"/>
                <w:sz w:val="14"/>
              </w:rPr>
              <w:t> </w:t>
            </w:r>
            <w:r>
              <w:rPr>
                <w:sz w:val="14"/>
              </w:rPr>
              <w:t>suelos,</w:t>
            </w:r>
          </w:p>
          <w:p>
            <w:pPr>
              <w:pStyle w:val="TableParagraph"/>
              <w:numPr>
                <w:ilvl w:val="0"/>
                <w:numId w:val="466"/>
              </w:numPr>
              <w:tabs>
                <w:tab w:pos="132" w:val="left" w:leader="none"/>
              </w:tabs>
              <w:spacing w:line="240" w:lineRule="auto" w:before="7" w:after="0"/>
              <w:ind w:left="131" w:right="0" w:hanging="96"/>
              <w:jc w:val="left"/>
              <w:rPr>
                <w:sz w:val="14"/>
              </w:rPr>
            </w:pPr>
            <w:r>
              <w:rPr>
                <w:w w:val="95"/>
                <w:sz w:val="14"/>
              </w:rPr>
              <w:t>revestimientos</w:t>
            </w:r>
            <w:r>
              <w:rPr>
                <w:spacing w:val="-19"/>
                <w:w w:val="95"/>
                <w:sz w:val="14"/>
              </w:rPr>
              <w:t> </w:t>
            </w:r>
            <w:r>
              <w:rPr>
                <w:w w:val="95"/>
                <w:sz w:val="14"/>
              </w:rPr>
              <w:t>de</w:t>
            </w:r>
            <w:r>
              <w:rPr>
                <w:spacing w:val="-19"/>
                <w:w w:val="95"/>
                <w:sz w:val="14"/>
              </w:rPr>
              <w:t> </w:t>
            </w:r>
            <w:r>
              <w:rPr>
                <w:w w:val="95"/>
                <w:sz w:val="14"/>
              </w:rPr>
              <w:t>parqué</w:t>
            </w:r>
            <w:r>
              <w:rPr>
                <w:spacing w:val="-19"/>
                <w:w w:val="95"/>
                <w:sz w:val="14"/>
              </w:rPr>
              <w:t> </w:t>
            </w:r>
            <w:r>
              <w:rPr>
                <w:w w:val="95"/>
                <w:sz w:val="14"/>
              </w:rPr>
              <w:t>y</w:t>
            </w:r>
            <w:r>
              <w:rPr>
                <w:spacing w:val="-19"/>
                <w:w w:val="95"/>
                <w:sz w:val="14"/>
              </w:rPr>
              <w:t> </w:t>
            </w:r>
            <w:r>
              <w:rPr>
                <w:w w:val="95"/>
                <w:sz w:val="14"/>
              </w:rPr>
              <w:t>otras</w:t>
            </w:r>
            <w:r>
              <w:rPr>
                <w:spacing w:val="-19"/>
                <w:w w:val="95"/>
                <w:sz w:val="14"/>
              </w:rPr>
              <w:t> </w:t>
            </w:r>
            <w:r>
              <w:rPr>
                <w:w w:val="95"/>
                <w:sz w:val="14"/>
              </w:rPr>
              <w:t>maderas</w:t>
            </w:r>
            <w:r>
              <w:rPr>
                <w:spacing w:val="-19"/>
                <w:w w:val="95"/>
                <w:sz w:val="14"/>
              </w:rPr>
              <w:t> </w:t>
            </w:r>
            <w:r>
              <w:rPr>
                <w:w w:val="95"/>
                <w:sz w:val="14"/>
              </w:rPr>
              <w:t>para</w:t>
            </w:r>
            <w:r>
              <w:rPr>
                <w:spacing w:val="-19"/>
                <w:w w:val="95"/>
                <w:sz w:val="14"/>
              </w:rPr>
              <w:t> </w:t>
            </w:r>
            <w:r>
              <w:rPr>
                <w:w w:val="95"/>
                <w:sz w:val="14"/>
              </w:rPr>
              <w:t>suelos</w:t>
            </w:r>
            <w:r>
              <w:rPr>
                <w:spacing w:val="-19"/>
                <w:w w:val="95"/>
                <w:sz w:val="14"/>
              </w:rPr>
              <w:t> </w:t>
            </w:r>
            <w:r>
              <w:rPr>
                <w:w w:val="95"/>
                <w:sz w:val="14"/>
              </w:rPr>
              <w:t>y</w:t>
            </w:r>
            <w:r>
              <w:rPr>
                <w:spacing w:val="-19"/>
                <w:w w:val="95"/>
                <w:sz w:val="14"/>
              </w:rPr>
              <w:t> </w:t>
            </w:r>
            <w:r>
              <w:rPr>
                <w:w w:val="95"/>
                <w:sz w:val="14"/>
              </w:rPr>
              <w:t>revestimientos</w:t>
            </w:r>
            <w:r>
              <w:rPr>
                <w:spacing w:val="-19"/>
                <w:w w:val="95"/>
                <w:sz w:val="14"/>
              </w:rPr>
              <w:t> </w:t>
            </w:r>
            <w:r>
              <w:rPr>
                <w:w w:val="95"/>
                <w:sz w:val="14"/>
              </w:rPr>
              <w:t>de</w:t>
            </w:r>
            <w:r>
              <w:rPr>
                <w:spacing w:val="-19"/>
                <w:w w:val="95"/>
                <w:sz w:val="14"/>
              </w:rPr>
              <w:t> </w:t>
            </w:r>
            <w:r>
              <w:rPr>
                <w:w w:val="95"/>
                <w:sz w:val="14"/>
              </w:rPr>
              <w:t>moqueta</w:t>
            </w:r>
            <w:r>
              <w:rPr>
                <w:spacing w:val="-19"/>
                <w:w w:val="95"/>
                <w:sz w:val="14"/>
              </w:rPr>
              <w:t> </w:t>
            </w:r>
            <w:r>
              <w:rPr>
                <w:w w:val="95"/>
                <w:sz w:val="14"/>
              </w:rPr>
              <w:t>y</w:t>
            </w:r>
            <w:r>
              <w:rPr>
                <w:spacing w:val="-19"/>
                <w:w w:val="95"/>
                <w:sz w:val="14"/>
              </w:rPr>
              <w:t> </w:t>
            </w:r>
            <w:r>
              <w:rPr>
                <w:w w:val="95"/>
                <w:sz w:val="14"/>
              </w:rPr>
              <w:t>linóleo</w:t>
            </w:r>
            <w:r>
              <w:rPr>
                <w:spacing w:val="-18"/>
                <w:w w:val="95"/>
                <w:sz w:val="14"/>
              </w:rPr>
              <w:t> </w:t>
            </w:r>
            <w:r>
              <w:rPr>
                <w:w w:val="95"/>
                <w:sz w:val="14"/>
              </w:rPr>
              <w:t>para</w:t>
            </w:r>
            <w:r>
              <w:rPr>
                <w:spacing w:val="-19"/>
                <w:w w:val="95"/>
                <w:sz w:val="14"/>
              </w:rPr>
              <w:t> </w:t>
            </w:r>
            <w:r>
              <w:rPr>
                <w:w w:val="95"/>
                <w:sz w:val="14"/>
              </w:rPr>
              <w:t>suelos,</w:t>
            </w:r>
          </w:p>
          <w:p>
            <w:pPr>
              <w:pStyle w:val="TableParagraph"/>
              <w:numPr>
                <w:ilvl w:val="0"/>
                <w:numId w:val="466"/>
              </w:numPr>
              <w:tabs>
                <w:tab w:pos="132" w:val="left" w:leader="none"/>
              </w:tabs>
              <w:spacing w:line="240" w:lineRule="auto" w:before="7" w:after="0"/>
              <w:ind w:left="131" w:right="0" w:hanging="96"/>
              <w:jc w:val="left"/>
              <w:rPr>
                <w:sz w:val="14"/>
              </w:rPr>
            </w:pPr>
            <w:r>
              <w:rPr>
                <w:sz w:val="14"/>
              </w:rPr>
              <w:t>incluidos</w:t>
            </w:r>
            <w:r>
              <w:rPr>
                <w:spacing w:val="-8"/>
                <w:sz w:val="14"/>
              </w:rPr>
              <w:t> </w:t>
            </w:r>
            <w:r>
              <w:rPr>
                <w:sz w:val="14"/>
              </w:rPr>
              <w:t>el</w:t>
            </w:r>
            <w:r>
              <w:rPr>
                <w:spacing w:val="-8"/>
                <w:sz w:val="14"/>
              </w:rPr>
              <w:t> </w:t>
            </w:r>
            <w:r>
              <w:rPr>
                <w:sz w:val="14"/>
              </w:rPr>
              <w:t>caucho</w:t>
            </w:r>
            <w:r>
              <w:rPr>
                <w:spacing w:val="-8"/>
                <w:sz w:val="14"/>
              </w:rPr>
              <w:t> </w:t>
            </w:r>
            <w:r>
              <w:rPr>
                <w:sz w:val="14"/>
              </w:rPr>
              <w:t>o</w:t>
            </w:r>
            <w:r>
              <w:rPr>
                <w:spacing w:val="-8"/>
                <w:sz w:val="14"/>
              </w:rPr>
              <w:t> </w:t>
            </w:r>
            <w:r>
              <w:rPr>
                <w:sz w:val="14"/>
              </w:rPr>
              <w:t>los</w:t>
            </w:r>
            <w:r>
              <w:rPr>
                <w:spacing w:val="-8"/>
                <w:sz w:val="14"/>
              </w:rPr>
              <w:t> </w:t>
            </w:r>
            <w:r>
              <w:rPr>
                <w:sz w:val="14"/>
              </w:rPr>
              <w:t>materiales</w:t>
            </w:r>
            <w:r>
              <w:rPr>
                <w:spacing w:val="-8"/>
                <w:sz w:val="14"/>
              </w:rPr>
              <w:t> </w:t>
            </w:r>
            <w:r>
              <w:rPr>
                <w:sz w:val="14"/>
              </w:rPr>
              <w:t>plásticos,</w:t>
            </w:r>
          </w:p>
          <w:p>
            <w:pPr>
              <w:pStyle w:val="TableParagraph"/>
              <w:numPr>
                <w:ilvl w:val="0"/>
                <w:numId w:val="466"/>
              </w:numPr>
              <w:tabs>
                <w:tab w:pos="132" w:val="left" w:leader="none"/>
              </w:tabs>
              <w:spacing w:line="240" w:lineRule="auto" w:before="7" w:after="0"/>
              <w:ind w:left="131" w:right="0" w:hanging="96"/>
              <w:jc w:val="left"/>
              <w:rPr>
                <w:sz w:val="14"/>
              </w:rPr>
            </w:pPr>
            <w:r>
              <w:rPr>
                <w:sz w:val="14"/>
              </w:rPr>
              <w:t>revestimientos</w:t>
            </w:r>
            <w:r>
              <w:rPr>
                <w:spacing w:val="-13"/>
                <w:sz w:val="14"/>
              </w:rPr>
              <w:t> </w:t>
            </w:r>
            <w:r>
              <w:rPr>
                <w:sz w:val="14"/>
              </w:rPr>
              <w:t>de</w:t>
            </w:r>
            <w:r>
              <w:rPr>
                <w:spacing w:val="-13"/>
                <w:sz w:val="14"/>
              </w:rPr>
              <w:t> </w:t>
            </w:r>
            <w:r>
              <w:rPr>
                <w:sz w:val="14"/>
              </w:rPr>
              <w:t>terrazo,</w:t>
            </w:r>
            <w:r>
              <w:rPr>
                <w:spacing w:val="-12"/>
                <w:sz w:val="14"/>
              </w:rPr>
              <w:t> </w:t>
            </w:r>
            <w:r>
              <w:rPr>
                <w:sz w:val="14"/>
              </w:rPr>
              <w:t>mármol,</w:t>
            </w:r>
            <w:r>
              <w:rPr>
                <w:spacing w:val="-13"/>
                <w:sz w:val="14"/>
              </w:rPr>
              <w:t> </w:t>
            </w:r>
            <w:r>
              <w:rPr>
                <w:sz w:val="14"/>
              </w:rPr>
              <w:t>granito</w:t>
            </w:r>
            <w:r>
              <w:rPr>
                <w:spacing w:val="-12"/>
                <w:sz w:val="14"/>
              </w:rPr>
              <w:t> </w:t>
            </w:r>
            <w:r>
              <w:rPr>
                <w:sz w:val="14"/>
              </w:rPr>
              <w:t>o</w:t>
            </w:r>
            <w:r>
              <w:rPr>
                <w:spacing w:val="-13"/>
                <w:sz w:val="14"/>
              </w:rPr>
              <w:t> </w:t>
            </w:r>
            <w:r>
              <w:rPr>
                <w:sz w:val="14"/>
              </w:rPr>
              <w:t>pizarra</w:t>
            </w:r>
            <w:r>
              <w:rPr>
                <w:spacing w:val="-12"/>
                <w:sz w:val="14"/>
              </w:rPr>
              <w:t> </w:t>
            </w:r>
            <w:r>
              <w:rPr>
                <w:sz w:val="14"/>
              </w:rPr>
              <w:t>para</w:t>
            </w:r>
            <w:r>
              <w:rPr>
                <w:spacing w:val="-13"/>
                <w:sz w:val="14"/>
              </w:rPr>
              <w:t> </w:t>
            </w:r>
            <w:r>
              <w:rPr>
                <w:sz w:val="14"/>
              </w:rPr>
              <w:t>paredes</w:t>
            </w:r>
            <w:r>
              <w:rPr>
                <w:spacing w:val="-12"/>
                <w:sz w:val="14"/>
              </w:rPr>
              <w:t> </w:t>
            </w:r>
            <w:r>
              <w:rPr>
                <w:sz w:val="14"/>
              </w:rPr>
              <w:t>y</w:t>
            </w:r>
            <w:r>
              <w:rPr>
                <w:spacing w:val="-13"/>
                <w:sz w:val="14"/>
              </w:rPr>
              <w:t> </w:t>
            </w:r>
            <w:r>
              <w:rPr>
                <w:sz w:val="14"/>
              </w:rPr>
              <w:t>suelos,</w:t>
            </w:r>
          </w:p>
          <w:p>
            <w:pPr>
              <w:pStyle w:val="TableParagraph"/>
              <w:numPr>
                <w:ilvl w:val="0"/>
                <w:numId w:val="466"/>
              </w:numPr>
              <w:tabs>
                <w:tab w:pos="132" w:val="left" w:leader="none"/>
              </w:tabs>
              <w:spacing w:line="157" w:lineRule="exact" w:before="7" w:after="0"/>
              <w:ind w:left="131" w:right="0" w:hanging="96"/>
              <w:jc w:val="left"/>
              <w:rPr>
                <w:sz w:val="14"/>
              </w:rPr>
            </w:pPr>
            <w:r>
              <w:rPr>
                <w:sz w:val="14"/>
              </w:rPr>
              <w:t>papeles</w:t>
            </w:r>
            <w:r>
              <w:rPr>
                <w:spacing w:val="-6"/>
                <w:sz w:val="14"/>
              </w:rPr>
              <w:t> </w:t>
            </w:r>
            <w:r>
              <w:rPr>
                <w:sz w:val="14"/>
              </w:rPr>
              <w:t>pintados.</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7"/>
              <w:rPr>
                <w:rFonts w:ascii="Times New Roman"/>
                <w:sz w:val="24"/>
              </w:rPr>
            </w:pPr>
          </w:p>
          <w:p>
            <w:pPr>
              <w:pStyle w:val="TableParagraph"/>
              <w:spacing w:before="1"/>
              <w:ind w:left="35"/>
              <w:rPr>
                <w:sz w:val="14"/>
              </w:rPr>
            </w:pPr>
            <w:r>
              <w:rPr>
                <w:sz w:val="14"/>
              </w:rPr>
              <w:t>45430000</w:t>
            </w:r>
          </w:p>
        </w:tc>
      </w:tr>
    </w:tbl>
    <w:p>
      <w:pPr>
        <w:spacing w:after="0"/>
        <w:rPr>
          <w:sz w:val="14"/>
        </w:rPr>
        <w:sectPr>
          <w:pgSz w:w="11910" w:h="16840"/>
          <w:pgMar w:header="529" w:footer="570" w:top="1200" w:bottom="760" w:left="740" w:right="540"/>
        </w:sectPr>
      </w:pPr>
    </w:p>
    <w:p>
      <w:pPr>
        <w:pStyle w:val="BodyText"/>
        <w:spacing w:before="0"/>
        <w:ind w:left="0" w:firstLine="0"/>
        <w:jc w:val="left"/>
        <w:rPr>
          <w:rFonts w:ascii="Times New Roman"/>
        </w:rPr>
      </w:pPr>
    </w:p>
    <w:p>
      <w:pPr>
        <w:pStyle w:val="BodyText"/>
        <w:spacing w:before="10" w:after="1"/>
        <w:ind w:left="0" w:firstLine="0"/>
        <w:jc w:val="left"/>
        <w:rPr>
          <w:rFonts w:ascii="Times New Roman"/>
          <w:sz w:val="21"/>
        </w:rPr>
      </w:pPr>
    </w:p>
    <w:tbl>
      <w:tblPr>
        <w:tblW w:w="0" w:type="auto"/>
        <w:jc w:val="left"/>
        <w:tblInd w:w="117"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CellMar>
          <w:top w:w="0" w:type="dxa"/>
          <w:left w:w="0" w:type="dxa"/>
          <w:bottom w:w="0" w:type="dxa"/>
          <w:right w:w="0" w:type="dxa"/>
        </w:tblCellMar>
        <w:tblLook w:val="01E0"/>
      </w:tblPr>
      <w:tblGrid>
        <w:gridCol w:w="515"/>
        <w:gridCol w:w="427"/>
        <w:gridCol w:w="400"/>
        <w:gridCol w:w="1623"/>
        <w:gridCol w:w="6354"/>
        <w:gridCol w:w="893"/>
      </w:tblGrid>
      <w:tr>
        <w:trPr>
          <w:trHeight w:val="167" w:hRule="atLeast"/>
        </w:trPr>
        <w:tc>
          <w:tcPr>
            <w:tcW w:w="9319" w:type="dxa"/>
            <w:gridSpan w:val="5"/>
            <w:shd w:val="clear" w:color="auto" w:fill="EDEDED"/>
          </w:tcPr>
          <w:p>
            <w:pPr>
              <w:pStyle w:val="TableParagraph"/>
              <w:spacing w:line="148" w:lineRule="exact"/>
              <w:ind w:left="4166" w:right="4166"/>
              <w:jc w:val="center"/>
              <w:rPr>
                <w:b/>
                <w:sz w:val="8"/>
              </w:rPr>
            </w:pPr>
            <w:r>
              <w:rPr>
                <w:b/>
                <w:w w:val="95"/>
                <w:sz w:val="14"/>
              </w:rPr>
              <w:t>NACE Rev. 2 </w:t>
            </w:r>
            <w:r>
              <w:rPr>
                <w:b/>
                <w:w w:val="95"/>
                <w:position w:val="5"/>
                <w:sz w:val="8"/>
              </w:rPr>
              <w:t>(1)</w:t>
            </w:r>
          </w:p>
        </w:tc>
        <w:tc>
          <w:tcPr>
            <w:tcW w:w="893" w:type="dxa"/>
            <w:vMerge w:val="restart"/>
            <w:shd w:val="clear" w:color="auto" w:fill="EDEDED"/>
          </w:tcPr>
          <w:p>
            <w:pPr>
              <w:pStyle w:val="TableParagraph"/>
              <w:spacing w:before="1"/>
              <w:rPr>
                <w:rFonts w:ascii="Times New Roman"/>
                <w:sz w:val="14"/>
              </w:rPr>
            </w:pPr>
          </w:p>
          <w:p>
            <w:pPr>
              <w:pStyle w:val="TableParagraph"/>
              <w:ind w:left="100"/>
              <w:rPr>
                <w:b/>
                <w:sz w:val="14"/>
              </w:rPr>
            </w:pPr>
            <w:r>
              <w:rPr>
                <w:b/>
                <w:w w:val="95"/>
                <w:sz w:val="14"/>
              </w:rPr>
              <w:t>Código CPV</w:t>
            </w:r>
          </w:p>
        </w:tc>
      </w:tr>
      <w:tr>
        <w:trPr>
          <w:trHeight w:val="163" w:hRule="atLeast"/>
        </w:trPr>
        <w:tc>
          <w:tcPr>
            <w:tcW w:w="1342" w:type="dxa"/>
            <w:gridSpan w:val="3"/>
            <w:shd w:val="clear" w:color="auto" w:fill="EDEDED"/>
          </w:tcPr>
          <w:p>
            <w:pPr>
              <w:pStyle w:val="TableParagraph"/>
              <w:spacing w:line="144" w:lineRule="exact"/>
              <w:ind w:left="395"/>
              <w:rPr>
                <w:b/>
                <w:sz w:val="14"/>
              </w:rPr>
            </w:pPr>
            <w:r>
              <w:rPr>
                <w:b/>
                <w:w w:val="95"/>
                <w:sz w:val="14"/>
              </w:rPr>
              <w:t>Sección F</w:t>
            </w:r>
          </w:p>
        </w:tc>
        <w:tc>
          <w:tcPr>
            <w:tcW w:w="7977" w:type="dxa"/>
            <w:gridSpan w:val="2"/>
            <w:shd w:val="clear" w:color="auto" w:fill="EDEDED"/>
          </w:tcPr>
          <w:p>
            <w:pPr>
              <w:pStyle w:val="TableParagraph"/>
              <w:spacing w:line="144" w:lineRule="exact"/>
              <w:ind w:left="3557" w:right="3557"/>
              <w:jc w:val="center"/>
              <w:rPr>
                <w:b/>
                <w:sz w:val="14"/>
              </w:rPr>
            </w:pPr>
            <w:r>
              <w:rPr>
                <w:b/>
                <w:w w:val="90"/>
                <w:sz w:val="14"/>
              </w:rPr>
              <w:t>Construcción</w:t>
            </w:r>
          </w:p>
        </w:tc>
        <w:tc>
          <w:tcPr>
            <w:tcW w:w="893" w:type="dxa"/>
            <w:vMerge/>
            <w:tcBorders>
              <w:top w:val="nil"/>
            </w:tcBorders>
            <w:shd w:val="clear" w:color="auto" w:fill="EDEDED"/>
          </w:tcPr>
          <w:p>
            <w:pPr>
              <w:rPr>
                <w:sz w:val="2"/>
                <w:szCs w:val="2"/>
              </w:rPr>
            </w:pPr>
          </w:p>
        </w:tc>
      </w:tr>
      <w:tr>
        <w:trPr>
          <w:trHeight w:val="163" w:hRule="atLeast"/>
        </w:trPr>
        <w:tc>
          <w:tcPr>
            <w:tcW w:w="515" w:type="dxa"/>
            <w:shd w:val="clear" w:color="auto" w:fill="EDEDED"/>
          </w:tcPr>
          <w:p>
            <w:pPr>
              <w:pStyle w:val="TableParagraph"/>
              <w:spacing w:line="143" w:lineRule="exact"/>
              <w:ind w:left="40"/>
              <w:rPr>
                <w:b/>
                <w:sz w:val="14"/>
              </w:rPr>
            </w:pPr>
            <w:r>
              <w:rPr>
                <w:b/>
                <w:w w:val="80"/>
                <w:sz w:val="14"/>
              </w:rPr>
              <w:t>División</w:t>
            </w:r>
          </w:p>
        </w:tc>
        <w:tc>
          <w:tcPr>
            <w:tcW w:w="427" w:type="dxa"/>
            <w:shd w:val="clear" w:color="auto" w:fill="EDEDED"/>
          </w:tcPr>
          <w:p>
            <w:pPr>
              <w:pStyle w:val="TableParagraph"/>
              <w:spacing w:line="143" w:lineRule="exact"/>
              <w:ind w:left="11" w:right="8"/>
              <w:jc w:val="center"/>
              <w:rPr>
                <w:b/>
                <w:sz w:val="14"/>
              </w:rPr>
            </w:pPr>
            <w:r>
              <w:rPr>
                <w:b/>
                <w:w w:val="85"/>
                <w:sz w:val="14"/>
              </w:rPr>
              <w:t>Grupo</w:t>
            </w:r>
          </w:p>
        </w:tc>
        <w:tc>
          <w:tcPr>
            <w:tcW w:w="400" w:type="dxa"/>
            <w:shd w:val="clear" w:color="auto" w:fill="EDEDED"/>
          </w:tcPr>
          <w:p>
            <w:pPr>
              <w:pStyle w:val="TableParagraph"/>
              <w:spacing w:line="143" w:lineRule="exact"/>
              <w:ind w:right="35"/>
              <w:jc w:val="right"/>
              <w:rPr>
                <w:b/>
                <w:sz w:val="14"/>
              </w:rPr>
            </w:pPr>
            <w:r>
              <w:rPr>
                <w:b/>
                <w:w w:val="80"/>
                <w:sz w:val="14"/>
              </w:rPr>
              <w:t>Clase</w:t>
            </w:r>
          </w:p>
        </w:tc>
        <w:tc>
          <w:tcPr>
            <w:tcW w:w="1623" w:type="dxa"/>
            <w:shd w:val="clear" w:color="auto" w:fill="EDEDED"/>
          </w:tcPr>
          <w:p>
            <w:pPr>
              <w:pStyle w:val="TableParagraph"/>
              <w:spacing w:line="143" w:lineRule="exact"/>
              <w:ind w:left="486"/>
              <w:rPr>
                <w:b/>
                <w:sz w:val="14"/>
              </w:rPr>
            </w:pPr>
            <w:r>
              <w:rPr>
                <w:b/>
                <w:w w:val="90"/>
                <w:sz w:val="14"/>
              </w:rPr>
              <w:t>Descripción</w:t>
            </w:r>
          </w:p>
        </w:tc>
        <w:tc>
          <w:tcPr>
            <w:tcW w:w="6354" w:type="dxa"/>
            <w:shd w:val="clear" w:color="auto" w:fill="EDEDED"/>
          </w:tcPr>
          <w:p>
            <w:pPr>
              <w:pStyle w:val="TableParagraph"/>
              <w:spacing w:line="143" w:lineRule="exact"/>
              <w:ind w:left="2699" w:right="2700"/>
              <w:jc w:val="center"/>
              <w:rPr>
                <w:b/>
                <w:sz w:val="14"/>
              </w:rPr>
            </w:pPr>
            <w:r>
              <w:rPr>
                <w:b/>
                <w:w w:val="90"/>
                <w:sz w:val="14"/>
              </w:rPr>
              <w:t>Observaciones</w:t>
            </w:r>
          </w:p>
        </w:tc>
        <w:tc>
          <w:tcPr>
            <w:tcW w:w="893" w:type="dxa"/>
            <w:vMerge/>
            <w:tcBorders>
              <w:top w:val="nil"/>
            </w:tcBorders>
            <w:shd w:val="clear" w:color="auto" w:fill="EDEDED"/>
          </w:tcPr>
          <w:p>
            <w:pPr>
              <w:rPr>
                <w:sz w:val="2"/>
                <w:szCs w:val="2"/>
              </w:rPr>
            </w:pPr>
          </w:p>
        </w:tc>
      </w:tr>
      <w:tr>
        <w:trPr>
          <w:trHeight w:val="1004" w:hRule="atLeast"/>
        </w:trPr>
        <w:tc>
          <w:tcPr>
            <w:tcW w:w="515" w:type="dxa"/>
            <w:tcBorders>
              <w:left w:val="single" w:sz="4" w:space="0" w:color="CCCCCC"/>
              <w:bottom w:val="single" w:sz="4" w:space="0" w:color="CCCCCC"/>
              <w:right w:val="single" w:sz="4" w:space="0" w:color="CCCCCC"/>
            </w:tcBorders>
          </w:tcPr>
          <w:p>
            <w:pPr>
              <w:pStyle w:val="TableParagraph"/>
              <w:rPr>
                <w:rFonts w:ascii="Times New Roman"/>
                <w:sz w:val="16"/>
              </w:rPr>
            </w:pPr>
          </w:p>
        </w:tc>
        <w:tc>
          <w:tcPr>
            <w:tcW w:w="427" w:type="dxa"/>
            <w:tcBorders>
              <w:left w:val="single" w:sz="4" w:space="0" w:color="CCCCCC"/>
              <w:bottom w:val="single" w:sz="4" w:space="0" w:color="CCCCCC"/>
              <w:right w:val="single" w:sz="4" w:space="0" w:color="CCCCCC"/>
            </w:tcBorders>
          </w:tcPr>
          <w:p>
            <w:pPr>
              <w:pStyle w:val="TableParagraph"/>
              <w:rPr>
                <w:rFonts w:ascii="Times New Roman"/>
                <w:sz w:val="16"/>
              </w:rPr>
            </w:pPr>
          </w:p>
        </w:tc>
        <w:tc>
          <w:tcPr>
            <w:tcW w:w="400" w:type="dxa"/>
            <w:tcBorders>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spacing w:before="1"/>
              <w:ind w:right="38"/>
              <w:jc w:val="right"/>
              <w:rPr>
                <w:sz w:val="14"/>
              </w:rPr>
            </w:pPr>
            <w:r>
              <w:rPr>
                <w:w w:val="85"/>
                <w:sz w:val="14"/>
              </w:rPr>
              <w:t>45.44</w:t>
            </w:r>
          </w:p>
        </w:tc>
        <w:tc>
          <w:tcPr>
            <w:tcW w:w="1623" w:type="dxa"/>
            <w:tcBorders>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spacing w:before="1"/>
              <w:ind w:left="38"/>
              <w:rPr>
                <w:sz w:val="14"/>
              </w:rPr>
            </w:pPr>
            <w:r>
              <w:rPr>
                <w:w w:val="95"/>
                <w:sz w:val="14"/>
              </w:rPr>
              <w:t>Pintura y acristalamiento.</w:t>
            </w:r>
          </w:p>
        </w:tc>
        <w:tc>
          <w:tcPr>
            <w:tcW w:w="6354" w:type="dxa"/>
            <w:tcBorders>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7"/>
              </w:numPr>
              <w:tabs>
                <w:tab w:pos="132" w:val="left" w:leader="none"/>
              </w:tabs>
              <w:spacing w:line="240" w:lineRule="auto" w:before="7" w:after="0"/>
              <w:ind w:left="131" w:right="0" w:hanging="96"/>
              <w:jc w:val="left"/>
              <w:rPr>
                <w:sz w:val="14"/>
              </w:rPr>
            </w:pPr>
            <w:r>
              <w:rPr>
                <w:sz w:val="14"/>
              </w:rPr>
              <w:t>la</w:t>
            </w:r>
            <w:r>
              <w:rPr>
                <w:spacing w:val="-8"/>
                <w:sz w:val="14"/>
              </w:rPr>
              <w:t> </w:t>
            </w:r>
            <w:r>
              <w:rPr>
                <w:sz w:val="14"/>
              </w:rPr>
              <w:t>pintura</w:t>
            </w:r>
            <w:r>
              <w:rPr>
                <w:spacing w:val="-7"/>
                <w:sz w:val="14"/>
              </w:rPr>
              <w:t> </w:t>
            </w:r>
            <w:r>
              <w:rPr>
                <w:sz w:val="14"/>
              </w:rPr>
              <w:t>interior</w:t>
            </w:r>
            <w:r>
              <w:rPr>
                <w:spacing w:val="-8"/>
                <w:sz w:val="14"/>
              </w:rPr>
              <w:t> </w:t>
            </w:r>
            <w:r>
              <w:rPr>
                <w:sz w:val="14"/>
              </w:rPr>
              <w:t>y</w:t>
            </w:r>
            <w:r>
              <w:rPr>
                <w:spacing w:val="-7"/>
                <w:sz w:val="14"/>
              </w:rPr>
              <w:t> </w:t>
            </w:r>
            <w:r>
              <w:rPr>
                <w:sz w:val="14"/>
              </w:rPr>
              <w:t>exterior</w:t>
            </w:r>
            <w:r>
              <w:rPr>
                <w:spacing w:val="-8"/>
                <w:sz w:val="14"/>
              </w:rPr>
              <w:t> </w:t>
            </w:r>
            <w:r>
              <w:rPr>
                <w:sz w:val="14"/>
              </w:rPr>
              <w:t>de</w:t>
            </w:r>
            <w:r>
              <w:rPr>
                <w:spacing w:val="-7"/>
                <w:sz w:val="14"/>
              </w:rPr>
              <w:t> </w:t>
            </w:r>
            <w:r>
              <w:rPr>
                <w:sz w:val="14"/>
              </w:rPr>
              <w:t>edificios,</w:t>
            </w:r>
          </w:p>
          <w:p>
            <w:pPr>
              <w:pStyle w:val="TableParagraph"/>
              <w:numPr>
                <w:ilvl w:val="0"/>
                <w:numId w:val="467"/>
              </w:numPr>
              <w:tabs>
                <w:tab w:pos="132" w:val="left" w:leader="none"/>
              </w:tabs>
              <w:spacing w:line="240" w:lineRule="auto" w:before="7" w:after="0"/>
              <w:ind w:left="131" w:right="0" w:hanging="96"/>
              <w:jc w:val="left"/>
              <w:rPr>
                <w:sz w:val="14"/>
              </w:rPr>
            </w:pPr>
            <w:r>
              <w:rPr>
                <w:sz w:val="14"/>
              </w:rPr>
              <w:t>la</w:t>
            </w:r>
            <w:r>
              <w:rPr>
                <w:spacing w:val="-8"/>
                <w:sz w:val="14"/>
              </w:rPr>
              <w:t> </w:t>
            </w:r>
            <w:r>
              <w:rPr>
                <w:sz w:val="14"/>
              </w:rPr>
              <w:t>pintura</w:t>
            </w:r>
            <w:r>
              <w:rPr>
                <w:spacing w:val="-7"/>
                <w:sz w:val="14"/>
              </w:rPr>
              <w:t> </w:t>
            </w:r>
            <w:r>
              <w:rPr>
                <w:sz w:val="14"/>
              </w:rPr>
              <w:t>de</w:t>
            </w:r>
            <w:r>
              <w:rPr>
                <w:spacing w:val="-7"/>
                <w:sz w:val="14"/>
              </w:rPr>
              <w:t> </w:t>
            </w:r>
            <w:r>
              <w:rPr>
                <w:sz w:val="14"/>
              </w:rPr>
              <w:t>obras</w:t>
            </w:r>
            <w:r>
              <w:rPr>
                <w:spacing w:val="-7"/>
                <w:sz w:val="14"/>
              </w:rPr>
              <w:t> </w:t>
            </w:r>
            <w:r>
              <w:rPr>
                <w:sz w:val="14"/>
              </w:rPr>
              <w:t>de</w:t>
            </w:r>
            <w:r>
              <w:rPr>
                <w:spacing w:val="-7"/>
                <w:sz w:val="14"/>
              </w:rPr>
              <w:t> </w:t>
            </w:r>
            <w:r>
              <w:rPr>
                <w:sz w:val="14"/>
              </w:rPr>
              <w:t>ingeniería</w:t>
            </w:r>
            <w:r>
              <w:rPr>
                <w:spacing w:val="-8"/>
                <w:sz w:val="14"/>
              </w:rPr>
              <w:t> </w:t>
            </w:r>
            <w:r>
              <w:rPr>
                <w:sz w:val="14"/>
              </w:rPr>
              <w:t>civil,</w:t>
            </w:r>
          </w:p>
          <w:p>
            <w:pPr>
              <w:pStyle w:val="TableParagraph"/>
              <w:numPr>
                <w:ilvl w:val="0"/>
                <w:numId w:val="467"/>
              </w:numPr>
              <w:tabs>
                <w:tab w:pos="132" w:val="left" w:leader="none"/>
              </w:tabs>
              <w:spacing w:line="249" w:lineRule="auto" w:before="7" w:after="0"/>
              <w:ind w:left="36" w:right="4093" w:firstLine="0"/>
              <w:jc w:val="left"/>
              <w:rPr>
                <w:sz w:val="14"/>
              </w:rPr>
            </w:pPr>
            <w:r>
              <w:rPr>
                <w:w w:val="90"/>
                <w:sz w:val="14"/>
              </w:rPr>
              <w:t>la</w:t>
            </w:r>
            <w:r>
              <w:rPr>
                <w:spacing w:val="-15"/>
                <w:w w:val="90"/>
                <w:sz w:val="14"/>
              </w:rPr>
              <w:t> </w:t>
            </w:r>
            <w:r>
              <w:rPr>
                <w:w w:val="90"/>
                <w:sz w:val="14"/>
              </w:rPr>
              <w:t>instalación</w:t>
            </w:r>
            <w:r>
              <w:rPr>
                <w:spacing w:val="-15"/>
                <w:w w:val="90"/>
                <w:sz w:val="14"/>
              </w:rPr>
              <w:t> </w:t>
            </w:r>
            <w:r>
              <w:rPr>
                <w:w w:val="90"/>
                <w:sz w:val="14"/>
              </w:rPr>
              <w:t>de</w:t>
            </w:r>
            <w:r>
              <w:rPr>
                <w:spacing w:val="-15"/>
                <w:w w:val="90"/>
                <w:sz w:val="14"/>
              </w:rPr>
              <w:t> </w:t>
            </w:r>
            <w:r>
              <w:rPr>
                <w:w w:val="90"/>
                <w:sz w:val="14"/>
              </w:rPr>
              <w:t>cristales,</w:t>
            </w:r>
            <w:r>
              <w:rPr>
                <w:spacing w:val="-14"/>
                <w:w w:val="90"/>
                <w:sz w:val="14"/>
              </w:rPr>
              <w:t> </w:t>
            </w:r>
            <w:r>
              <w:rPr>
                <w:w w:val="90"/>
                <w:sz w:val="14"/>
              </w:rPr>
              <w:t>espejos,</w:t>
            </w:r>
            <w:r>
              <w:rPr>
                <w:spacing w:val="-15"/>
                <w:w w:val="90"/>
                <w:sz w:val="14"/>
              </w:rPr>
              <w:t> </w:t>
            </w:r>
            <w:r>
              <w:rPr>
                <w:w w:val="90"/>
                <w:sz w:val="14"/>
              </w:rPr>
              <w:t>etc. </w:t>
            </w:r>
            <w:r>
              <w:rPr>
                <w:sz w:val="14"/>
              </w:rPr>
              <w:t>Esta</w:t>
            </w:r>
            <w:r>
              <w:rPr>
                <w:spacing w:val="-13"/>
                <w:sz w:val="14"/>
              </w:rPr>
              <w:t> </w:t>
            </w:r>
            <w:r>
              <w:rPr>
                <w:sz w:val="14"/>
              </w:rPr>
              <w:t>clase</w:t>
            </w:r>
            <w:r>
              <w:rPr>
                <w:spacing w:val="-12"/>
                <w:sz w:val="14"/>
              </w:rPr>
              <w:t> </w:t>
            </w:r>
            <w:r>
              <w:rPr>
                <w:sz w:val="14"/>
              </w:rPr>
              <w:t>no</w:t>
            </w:r>
            <w:r>
              <w:rPr>
                <w:spacing w:val="-12"/>
                <w:sz w:val="14"/>
              </w:rPr>
              <w:t> </w:t>
            </w:r>
            <w:r>
              <w:rPr>
                <w:sz w:val="14"/>
              </w:rPr>
              <w:t>comprende:</w:t>
            </w:r>
          </w:p>
          <w:p>
            <w:pPr>
              <w:pStyle w:val="TableParagraph"/>
              <w:numPr>
                <w:ilvl w:val="0"/>
                <w:numId w:val="467"/>
              </w:numPr>
              <w:tabs>
                <w:tab w:pos="132" w:val="left" w:leader="none"/>
              </w:tabs>
              <w:spacing w:line="157" w:lineRule="exact" w:before="1" w:after="0"/>
              <w:ind w:left="131" w:right="0" w:hanging="96"/>
              <w:jc w:val="left"/>
              <w:rPr>
                <w:sz w:val="14"/>
              </w:rPr>
            </w:pPr>
            <w:r>
              <w:rPr>
                <w:sz w:val="14"/>
              </w:rPr>
              <w:t>la</w:t>
            </w:r>
            <w:r>
              <w:rPr>
                <w:spacing w:val="-8"/>
                <w:sz w:val="14"/>
              </w:rPr>
              <w:t> </w:t>
            </w:r>
            <w:r>
              <w:rPr>
                <w:sz w:val="14"/>
              </w:rPr>
              <w:t>instalación</w:t>
            </w:r>
            <w:r>
              <w:rPr>
                <w:spacing w:val="-8"/>
                <w:sz w:val="14"/>
              </w:rPr>
              <w:t> </w:t>
            </w:r>
            <w:r>
              <w:rPr>
                <w:sz w:val="14"/>
              </w:rPr>
              <w:t>de</w:t>
            </w:r>
            <w:r>
              <w:rPr>
                <w:spacing w:val="-7"/>
                <w:sz w:val="14"/>
              </w:rPr>
              <w:t> </w:t>
            </w:r>
            <w:r>
              <w:rPr>
                <w:sz w:val="14"/>
              </w:rPr>
              <w:t>ventanas</w:t>
            </w:r>
            <w:r>
              <w:rPr>
                <w:spacing w:val="-8"/>
                <w:sz w:val="14"/>
              </w:rPr>
              <w:t> </w:t>
            </w:r>
            <w:r>
              <w:rPr>
                <w:sz w:val="14"/>
              </w:rPr>
              <w:t>(véase</w:t>
            </w:r>
            <w:r>
              <w:rPr>
                <w:spacing w:val="-7"/>
                <w:sz w:val="14"/>
              </w:rPr>
              <w:t> </w:t>
            </w:r>
            <w:r>
              <w:rPr>
                <w:sz w:val="14"/>
              </w:rPr>
              <w:t>45.42).</w:t>
            </w:r>
          </w:p>
        </w:tc>
        <w:tc>
          <w:tcPr>
            <w:tcW w:w="893" w:type="dxa"/>
            <w:tcBorders>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spacing w:before="1"/>
              <w:ind w:left="35"/>
              <w:rPr>
                <w:sz w:val="14"/>
              </w:rPr>
            </w:pPr>
            <w:r>
              <w:rPr>
                <w:sz w:val="14"/>
              </w:rPr>
              <w:t>45440000</w:t>
            </w:r>
          </w:p>
        </w:tc>
      </w:tr>
      <w:tr>
        <w:trPr>
          <w:trHeight w:val="1003"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before="4"/>
              <w:rPr>
                <w:rFonts w:ascii="Times New Roman"/>
                <w:sz w:val="17"/>
              </w:rPr>
            </w:pPr>
          </w:p>
          <w:p>
            <w:pPr>
              <w:pStyle w:val="TableParagraph"/>
              <w:ind w:right="38"/>
              <w:jc w:val="right"/>
              <w:rPr>
                <w:sz w:val="14"/>
              </w:rPr>
            </w:pPr>
            <w:r>
              <w:rPr>
                <w:w w:val="85"/>
                <w:sz w:val="14"/>
              </w:rPr>
              <w:t>45.45</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8"/>
              </w:rPr>
            </w:pPr>
          </w:p>
          <w:p>
            <w:pPr>
              <w:pStyle w:val="TableParagraph"/>
              <w:spacing w:line="249" w:lineRule="auto" w:before="115"/>
              <w:ind w:left="38"/>
              <w:rPr>
                <w:sz w:val="14"/>
              </w:rPr>
            </w:pPr>
            <w:r>
              <w:rPr>
                <w:w w:val="90"/>
                <w:sz w:val="14"/>
              </w:rPr>
              <w:t>Otros acabados de edificios </w:t>
            </w:r>
            <w:r>
              <w:rPr>
                <w:sz w:val="14"/>
              </w:rPr>
              <w:t>y obras.</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6"/>
              <w:rPr>
                <w:sz w:val="14"/>
              </w:rPr>
            </w:pPr>
            <w:r>
              <w:rPr>
                <w:sz w:val="14"/>
              </w:rPr>
              <w:t>Esta clase comprende:</w:t>
            </w:r>
          </w:p>
          <w:p>
            <w:pPr>
              <w:pStyle w:val="TableParagraph"/>
              <w:numPr>
                <w:ilvl w:val="0"/>
                <w:numId w:val="468"/>
              </w:numPr>
              <w:tabs>
                <w:tab w:pos="132" w:val="left" w:leader="none"/>
              </w:tabs>
              <w:spacing w:line="240" w:lineRule="auto" w:before="7" w:after="0"/>
              <w:ind w:left="131" w:right="0" w:hanging="96"/>
              <w:jc w:val="left"/>
              <w:rPr>
                <w:sz w:val="14"/>
              </w:rPr>
            </w:pPr>
            <w:r>
              <w:rPr>
                <w:sz w:val="14"/>
              </w:rPr>
              <w:t>la</w:t>
            </w:r>
            <w:r>
              <w:rPr>
                <w:spacing w:val="-8"/>
                <w:sz w:val="14"/>
              </w:rPr>
              <w:t> </w:t>
            </w:r>
            <w:r>
              <w:rPr>
                <w:sz w:val="14"/>
              </w:rPr>
              <w:t>instalación</w:t>
            </w:r>
            <w:r>
              <w:rPr>
                <w:spacing w:val="-7"/>
                <w:sz w:val="14"/>
              </w:rPr>
              <w:t> </w:t>
            </w:r>
            <w:r>
              <w:rPr>
                <w:sz w:val="14"/>
              </w:rPr>
              <w:t>de</w:t>
            </w:r>
            <w:r>
              <w:rPr>
                <w:spacing w:val="-8"/>
                <w:sz w:val="14"/>
              </w:rPr>
              <w:t> </w:t>
            </w:r>
            <w:r>
              <w:rPr>
                <w:sz w:val="14"/>
              </w:rPr>
              <w:t>piscinas</w:t>
            </w:r>
            <w:r>
              <w:rPr>
                <w:spacing w:val="-7"/>
                <w:sz w:val="14"/>
              </w:rPr>
              <w:t> </w:t>
            </w:r>
            <w:r>
              <w:rPr>
                <w:sz w:val="14"/>
              </w:rPr>
              <w:t>particulares,</w:t>
            </w:r>
          </w:p>
          <w:p>
            <w:pPr>
              <w:pStyle w:val="TableParagraph"/>
              <w:numPr>
                <w:ilvl w:val="0"/>
                <w:numId w:val="468"/>
              </w:numPr>
              <w:tabs>
                <w:tab w:pos="132" w:val="left" w:leader="none"/>
              </w:tabs>
              <w:spacing w:line="240" w:lineRule="auto" w:before="7" w:after="0"/>
              <w:ind w:left="131" w:right="0" w:hanging="96"/>
              <w:jc w:val="left"/>
              <w:rPr>
                <w:sz w:val="14"/>
              </w:rPr>
            </w:pPr>
            <w:r>
              <w:rPr>
                <w:sz w:val="14"/>
              </w:rPr>
              <w:t>la</w:t>
            </w:r>
            <w:r>
              <w:rPr>
                <w:spacing w:val="-14"/>
                <w:sz w:val="14"/>
              </w:rPr>
              <w:t> </w:t>
            </w:r>
            <w:r>
              <w:rPr>
                <w:sz w:val="14"/>
              </w:rPr>
              <w:t>limpieza</w:t>
            </w:r>
            <w:r>
              <w:rPr>
                <w:spacing w:val="-14"/>
                <w:sz w:val="14"/>
              </w:rPr>
              <w:t> </w:t>
            </w:r>
            <w:r>
              <w:rPr>
                <w:sz w:val="14"/>
              </w:rPr>
              <w:t>al</w:t>
            </w:r>
            <w:r>
              <w:rPr>
                <w:spacing w:val="-13"/>
                <w:sz w:val="14"/>
              </w:rPr>
              <w:t> </w:t>
            </w:r>
            <w:r>
              <w:rPr>
                <w:sz w:val="14"/>
              </w:rPr>
              <w:t>vapor,</w:t>
            </w:r>
            <w:r>
              <w:rPr>
                <w:spacing w:val="-14"/>
                <w:sz w:val="14"/>
              </w:rPr>
              <w:t> </w:t>
            </w:r>
            <w:r>
              <w:rPr>
                <w:sz w:val="14"/>
              </w:rPr>
              <w:t>con</w:t>
            </w:r>
            <w:r>
              <w:rPr>
                <w:spacing w:val="-13"/>
                <w:sz w:val="14"/>
              </w:rPr>
              <w:t> </w:t>
            </w:r>
            <w:r>
              <w:rPr>
                <w:sz w:val="14"/>
              </w:rPr>
              <w:t>chorro</w:t>
            </w:r>
            <w:r>
              <w:rPr>
                <w:spacing w:val="-14"/>
                <w:sz w:val="14"/>
              </w:rPr>
              <w:t> </w:t>
            </w:r>
            <w:r>
              <w:rPr>
                <w:sz w:val="14"/>
              </w:rPr>
              <w:t>de</w:t>
            </w:r>
            <w:r>
              <w:rPr>
                <w:spacing w:val="-13"/>
                <w:sz w:val="14"/>
              </w:rPr>
              <w:t> </w:t>
            </w:r>
            <w:r>
              <w:rPr>
                <w:sz w:val="14"/>
              </w:rPr>
              <w:t>arena</w:t>
            </w:r>
            <w:r>
              <w:rPr>
                <w:spacing w:val="-14"/>
                <w:sz w:val="14"/>
              </w:rPr>
              <w:t> </w:t>
            </w:r>
            <w:r>
              <w:rPr>
                <w:sz w:val="14"/>
              </w:rPr>
              <w:t>o</w:t>
            </w:r>
            <w:r>
              <w:rPr>
                <w:spacing w:val="-14"/>
                <w:sz w:val="14"/>
              </w:rPr>
              <w:t> </w:t>
            </w:r>
            <w:r>
              <w:rPr>
                <w:sz w:val="14"/>
              </w:rPr>
              <w:t>similares,</w:t>
            </w:r>
            <w:r>
              <w:rPr>
                <w:spacing w:val="-13"/>
                <w:sz w:val="14"/>
              </w:rPr>
              <w:t> </w:t>
            </w:r>
            <w:r>
              <w:rPr>
                <w:sz w:val="14"/>
              </w:rPr>
              <w:t>del</w:t>
            </w:r>
            <w:r>
              <w:rPr>
                <w:spacing w:val="-14"/>
                <w:sz w:val="14"/>
              </w:rPr>
              <w:t> </w:t>
            </w:r>
            <w:r>
              <w:rPr>
                <w:sz w:val="14"/>
              </w:rPr>
              <w:t>exterior</w:t>
            </w:r>
            <w:r>
              <w:rPr>
                <w:spacing w:val="-13"/>
                <w:sz w:val="14"/>
              </w:rPr>
              <w:t> </w:t>
            </w:r>
            <w:r>
              <w:rPr>
                <w:sz w:val="14"/>
              </w:rPr>
              <w:t>de</w:t>
            </w:r>
            <w:r>
              <w:rPr>
                <w:spacing w:val="-14"/>
                <w:sz w:val="14"/>
              </w:rPr>
              <w:t> </w:t>
            </w:r>
            <w:r>
              <w:rPr>
                <w:sz w:val="14"/>
              </w:rPr>
              <w:t>los</w:t>
            </w:r>
            <w:r>
              <w:rPr>
                <w:spacing w:val="-13"/>
                <w:sz w:val="14"/>
              </w:rPr>
              <w:t> </w:t>
            </w:r>
            <w:r>
              <w:rPr>
                <w:sz w:val="14"/>
              </w:rPr>
              <w:t>edificios,</w:t>
            </w:r>
          </w:p>
          <w:p>
            <w:pPr>
              <w:pStyle w:val="TableParagraph"/>
              <w:numPr>
                <w:ilvl w:val="0"/>
                <w:numId w:val="468"/>
              </w:numPr>
              <w:tabs>
                <w:tab w:pos="132" w:val="left" w:leader="none"/>
              </w:tabs>
              <w:spacing w:line="249" w:lineRule="auto" w:before="7" w:after="0"/>
              <w:ind w:left="36" w:right="2922" w:firstLine="0"/>
              <w:jc w:val="left"/>
              <w:rPr>
                <w:sz w:val="14"/>
              </w:rPr>
            </w:pPr>
            <w:r>
              <w:rPr>
                <w:w w:val="90"/>
                <w:sz w:val="14"/>
              </w:rPr>
              <w:t>otras</w:t>
            </w:r>
            <w:r>
              <w:rPr>
                <w:spacing w:val="-12"/>
                <w:w w:val="90"/>
                <w:sz w:val="14"/>
              </w:rPr>
              <w:t> </w:t>
            </w:r>
            <w:r>
              <w:rPr>
                <w:w w:val="90"/>
                <w:sz w:val="14"/>
              </w:rPr>
              <w:t>obras</w:t>
            </w:r>
            <w:r>
              <w:rPr>
                <w:spacing w:val="-12"/>
                <w:w w:val="90"/>
                <w:sz w:val="14"/>
              </w:rPr>
              <w:t> </w:t>
            </w:r>
            <w:r>
              <w:rPr>
                <w:w w:val="90"/>
                <w:sz w:val="14"/>
              </w:rPr>
              <w:t>de</w:t>
            </w:r>
            <w:r>
              <w:rPr>
                <w:spacing w:val="-12"/>
                <w:w w:val="90"/>
                <w:sz w:val="14"/>
              </w:rPr>
              <w:t> </w:t>
            </w:r>
            <w:r>
              <w:rPr>
                <w:w w:val="90"/>
                <w:sz w:val="14"/>
              </w:rPr>
              <w:t>acabado</w:t>
            </w:r>
            <w:r>
              <w:rPr>
                <w:spacing w:val="-12"/>
                <w:w w:val="90"/>
                <w:sz w:val="14"/>
              </w:rPr>
              <w:t> </w:t>
            </w:r>
            <w:r>
              <w:rPr>
                <w:w w:val="90"/>
                <w:sz w:val="14"/>
              </w:rPr>
              <w:t>de</w:t>
            </w:r>
            <w:r>
              <w:rPr>
                <w:spacing w:val="-12"/>
                <w:w w:val="90"/>
                <w:sz w:val="14"/>
              </w:rPr>
              <w:t> </w:t>
            </w:r>
            <w:r>
              <w:rPr>
                <w:w w:val="90"/>
                <w:sz w:val="14"/>
              </w:rPr>
              <w:t>edificios</w:t>
            </w:r>
            <w:r>
              <w:rPr>
                <w:spacing w:val="-11"/>
                <w:w w:val="90"/>
                <w:sz w:val="14"/>
              </w:rPr>
              <w:t> </w:t>
            </w:r>
            <w:r>
              <w:rPr>
                <w:w w:val="90"/>
                <w:sz w:val="14"/>
              </w:rPr>
              <w:t>no</w:t>
            </w:r>
            <w:r>
              <w:rPr>
                <w:spacing w:val="-12"/>
                <w:w w:val="90"/>
                <w:sz w:val="14"/>
              </w:rPr>
              <w:t> </w:t>
            </w:r>
            <w:r>
              <w:rPr>
                <w:w w:val="90"/>
                <w:sz w:val="14"/>
              </w:rPr>
              <w:t>citadas</w:t>
            </w:r>
            <w:r>
              <w:rPr>
                <w:spacing w:val="-12"/>
                <w:w w:val="90"/>
                <w:sz w:val="14"/>
              </w:rPr>
              <w:t> </w:t>
            </w:r>
            <w:r>
              <w:rPr>
                <w:w w:val="90"/>
                <w:sz w:val="14"/>
              </w:rPr>
              <w:t>en</w:t>
            </w:r>
            <w:r>
              <w:rPr>
                <w:spacing w:val="-12"/>
                <w:w w:val="90"/>
                <w:sz w:val="14"/>
              </w:rPr>
              <w:t> </w:t>
            </w:r>
            <w:r>
              <w:rPr>
                <w:w w:val="90"/>
                <w:sz w:val="14"/>
              </w:rPr>
              <w:t>otra</w:t>
            </w:r>
            <w:r>
              <w:rPr>
                <w:spacing w:val="-12"/>
                <w:w w:val="90"/>
                <w:sz w:val="14"/>
              </w:rPr>
              <w:t> </w:t>
            </w:r>
            <w:r>
              <w:rPr>
                <w:w w:val="90"/>
                <w:sz w:val="14"/>
              </w:rPr>
              <w:t>parte. </w:t>
            </w:r>
            <w:r>
              <w:rPr>
                <w:sz w:val="14"/>
              </w:rPr>
              <w:t>Esta clase no</w:t>
            </w:r>
            <w:r>
              <w:rPr>
                <w:spacing w:val="-25"/>
                <w:sz w:val="14"/>
              </w:rPr>
              <w:t> </w:t>
            </w:r>
            <w:r>
              <w:rPr>
                <w:sz w:val="14"/>
              </w:rPr>
              <w:t>comprende:</w:t>
            </w:r>
          </w:p>
          <w:p>
            <w:pPr>
              <w:pStyle w:val="TableParagraph"/>
              <w:numPr>
                <w:ilvl w:val="0"/>
                <w:numId w:val="468"/>
              </w:numPr>
              <w:tabs>
                <w:tab w:pos="132" w:val="left" w:leader="none"/>
              </w:tabs>
              <w:spacing w:line="157" w:lineRule="exact" w:before="1" w:after="0"/>
              <w:ind w:left="131" w:right="0" w:hanging="96"/>
              <w:jc w:val="left"/>
              <w:rPr>
                <w:sz w:val="14"/>
              </w:rPr>
            </w:pPr>
            <w:r>
              <w:rPr>
                <w:sz w:val="14"/>
              </w:rPr>
              <w:t>la</w:t>
            </w:r>
            <w:r>
              <w:rPr>
                <w:spacing w:val="-9"/>
                <w:sz w:val="14"/>
              </w:rPr>
              <w:t> </w:t>
            </w:r>
            <w:r>
              <w:rPr>
                <w:sz w:val="14"/>
              </w:rPr>
              <w:t>limpieza</w:t>
            </w:r>
            <w:r>
              <w:rPr>
                <w:spacing w:val="-9"/>
                <w:sz w:val="14"/>
              </w:rPr>
              <w:t> </w:t>
            </w:r>
            <w:r>
              <w:rPr>
                <w:sz w:val="14"/>
              </w:rPr>
              <w:t>interior</w:t>
            </w:r>
            <w:r>
              <w:rPr>
                <w:spacing w:val="-9"/>
                <w:sz w:val="14"/>
              </w:rPr>
              <w:t> </w:t>
            </w:r>
            <w:r>
              <w:rPr>
                <w:sz w:val="14"/>
              </w:rPr>
              <w:t>de</w:t>
            </w:r>
            <w:r>
              <w:rPr>
                <w:spacing w:val="-9"/>
                <w:sz w:val="14"/>
              </w:rPr>
              <w:t> </w:t>
            </w:r>
            <w:r>
              <w:rPr>
                <w:sz w:val="14"/>
              </w:rPr>
              <w:t>edificios</w:t>
            </w:r>
            <w:r>
              <w:rPr>
                <w:spacing w:val="-9"/>
                <w:sz w:val="14"/>
              </w:rPr>
              <w:t> </w:t>
            </w:r>
            <w:r>
              <w:rPr>
                <w:sz w:val="14"/>
              </w:rPr>
              <w:t>y</w:t>
            </w:r>
            <w:r>
              <w:rPr>
                <w:spacing w:val="-8"/>
                <w:sz w:val="14"/>
              </w:rPr>
              <w:t> </w:t>
            </w:r>
            <w:r>
              <w:rPr>
                <w:sz w:val="14"/>
              </w:rPr>
              <w:t>obras</w:t>
            </w:r>
            <w:r>
              <w:rPr>
                <w:spacing w:val="-9"/>
                <w:sz w:val="14"/>
              </w:rPr>
              <w:t> </w:t>
            </w:r>
            <w:r>
              <w:rPr>
                <w:sz w:val="14"/>
              </w:rPr>
              <w:t>(véase</w:t>
            </w:r>
            <w:r>
              <w:rPr>
                <w:spacing w:val="-9"/>
                <w:sz w:val="14"/>
              </w:rPr>
              <w:t> </w:t>
            </w:r>
            <w:r>
              <w:rPr>
                <w:sz w:val="14"/>
              </w:rPr>
              <w:t>74.70).</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8"/>
              <w:rPr>
                <w:rFonts w:ascii="Times New Roman"/>
                <w:sz w:val="20"/>
              </w:rPr>
            </w:pPr>
          </w:p>
          <w:p>
            <w:pPr>
              <w:pStyle w:val="TableParagraph"/>
              <w:spacing w:line="249" w:lineRule="auto" w:before="1"/>
              <w:ind w:left="35"/>
              <w:rPr>
                <w:sz w:val="14"/>
              </w:rPr>
            </w:pPr>
            <w:r>
              <w:rPr>
                <w:w w:val="90"/>
                <w:sz w:val="14"/>
              </w:rPr>
              <w:t>45212212 y </w:t>
            </w:r>
            <w:r>
              <w:rPr>
                <w:sz w:val="14"/>
              </w:rPr>
              <w:t>DA04 </w:t>
            </w:r>
            <w:r>
              <w:rPr>
                <w:w w:val="95"/>
                <w:sz w:val="14"/>
              </w:rPr>
              <w:t>45450000</w:t>
            </w:r>
          </w:p>
        </w:tc>
      </w:tr>
      <w:tr>
        <w:trPr>
          <w:trHeight w:val="49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spacing w:before="154"/>
              <w:ind w:left="11" w:right="8"/>
              <w:jc w:val="center"/>
              <w:rPr>
                <w:sz w:val="14"/>
              </w:rPr>
            </w:pPr>
            <w:r>
              <w:rPr>
                <w:sz w:val="14"/>
              </w:rPr>
              <w:t>45.5</w:t>
            </w:r>
          </w:p>
        </w:tc>
        <w:tc>
          <w:tcPr>
            <w:tcW w:w="400"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8"/>
              <w:rPr>
                <w:sz w:val="14"/>
              </w:rPr>
            </w:pPr>
            <w:r>
              <w:rPr>
                <w:sz w:val="14"/>
              </w:rPr>
              <w:t>Alquiler de equipo de</w:t>
            </w:r>
          </w:p>
          <w:p>
            <w:pPr>
              <w:pStyle w:val="TableParagraph"/>
              <w:spacing w:line="160" w:lineRule="atLeast" w:before="7"/>
              <w:ind w:left="38"/>
              <w:rPr>
                <w:sz w:val="14"/>
              </w:rPr>
            </w:pPr>
            <w:r>
              <w:rPr>
                <w:w w:val="90"/>
                <w:sz w:val="14"/>
              </w:rPr>
              <w:t>construcción o demolición </w:t>
            </w:r>
            <w:r>
              <w:rPr>
                <w:sz w:val="14"/>
              </w:rPr>
              <w:t>dotado de operario.</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154"/>
              <w:ind w:left="35"/>
              <w:rPr>
                <w:sz w:val="14"/>
              </w:rPr>
            </w:pPr>
            <w:r>
              <w:rPr>
                <w:sz w:val="14"/>
              </w:rPr>
              <w:t>45500000</w:t>
            </w:r>
          </w:p>
        </w:tc>
      </w:tr>
      <w:tr>
        <w:trPr>
          <w:trHeight w:val="499" w:hRule="atLeast"/>
        </w:trPr>
        <w:tc>
          <w:tcPr>
            <w:tcW w:w="515"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427" w:type="dxa"/>
            <w:tcBorders>
              <w:top w:val="single" w:sz="4" w:space="0" w:color="CCCCCC"/>
              <w:left w:val="single" w:sz="4" w:space="0" w:color="CCCCCC"/>
              <w:bottom w:val="single" w:sz="4" w:space="0" w:color="CCCCCC"/>
              <w:right w:val="single" w:sz="4" w:space="0" w:color="CCCCCC"/>
            </w:tcBorders>
          </w:tcPr>
          <w:p>
            <w:pPr>
              <w:pStyle w:val="TableParagraph"/>
              <w:rPr>
                <w:rFonts w:ascii="Times New Roman"/>
                <w:sz w:val="16"/>
              </w:rPr>
            </w:pPr>
          </w:p>
        </w:tc>
        <w:tc>
          <w:tcPr>
            <w:tcW w:w="400" w:type="dxa"/>
            <w:tcBorders>
              <w:top w:val="single" w:sz="4" w:space="0" w:color="CCCCCC"/>
              <w:left w:val="single" w:sz="4" w:space="0" w:color="CCCCCC"/>
              <w:bottom w:val="single" w:sz="4" w:space="0" w:color="CCCCCC"/>
              <w:right w:val="single" w:sz="4" w:space="0" w:color="CCCCCC"/>
            </w:tcBorders>
          </w:tcPr>
          <w:p>
            <w:pPr>
              <w:pStyle w:val="TableParagraph"/>
              <w:spacing w:before="154"/>
              <w:ind w:right="38"/>
              <w:jc w:val="right"/>
              <w:rPr>
                <w:sz w:val="14"/>
              </w:rPr>
            </w:pPr>
            <w:r>
              <w:rPr>
                <w:w w:val="85"/>
                <w:sz w:val="14"/>
              </w:rPr>
              <w:t>45.50</w:t>
            </w:r>
          </w:p>
        </w:tc>
        <w:tc>
          <w:tcPr>
            <w:tcW w:w="1623" w:type="dxa"/>
            <w:tcBorders>
              <w:top w:val="single" w:sz="4" w:space="0" w:color="CCCCCC"/>
              <w:left w:val="single" w:sz="4" w:space="0" w:color="CCCCCC"/>
              <w:bottom w:val="single" w:sz="4" w:space="0" w:color="CCCCCC"/>
              <w:right w:val="single" w:sz="4" w:space="0" w:color="CCCCCC"/>
            </w:tcBorders>
          </w:tcPr>
          <w:p>
            <w:pPr>
              <w:pStyle w:val="TableParagraph"/>
              <w:spacing w:line="148" w:lineRule="exact"/>
              <w:ind w:left="38"/>
              <w:rPr>
                <w:sz w:val="14"/>
              </w:rPr>
            </w:pPr>
            <w:r>
              <w:rPr>
                <w:sz w:val="14"/>
              </w:rPr>
              <w:t>Alquiler de equipo de</w:t>
            </w:r>
          </w:p>
          <w:p>
            <w:pPr>
              <w:pStyle w:val="TableParagraph"/>
              <w:spacing w:line="160" w:lineRule="atLeast" w:before="7"/>
              <w:ind w:left="38"/>
              <w:rPr>
                <w:sz w:val="14"/>
              </w:rPr>
            </w:pPr>
            <w:r>
              <w:rPr>
                <w:w w:val="90"/>
                <w:sz w:val="14"/>
              </w:rPr>
              <w:t>construcción o demolición </w:t>
            </w:r>
            <w:r>
              <w:rPr>
                <w:sz w:val="14"/>
              </w:rPr>
              <w:t>dotado de operario.</w:t>
            </w:r>
          </w:p>
        </w:tc>
        <w:tc>
          <w:tcPr>
            <w:tcW w:w="6354" w:type="dxa"/>
            <w:tcBorders>
              <w:top w:val="single" w:sz="4" w:space="0" w:color="CCCCCC"/>
              <w:left w:val="single" w:sz="4" w:space="0" w:color="CCCCCC"/>
              <w:bottom w:val="single" w:sz="4" w:space="0" w:color="CCCCCC"/>
              <w:right w:val="single" w:sz="4" w:space="0" w:color="CCCCCC"/>
            </w:tcBorders>
          </w:tcPr>
          <w:p>
            <w:pPr>
              <w:pStyle w:val="TableParagraph"/>
              <w:spacing w:before="70"/>
              <w:ind w:left="36"/>
              <w:rPr>
                <w:sz w:val="14"/>
              </w:rPr>
            </w:pPr>
            <w:r>
              <w:rPr>
                <w:sz w:val="14"/>
              </w:rPr>
              <w:t>Esta clase no comprende:</w:t>
            </w:r>
          </w:p>
          <w:p>
            <w:pPr>
              <w:pStyle w:val="TableParagraph"/>
              <w:spacing w:before="7"/>
              <w:ind w:left="36"/>
              <w:rPr>
                <w:sz w:val="14"/>
              </w:rPr>
            </w:pPr>
            <w:r>
              <w:rPr>
                <w:w w:val="95"/>
                <w:sz w:val="14"/>
              </w:rPr>
              <w:t>– el alquiler de equipo y maquinaria de construcción o demolición desprovisto de operario (véase 71.32).</w:t>
            </w:r>
          </w:p>
        </w:tc>
        <w:tc>
          <w:tcPr>
            <w:tcW w:w="893" w:type="dxa"/>
            <w:tcBorders>
              <w:top w:val="single" w:sz="4" w:space="0" w:color="CCCCCC"/>
              <w:left w:val="single" w:sz="4" w:space="0" w:color="CCCCCC"/>
              <w:bottom w:val="single" w:sz="4" w:space="0" w:color="CCCCCC"/>
              <w:right w:val="single" w:sz="4" w:space="0" w:color="CCCCCC"/>
            </w:tcBorders>
          </w:tcPr>
          <w:p>
            <w:pPr>
              <w:pStyle w:val="TableParagraph"/>
              <w:spacing w:before="154"/>
              <w:ind w:left="35"/>
              <w:rPr>
                <w:sz w:val="14"/>
              </w:rPr>
            </w:pPr>
            <w:r>
              <w:rPr>
                <w:sz w:val="14"/>
              </w:rPr>
              <w:t>45500000</w:t>
            </w:r>
          </w:p>
        </w:tc>
      </w:tr>
    </w:tbl>
    <w:p>
      <w:pPr>
        <w:pStyle w:val="BodyText"/>
        <w:spacing w:before="0"/>
        <w:ind w:left="0" w:firstLine="0"/>
        <w:jc w:val="left"/>
        <w:rPr>
          <w:rFonts w:ascii="Times New Roman"/>
          <w:sz w:val="23"/>
        </w:rPr>
      </w:pPr>
    </w:p>
    <w:p>
      <w:pPr>
        <w:spacing w:line="249" w:lineRule="auto" w:before="121"/>
        <w:ind w:left="1074" w:right="1273" w:firstLine="340"/>
        <w:jc w:val="both"/>
        <w:rPr>
          <w:sz w:val="16"/>
        </w:rPr>
      </w:pPr>
      <w:r>
        <w:rPr>
          <w:position w:val="5"/>
          <w:sz w:val="9"/>
        </w:rPr>
        <w:t>(1) </w:t>
      </w:r>
      <w:r>
        <w:rPr>
          <w:sz w:val="16"/>
        </w:rPr>
        <w:t>Reglamento (CEE) n.° 1893/2006 del Parlamento Europeo y del Consejo, de 20 de diciembre de 2006, que establece la clasificación europea de actividades económicas.</w:t>
      </w:r>
    </w:p>
    <w:p>
      <w:pPr>
        <w:pStyle w:val="BodyText"/>
        <w:spacing w:before="0"/>
        <w:ind w:left="0" w:firstLine="0"/>
        <w:jc w:val="left"/>
      </w:pPr>
    </w:p>
    <w:p>
      <w:pPr>
        <w:pStyle w:val="BodyText"/>
        <w:spacing w:before="9"/>
        <w:ind w:left="0" w:firstLine="0"/>
        <w:jc w:val="left"/>
        <w:rPr>
          <w:sz w:val="19"/>
        </w:rPr>
      </w:pPr>
    </w:p>
    <w:p>
      <w:pPr>
        <w:pStyle w:val="Heading1"/>
        <w:spacing w:before="0"/>
        <w:ind w:left="2929"/>
      </w:pPr>
      <w:bookmarkStart w:name="ANEXO III. Información que debe figurar " w:id="431"/>
      <w:bookmarkEnd w:id="431"/>
      <w:r>
        <w:rPr>
          <w:b w:val="0"/>
        </w:rPr>
      </w:r>
      <w:bookmarkStart w:name="_bookmark84" w:id="432"/>
      <w:bookmarkEnd w:id="432"/>
      <w:r>
        <w:rPr>
          <w:b w:val="0"/>
        </w:rPr>
      </w:r>
      <w:r>
        <w:rPr/>
        <w:t>ANEXO III</w:t>
      </w:r>
    </w:p>
    <w:p>
      <w:pPr>
        <w:spacing w:line="249" w:lineRule="auto" w:before="124"/>
        <w:ind w:left="1414" w:right="1611" w:firstLine="0"/>
        <w:jc w:val="center"/>
        <w:rPr>
          <w:b/>
          <w:sz w:val="20"/>
        </w:rPr>
      </w:pPr>
      <w:r>
        <w:rPr>
          <w:b/>
          <w:sz w:val="20"/>
        </w:rPr>
        <w:t>Información que debe figurar en los anuncios sobre la existencia de un sistema de clasificación</w:t>
      </w:r>
    </w:p>
    <w:p>
      <w:pPr>
        <w:pStyle w:val="BodyText"/>
        <w:spacing w:before="10"/>
        <w:ind w:left="0" w:firstLine="0"/>
        <w:jc w:val="left"/>
        <w:rPr>
          <w:b/>
          <w:sz w:val="19"/>
        </w:rPr>
      </w:pPr>
    </w:p>
    <w:p>
      <w:pPr>
        <w:pStyle w:val="Heading2"/>
        <w:spacing w:line="249" w:lineRule="auto"/>
        <w:ind w:left="3150" w:right="1614" w:hanging="1737"/>
        <w:jc w:val="both"/>
      </w:pPr>
      <w:r>
        <w:rPr>
          <w:i/>
        </w:rPr>
        <w:t>Sección A. Anuncios sobre la existencia de un sistema de clasificación, </w:t>
      </w:r>
      <w:r>
        <w:rPr/>
        <w:t>excepto en el caso previsto en la sección</w:t>
      </w:r>
      <w:r>
        <w:rPr>
          <w:spacing w:val="-10"/>
        </w:rPr>
        <w:t> </w:t>
      </w:r>
      <w:r>
        <w:rPr/>
        <w:t>B</w:t>
      </w:r>
    </w:p>
    <w:p>
      <w:pPr>
        <w:pStyle w:val="ListParagraph"/>
        <w:numPr>
          <w:ilvl w:val="0"/>
          <w:numId w:val="469"/>
        </w:numPr>
        <w:tabs>
          <w:tab w:pos="1708" w:val="left" w:leader="none"/>
        </w:tabs>
        <w:spacing w:line="249" w:lineRule="auto" w:before="116"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69"/>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69"/>
        </w:numPr>
        <w:tabs>
          <w:tab w:pos="1642" w:val="left" w:leader="none"/>
        </w:tabs>
        <w:spacing w:line="249" w:lineRule="auto" w:before="10" w:after="0"/>
        <w:ind w:left="1074" w:right="1273" w:firstLine="340"/>
        <w:jc w:val="both"/>
        <w:rPr>
          <w:sz w:val="20"/>
        </w:rPr>
      </w:pPr>
      <w:r>
        <w:rPr>
          <w:sz w:val="20"/>
        </w:rPr>
        <w:t>Si procede, indicación de si el contrato está reservado para talleres protegidos, o si su ejecución está reservada para programas de empleo</w:t>
      </w:r>
      <w:r>
        <w:rPr>
          <w:spacing w:val="-11"/>
          <w:sz w:val="20"/>
        </w:rPr>
        <w:t> </w:t>
      </w:r>
      <w:r>
        <w:rPr>
          <w:sz w:val="20"/>
        </w:rPr>
        <w:t>protegidos.</w:t>
      </w:r>
    </w:p>
    <w:p>
      <w:pPr>
        <w:pStyle w:val="ListParagraph"/>
        <w:numPr>
          <w:ilvl w:val="0"/>
          <w:numId w:val="469"/>
        </w:numPr>
        <w:tabs>
          <w:tab w:pos="1653" w:val="left" w:leader="none"/>
        </w:tabs>
        <w:spacing w:line="249" w:lineRule="auto" w:before="2" w:after="0"/>
        <w:ind w:left="1074" w:right="1273" w:firstLine="340"/>
        <w:jc w:val="both"/>
        <w:rPr>
          <w:sz w:val="20"/>
        </w:rPr>
      </w:pPr>
      <w:r>
        <w:rPr>
          <w:sz w:val="20"/>
        </w:rPr>
        <w:t>Objeto del sistema de clasificación (descripción de los productos, servicios u obras o categorías de los mismos que deban contratarse a través del sistema-códigos CPV). Código NUTS del emplazamiento principal de las obras, en el caso de los contratos de obras, o código NUTS del lugar principal de entrega o de ejecución, en los contratos de suministro y de</w:t>
      </w:r>
      <w:r>
        <w:rPr>
          <w:spacing w:val="-1"/>
          <w:sz w:val="20"/>
        </w:rPr>
        <w:t> </w:t>
      </w:r>
      <w:r>
        <w:rPr>
          <w:sz w:val="20"/>
        </w:rPr>
        <w:t>servicios.</w:t>
      </w:r>
    </w:p>
    <w:p>
      <w:pPr>
        <w:pStyle w:val="ListParagraph"/>
        <w:numPr>
          <w:ilvl w:val="0"/>
          <w:numId w:val="469"/>
        </w:numPr>
        <w:tabs>
          <w:tab w:pos="1668" w:val="left" w:leader="none"/>
        </w:tabs>
        <w:spacing w:line="249" w:lineRule="auto" w:before="4" w:after="0"/>
        <w:ind w:left="1074" w:right="1272" w:firstLine="340"/>
        <w:jc w:val="both"/>
        <w:rPr>
          <w:sz w:val="20"/>
        </w:rPr>
      </w:pPr>
      <w:r>
        <w:rPr>
          <w:sz w:val="20"/>
        </w:rPr>
        <w:t>Condiciones que deberán cumplir los empresarios con vistas a su clasificación con arreglo al sistema y métodos de verificación de las mismas. Cuando la descripción de estas condiciones y de los métodos de verificación sea voluminosa y se base en documentos que estén a disposición de los empresarios interesados, bastará un resumen de las condiciones  y los métodos más importantes y una referencia a dichos</w:t>
      </w:r>
      <w:r>
        <w:rPr>
          <w:spacing w:val="-12"/>
          <w:sz w:val="20"/>
        </w:rPr>
        <w:t> </w:t>
      </w:r>
      <w:r>
        <w:rPr>
          <w:sz w:val="20"/>
        </w:rPr>
        <w:t>documentos.</w:t>
      </w:r>
    </w:p>
    <w:p>
      <w:pPr>
        <w:pStyle w:val="ListParagraph"/>
        <w:numPr>
          <w:ilvl w:val="0"/>
          <w:numId w:val="469"/>
        </w:numPr>
        <w:tabs>
          <w:tab w:pos="1637" w:val="left" w:leader="none"/>
        </w:tabs>
        <w:spacing w:line="240" w:lineRule="auto" w:before="4" w:after="0"/>
        <w:ind w:left="1636" w:right="0" w:hanging="223"/>
        <w:jc w:val="both"/>
        <w:rPr>
          <w:sz w:val="20"/>
        </w:rPr>
      </w:pPr>
      <w:r>
        <w:rPr>
          <w:sz w:val="20"/>
        </w:rPr>
        <w:t>Período de validez del sistema de clasificación y trámites para su</w:t>
      </w:r>
      <w:r>
        <w:rPr>
          <w:spacing w:val="-6"/>
          <w:sz w:val="20"/>
        </w:rPr>
        <w:t> </w:t>
      </w:r>
      <w:r>
        <w:rPr>
          <w:sz w:val="20"/>
        </w:rPr>
        <w:t>renovación.</w:t>
      </w:r>
    </w:p>
    <w:p>
      <w:pPr>
        <w:pStyle w:val="ListParagraph"/>
        <w:numPr>
          <w:ilvl w:val="0"/>
          <w:numId w:val="469"/>
        </w:numPr>
        <w:tabs>
          <w:tab w:pos="1637" w:val="left" w:leader="none"/>
        </w:tabs>
        <w:spacing w:line="240" w:lineRule="auto" w:before="10" w:after="0"/>
        <w:ind w:left="1636" w:right="0" w:hanging="223"/>
        <w:jc w:val="both"/>
        <w:rPr>
          <w:sz w:val="20"/>
        </w:rPr>
      </w:pPr>
      <w:r>
        <w:rPr>
          <w:sz w:val="20"/>
        </w:rPr>
        <w:t>Mención de que el anuncio sirve de convocatoria de</w:t>
      </w:r>
      <w:r>
        <w:rPr>
          <w:spacing w:val="-9"/>
          <w:sz w:val="20"/>
        </w:rPr>
        <w:t> </w:t>
      </w:r>
      <w:r>
        <w:rPr>
          <w:sz w:val="20"/>
        </w:rPr>
        <w:t>licitación.</w:t>
      </w:r>
    </w:p>
    <w:p>
      <w:pPr>
        <w:pStyle w:val="ListParagraph"/>
        <w:numPr>
          <w:ilvl w:val="0"/>
          <w:numId w:val="469"/>
        </w:numPr>
        <w:tabs>
          <w:tab w:pos="1693" w:val="left" w:leader="none"/>
        </w:tabs>
        <w:spacing w:line="249" w:lineRule="auto" w:before="10" w:after="0"/>
        <w:ind w:left="1074" w:right="1274" w:firstLine="340"/>
        <w:jc w:val="both"/>
        <w:rPr>
          <w:sz w:val="20"/>
        </w:rPr>
      </w:pPr>
      <w:r>
        <w:rPr>
          <w:sz w:val="20"/>
        </w:rPr>
        <w:t>Dirección en la que se puede obtener información adicional y la documentación relativa al sistema de clasificación (cuando dicha dirección sea diferente de las indicadas en el punto</w:t>
      </w:r>
      <w:r>
        <w:rPr>
          <w:spacing w:val="-3"/>
          <w:sz w:val="20"/>
        </w:rPr>
        <w:t> </w:t>
      </w:r>
      <w:r>
        <w:rPr>
          <w:sz w:val="20"/>
        </w:rPr>
        <w:t>1).</w:t>
      </w:r>
    </w:p>
    <w:p>
      <w:pPr>
        <w:pStyle w:val="ListParagraph"/>
        <w:numPr>
          <w:ilvl w:val="0"/>
          <w:numId w:val="469"/>
        </w:numPr>
        <w:tabs>
          <w:tab w:pos="1645" w:val="left" w:leader="none"/>
        </w:tabs>
        <w:spacing w:line="249" w:lineRule="auto" w:before="2" w:after="0"/>
        <w:ind w:left="1074" w:right="1274" w:firstLine="340"/>
        <w:jc w:val="both"/>
        <w:rPr>
          <w:sz w:val="20"/>
        </w:rPr>
      </w:pPr>
      <w:r>
        <w:rPr>
          <w:sz w:val="20"/>
        </w:rPr>
        <w:t>Nombre y dirección del órgano competente para los procedimientos de reclamación y, en su caso, de arbitraje. Información precisa acerca del plazo de presentación de reclamaciones o, en caso necesario, el nombre, la dirección, los números de teléfono y de fax y la dirección electrónica del servicio del que pueda obtenerse dicha</w:t>
      </w:r>
      <w:r>
        <w:rPr>
          <w:spacing w:val="-33"/>
          <w:sz w:val="20"/>
        </w:rPr>
        <w:t> </w:t>
      </w:r>
      <w:r>
        <w:rPr>
          <w:sz w:val="20"/>
        </w:rPr>
        <w:t>información.</w:t>
      </w:r>
    </w:p>
    <w:p>
      <w:pPr>
        <w:pStyle w:val="ListParagraph"/>
        <w:numPr>
          <w:ilvl w:val="0"/>
          <w:numId w:val="469"/>
        </w:numPr>
        <w:tabs>
          <w:tab w:pos="1766" w:val="left" w:leader="none"/>
        </w:tabs>
        <w:spacing w:line="249" w:lineRule="auto" w:before="4" w:after="0"/>
        <w:ind w:left="1074" w:right="1273" w:firstLine="340"/>
        <w:jc w:val="both"/>
        <w:rPr>
          <w:sz w:val="20"/>
        </w:rPr>
      </w:pPr>
      <w:r>
        <w:rPr>
          <w:sz w:val="20"/>
        </w:rPr>
        <w:t>Si se conocen, los criterios contemplados en el artículo 66 que se utilizarán para la adjudicación del contrato. Excepto en el supuesto en que la oferta económicamente más ventajosa se determine sobre el precio exclusivamente, se mencionarán asimismo los criterios que determinen la oferta económicamente más ventajosa, así como su ponderación, o, en su caso, el orden de importancia de los mismos, cuando no figuren en el pliego de condiciones ni vayan a aparecer en la invitación a licitar o a</w:t>
      </w:r>
      <w:r>
        <w:rPr>
          <w:spacing w:val="-18"/>
          <w:sz w:val="20"/>
        </w:rPr>
        <w:t> </w:t>
      </w:r>
      <w:r>
        <w:rPr>
          <w:sz w:val="20"/>
        </w:rPr>
        <w:t>negociar.</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69"/>
        </w:numPr>
        <w:tabs>
          <w:tab w:pos="1748" w:val="left" w:leader="none"/>
        </w:tabs>
        <w:spacing w:line="240" w:lineRule="auto" w:before="127" w:after="0"/>
        <w:ind w:left="1747" w:right="0" w:hanging="334"/>
        <w:jc w:val="left"/>
        <w:rPr>
          <w:sz w:val="20"/>
        </w:rPr>
      </w:pPr>
      <w:r>
        <w:rPr>
          <w:sz w:val="20"/>
        </w:rPr>
        <w:t>Si procede, indicación de</w:t>
      </w:r>
      <w:r>
        <w:rPr>
          <w:spacing w:val="-4"/>
          <w:sz w:val="20"/>
        </w:rPr>
        <w:t> </w:t>
      </w:r>
      <w:r>
        <w:rPr>
          <w:sz w:val="20"/>
        </w:rPr>
        <w:t>si:</w:t>
      </w:r>
    </w:p>
    <w:p>
      <w:pPr>
        <w:pStyle w:val="ListParagraph"/>
        <w:numPr>
          <w:ilvl w:val="0"/>
          <w:numId w:val="470"/>
        </w:numPr>
        <w:tabs>
          <w:tab w:pos="1732" w:val="left" w:leader="none"/>
        </w:tabs>
        <w:spacing w:line="249" w:lineRule="auto" w:before="130" w:after="0"/>
        <w:ind w:left="1074" w:right="1273" w:firstLine="340"/>
        <w:jc w:val="left"/>
        <w:rPr>
          <w:sz w:val="20"/>
        </w:rPr>
      </w:pPr>
      <w:r>
        <w:rPr>
          <w:sz w:val="20"/>
        </w:rPr>
        <w:t>Se exigirá o aceptará la presentación electrónica de ofertas o solicitudes de participación;</w:t>
      </w:r>
    </w:p>
    <w:p>
      <w:pPr>
        <w:pStyle w:val="ListParagraph"/>
        <w:numPr>
          <w:ilvl w:val="0"/>
          <w:numId w:val="470"/>
        </w:numPr>
        <w:tabs>
          <w:tab w:pos="1648" w:val="left" w:leader="none"/>
        </w:tabs>
        <w:spacing w:line="240" w:lineRule="auto" w:before="1" w:after="0"/>
        <w:ind w:left="1647" w:right="0" w:hanging="234"/>
        <w:jc w:val="left"/>
        <w:rPr>
          <w:sz w:val="20"/>
        </w:rPr>
      </w:pPr>
      <w:r>
        <w:rPr>
          <w:sz w:val="20"/>
        </w:rPr>
        <w:t>se utilizarán pedidos</w:t>
      </w:r>
      <w:r>
        <w:rPr>
          <w:spacing w:val="-3"/>
          <w:sz w:val="20"/>
        </w:rPr>
        <w:t> </w:t>
      </w:r>
      <w:r>
        <w:rPr>
          <w:sz w:val="20"/>
        </w:rPr>
        <w:t>electrónicos;</w:t>
      </w:r>
    </w:p>
    <w:p>
      <w:pPr>
        <w:pStyle w:val="ListParagraph"/>
        <w:numPr>
          <w:ilvl w:val="0"/>
          <w:numId w:val="470"/>
        </w:numPr>
        <w:tabs>
          <w:tab w:pos="1637" w:val="left" w:leader="none"/>
        </w:tabs>
        <w:spacing w:line="240" w:lineRule="auto" w:before="10" w:after="0"/>
        <w:ind w:left="1636" w:right="0" w:hanging="223"/>
        <w:jc w:val="left"/>
        <w:rPr>
          <w:sz w:val="20"/>
        </w:rPr>
      </w:pPr>
      <w:r>
        <w:rPr>
          <w:sz w:val="20"/>
        </w:rPr>
        <w:t>se utilizará facturación</w:t>
      </w:r>
      <w:r>
        <w:rPr>
          <w:spacing w:val="-2"/>
          <w:sz w:val="20"/>
        </w:rPr>
        <w:t> </w:t>
      </w:r>
      <w:r>
        <w:rPr>
          <w:sz w:val="20"/>
        </w:rPr>
        <w:t>electrónica;</w:t>
      </w:r>
    </w:p>
    <w:p>
      <w:pPr>
        <w:pStyle w:val="ListParagraph"/>
        <w:numPr>
          <w:ilvl w:val="0"/>
          <w:numId w:val="470"/>
        </w:numPr>
        <w:tabs>
          <w:tab w:pos="1648" w:val="left" w:leader="none"/>
        </w:tabs>
        <w:spacing w:line="240" w:lineRule="auto" w:before="10" w:after="0"/>
        <w:ind w:left="1647" w:right="0" w:hanging="234"/>
        <w:jc w:val="left"/>
        <w:rPr>
          <w:sz w:val="20"/>
        </w:rPr>
      </w:pPr>
      <w:r>
        <w:rPr>
          <w:sz w:val="20"/>
        </w:rPr>
        <w:t>se aceptará el pago</w:t>
      </w:r>
      <w:r>
        <w:rPr>
          <w:spacing w:val="-4"/>
          <w:sz w:val="20"/>
        </w:rPr>
        <w:t> </w:t>
      </w:r>
      <w:r>
        <w:rPr>
          <w:sz w:val="20"/>
        </w:rPr>
        <w:t>electrónico.</w:t>
      </w:r>
    </w:p>
    <w:p>
      <w:pPr>
        <w:pStyle w:val="ListParagraph"/>
        <w:numPr>
          <w:ilvl w:val="0"/>
          <w:numId w:val="469"/>
        </w:numPr>
        <w:tabs>
          <w:tab w:pos="1748" w:val="left" w:leader="none"/>
        </w:tabs>
        <w:spacing w:line="240" w:lineRule="auto" w:before="130" w:after="0"/>
        <w:ind w:left="1747" w:right="0" w:hanging="334"/>
        <w:jc w:val="left"/>
        <w:rPr>
          <w:sz w:val="20"/>
        </w:rPr>
      </w:pPr>
      <w:r>
        <w:rPr>
          <w:sz w:val="20"/>
        </w:rPr>
        <w:t>Si procede, otras</w:t>
      </w:r>
      <w:r>
        <w:rPr>
          <w:spacing w:val="-3"/>
          <w:sz w:val="20"/>
        </w:rPr>
        <w:t> </w:t>
      </w:r>
      <w:r>
        <w:rPr>
          <w:sz w:val="20"/>
        </w:rPr>
        <w:t>informaciones.</w:t>
      </w:r>
    </w:p>
    <w:p>
      <w:pPr>
        <w:pStyle w:val="BodyText"/>
        <w:spacing w:before="1"/>
        <w:ind w:left="0" w:firstLine="0"/>
        <w:jc w:val="left"/>
        <w:rPr>
          <w:sz w:val="21"/>
        </w:rPr>
      </w:pPr>
    </w:p>
    <w:p>
      <w:pPr>
        <w:pStyle w:val="Heading2"/>
        <w:spacing w:line="249" w:lineRule="auto"/>
        <w:ind w:left="2989" w:right="1647" w:hanging="1576"/>
        <w:jc w:val="left"/>
      </w:pPr>
      <w:r>
        <w:rPr>
          <w:i/>
        </w:rPr>
        <w:t>Sección B. Anuncios sobre la existencia de un sistema de clasificación en </w:t>
      </w:r>
      <w:r>
        <w:rPr/>
        <w:t>relación con contratos de servicios del anexo I</w:t>
      </w:r>
    </w:p>
    <w:p>
      <w:pPr>
        <w:pStyle w:val="ListParagraph"/>
        <w:numPr>
          <w:ilvl w:val="0"/>
          <w:numId w:val="471"/>
        </w:numPr>
        <w:tabs>
          <w:tab w:pos="1708" w:val="left" w:leader="none"/>
        </w:tabs>
        <w:spacing w:line="249" w:lineRule="auto" w:before="116" w:after="0"/>
        <w:ind w:left="1074" w:right="1275" w:firstLine="340"/>
        <w:jc w:val="left"/>
        <w:rPr>
          <w:sz w:val="20"/>
        </w:rPr>
      </w:pPr>
      <w:r>
        <w:rPr>
          <w:sz w:val="20"/>
        </w:rPr>
        <w:t>Nombre, número de identificación, dirección, incluido código NUTS, y dirección electrónica y de internet de la entidad</w:t>
      </w:r>
      <w:r>
        <w:rPr>
          <w:spacing w:val="-9"/>
          <w:sz w:val="20"/>
        </w:rPr>
        <w:t> </w:t>
      </w:r>
      <w:r>
        <w:rPr>
          <w:sz w:val="20"/>
        </w:rPr>
        <w:t>contratante.</w:t>
      </w:r>
    </w:p>
    <w:p>
      <w:pPr>
        <w:pStyle w:val="ListParagraph"/>
        <w:numPr>
          <w:ilvl w:val="0"/>
          <w:numId w:val="471"/>
        </w:numPr>
        <w:tabs>
          <w:tab w:pos="1637" w:val="left" w:leader="none"/>
        </w:tabs>
        <w:spacing w:line="240" w:lineRule="auto" w:before="2" w:after="0"/>
        <w:ind w:left="1636" w:right="0" w:hanging="223"/>
        <w:jc w:val="left"/>
        <w:rPr>
          <w:sz w:val="20"/>
        </w:rPr>
      </w:pPr>
      <w:r>
        <w:rPr>
          <w:sz w:val="20"/>
        </w:rPr>
        <w:t>Breve descripción del contrato de que se trate, incluidos los códigos</w:t>
      </w:r>
      <w:r>
        <w:rPr>
          <w:spacing w:val="-12"/>
          <w:sz w:val="20"/>
        </w:rPr>
        <w:t> </w:t>
      </w:r>
      <w:r>
        <w:rPr>
          <w:sz w:val="20"/>
        </w:rPr>
        <w:t>CPV.</w:t>
      </w:r>
    </w:p>
    <w:p>
      <w:pPr>
        <w:pStyle w:val="ListParagraph"/>
        <w:numPr>
          <w:ilvl w:val="0"/>
          <w:numId w:val="471"/>
        </w:numPr>
        <w:tabs>
          <w:tab w:pos="1637" w:val="left" w:leader="none"/>
        </w:tabs>
        <w:spacing w:line="240" w:lineRule="auto" w:before="10" w:after="0"/>
        <w:ind w:left="1636" w:right="0" w:hanging="223"/>
        <w:jc w:val="left"/>
        <w:rPr>
          <w:sz w:val="20"/>
        </w:rPr>
      </w:pPr>
      <w:r>
        <w:rPr>
          <w:sz w:val="20"/>
        </w:rPr>
        <w:t>En la medida en que ya se</w:t>
      </w:r>
      <w:r>
        <w:rPr>
          <w:spacing w:val="-4"/>
          <w:sz w:val="20"/>
        </w:rPr>
        <w:t> </w:t>
      </w:r>
      <w:r>
        <w:rPr>
          <w:sz w:val="20"/>
        </w:rPr>
        <w:t>conozcan:</w:t>
      </w:r>
    </w:p>
    <w:p>
      <w:pPr>
        <w:pStyle w:val="ListParagraph"/>
        <w:numPr>
          <w:ilvl w:val="0"/>
          <w:numId w:val="472"/>
        </w:numPr>
        <w:tabs>
          <w:tab w:pos="1675" w:val="left" w:leader="none"/>
        </w:tabs>
        <w:spacing w:line="249" w:lineRule="auto" w:before="130" w:after="0"/>
        <w:ind w:left="1074" w:right="1275" w:firstLine="340"/>
        <w:jc w:val="both"/>
        <w:rPr>
          <w:sz w:val="20"/>
        </w:rPr>
      </w:pPr>
      <w:r>
        <w:rPr>
          <w:sz w:val="20"/>
        </w:rPr>
        <w:t>Código NUTS del emplazamiento principal de las obras, en el caso de las obras, o código NUTS del lugar principal de entrega o de ejecución, en el caso de los suministros y los</w:t>
      </w:r>
      <w:r>
        <w:rPr>
          <w:spacing w:val="-2"/>
          <w:sz w:val="20"/>
        </w:rPr>
        <w:t> </w:t>
      </w:r>
      <w:r>
        <w:rPr>
          <w:sz w:val="20"/>
        </w:rPr>
        <w:t>servicios;</w:t>
      </w:r>
    </w:p>
    <w:p>
      <w:pPr>
        <w:pStyle w:val="ListParagraph"/>
        <w:numPr>
          <w:ilvl w:val="0"/>
          <w:numId w:val="472"/>
        </w:numPr>
        <w:tabs>
          <w:tab w:pos="1676" w:val="left" w:leader="none"/>
        </w:tabs>
        <w:spacing w:line="249" w:lineRule="auto" w:before="2" w:after="0"/>
        <w:ind w:left="1074" w:right="1273" w:firstLine="340"/>
        <w:jc w:val="both"/>
        <w:rPr>
          <w:sz w:val="20"/>
        </w:rPr>
      </w:pPr>
      <w:r>
        <w:rPr>
          <w:sz w:val="20"/>
        </w:rPr>
        <w:t>calendario de entrega o prestación de suministros, obras o servicios y duración del contrato;</w:t>
      </w:r>
    </w:p>
    <w:p>
      <w:pPr>
        <w:pStyle w:val="ListParagraph"/>
        <w:numPr>
          <w:ilvl w:val="0"/>
          <w:numId w:val="472"/>
        </w:numPr>
        <w:tabs>
          <w:tab w:pos="1637" w:val="left" w:leader="none"/>
        </w:tabs>
        <w:spacing w:line="240" w:lineRule="auto" w:before="2" w:after="0"/>
        <w:ind w:left="1636" w:right="0" w:hanging="223"/>
        <w:jc w:val="both"/>
        <w:rPr>
          <w:sz w:val="20"/>
        </w:rPr>
      </w:pPr>
      <w:r>
        <w:rPr>
          <w:sz w:val="20"/>
        </w:rPr>
        <w:t>condiciones de participación, en</w:t>
      </w:r>
      <w:r>
        <w:rPr>
          <w:spacing w:val="-4"/>
          <w:sz w:val="20"/>
        </w:rPr>
        <w:t> </w:t>
      </w:r>
      <w:r>
        <w:rPr>
          <w:sz w:val="20"/>
        </w:rPr>
        <w:t>concreto:</w:t>
      </w:r>
    </w:p>
    <w:p>
      <w:pPr>
        <w:pStyle w:val="ListParagraph"/>
        <w:numPr>
          <w:ilvl w:val="0"/>
          <w:numId w:val="473"/>
        </w:numPr>
        <w:tabs>
          <w:tab w:pos="1584" w:val="left" w:leader="none"/>
        </w:tabs>
        <w:spacing w:line="249" w:lineRule="auto" w:before="130" w:after="0"/>
        <w:ind w:left="1074" w:right="1274" w:firstLine="340"/>
        <w:jc w:val="both"/>
        <w:rPr>
          <w:sz w:val="20"/>
        </w:rPr>
      </w:pPr>
      <w:r>
        <w:rPr>
          <w:sz w:val="20"/>
        </w:rPr>
        <w:t>Cuando proceda, indicación de si el contrato está restringido a talleres protegidos o si se</w:t>
      </w:r>
      <w:r>
        <w:rPr>
          <w:spacing w:val="-3"/>
          <w:sz w:val="20"/>
        </w:rPr>
        <w:t> </w:t>
      </w:r>
      <w:r>
        <w:rPr>
          <w:sz w:val="20"/>
        </w:rPr>
        <w:t>prevé</w:t>
      </w:r>
      <w:r>
        <w:rPr>
          <w:spacing w:val="-3"/>
          <w:sz w:val="20"/>
        </w:rPr>
        <w:t> </w:t>
      </w:r>
      <w:r>
        <w:rPr>
          <w:sz w:val="20"/>
        </w:rPr>
        <w:t>que</w:t>
      </w:r>
      <w:r>
        <w:rPr>
          <w:spacing w:val="-3"/>
          <w:sz w:val="20"/>
        </w:rPr>
        <w:t> </w:t>
      </w:r>
      <w:r>
        <w:rPr>
          <w:sz w:val="20"/>
        </w:rPr>
        <w:t>sea</w:t>
      </w:r>
      <w:r>
        <w:rPr>
          <w:spacing w:val="-3"/>
          <w:sz w:val="20"/>
        </w:rPr>
        <w:t> </w:t>
      </w:r>
      <w:r>
        <w:rPr>
          <w:sz w:val="20"/>
        </w:rPr>
        <w:t>ejecutado</w:t>
      </w:r>
      <w:r>
        <w:rPr>
          <w:spacing w:val="-3"/>
          <w:sz w:val="20"/>
        </w:rPr>
        <w:t> </w:t>
      </w:r>
      <w:r>
        <w:rPr>
          <w:sz w:val="20"/>
        </w:rPr>
        <w:t>únicamente</w:t>
      </w:r>
      <w:r>
        <w:rPr>
          <w:spacing w:val="-3"/>
          <w:sz w:val="20"/>
        </w:rPr>
        <w:t> </w:t>
      </w:r>
      <w:r>
        <w:rPr>
          <w:sz w:val="20"/>
        </w:rPr>
        <w:t>en</w:t>
      </w:r>
      <w:r>
        <w:rPr>
          <w:spacing w:val="-4"/>
          <w:sz w:val="20"/>
        </w:rPr>
        <w:t> </w:t>
      </w:r>
      <w:r>
        <w:rPr>
          <w:sz w:val="20"/>
        </w:rPr>
        <w:t>el</w:t>
      </w:r>
      <w:r>
        <w:rPr>
          <w:spacing w:val="-3"/>
          <w:sz w:val="20"/>
        </w:rPr>
        <w:t> </w:t>
      </w:r>
      <w:r>
        <w:rPr>
          <w:sz w:val="20"/>
        </w:rPr>
        <w:t>marco</w:t>
      </w:r>
      <w:r>
        <w:rPr>
          <w:spacing w:val="-2"/>
          <w:sz w:val="20"/>
        </w:rPr>
        <w:t> </w:t>
      </w:r>
      <w:r>
        <w:rPr>
          <w:sz w:val="20"/>
        </w:rPr>
        <w:t>de</w:t>
      </w:r>
      <w:r>
        <w:rPr>
          <w:spacing w:val="-4"/>
          <w:sz w:val="20"/>
        </w:rPr>
        <w:t> </w:t>
      </w:r>
      <w:r>
        <w:rPr>
          <w:sz w:val="20"/>
        </w:rPr>
        <w:t>programas</w:t>
      </w:r>
      <w:r>
        <w:rPr>
          <w:spacing w:val="-3"/>
          <w:sz w:val="20"/>
        </w:rPr>
        <w:t> </w:t>
      </w:r>
      <w:r>
        <w:rPr>
          <w:sz w:val="20"/>
        </w:rPr>
        <w:t>de</w:t>
      </w:r>
      <w:r>
        <w:rPr>
          <w:spacing w:val="-3"/>
          <w:sz w:val="20"/>
        </w:rPr>
        <w:t> </w:t>
      </w:r>
      <w:r>
        <w:rPr>
          <w:sz w:val="20"/>
        </w:rPr>
        <w:t>empleo</w:t>
      </w:r>
      <w:r>
        <w:rPr>
          <w:spacing w:val="-4"/>
          <w:sz w:val="20"/>
        </w:rPr>
        <w:t> </w:t>
      </w:r>
      <w:r>
        <w:rPr>
          <w:sz w:val="20"/>
        </w:rPr>
        <w:t>protegido;</w:t>
      </w:r>
    </w:p>
    <w:p>
      <w:pPr>
        <w:pStyle w:val="ListParagraph"/>
        <w:numPr>
          <w:ilvl w:val="0"/>
          <w:numId w:val="473"/>
        </w:numPr>
        <w:tabs>
          <w:tab w:pos="1574" w:val="left" w:leader="none"/>
        </w:tabs>
        <w:spacing w:line="249" w:lineRule="auto" w:before="2" w:after="0"/>
        <w:ind w:left="1074" w:right="1275" w:firstLine="340"/>
        <w:jc w:val="both"/>
        <w:rPr>
          <w:sz w:val="20"/>
        </w:rPr>
      </w:pPr>
      <w:r>
        <w:rPr>
          <w:sz w:val="20"/>
        </w:rPr>
        <w:t>cuando proceda, indicación de si, con arreglo a disposiciones legales, reglamentarias o administrativas, se reserva la prestación del servicio a una determinada</w:t>
      </w:r>
      <w:r>
        <w:rPr>
          <w:spacing w:val="-24"/>
          <w:sz w:val="20"/>
        </w:rPr>
        <w:t> </w:t>
      </w:r>
      <w:r>
        <w:rPr>
          <w:sz w:val="20"/>
        </w:rPr>
        <w:t>profesión;</w:t>
      </w:r>
    </w:p>
    <w:p>
      <w:pPr>
        <w:pStyle w:val="ListParagraph"/>
        <w:numPr>
          <w:ilvl w:val="0"/>
          <w:numId w:val="472"/>
        </w:numPr>
        <w:tabs>
          <w:tab w:pos="1659" w:val="left" w:leader="none"/>
        </w:tabs>
        <w:spacing w:line="249" w:lineRule="auto" w:before="121" w:after="0"/>
        <w:ind w:left="1074" w:right="1276" w:firstLine="340"/>
        <w:jc w:val="both"/>
        <w:rPr>
          <w:sz w:val="20"/>
        </w:rPr>
      </w:pPr>
      <w:r>
        <w:rPr>
          <w:sz w:val="20"/>
        </w:rPr>
        <w:t>breve descripción de las características principales del procedimiento de adjudicación que se va a</w:t>
      </w:r>
      <w:r>
        <w:rPr>
          <w:spacing w:val="-3"/>
          <w:sz w:val="20"/>
        </w:rPr>
        <w:t> </w:t>
      </w:r>
      <w:r>
        <w:rPr>
          <w:sz w:val="20"/>
        </w:rPr>
        <w:t>aplicar.</w:t>
      </w:r>
    </w:p>
    <w:p>
      <w:pPr>
        <w:pStyle w:val="ListParagraph"/>
        <w:numPr>
          <w:ilvl w:val="0"/>
          <w:numId w:val="471"/>
        </w:numPr>
        <w:tabs>
          <w:tab w:pos="1688" w:val="left" w:leader="none"/>
        </w:tabs>
        <w:spacing w:line="249" w:lineRule="auto" w:before="122" w:after="0"/>
        <w:ind w:left="1074" w:right="1272" w:firstLine="340"/>
        <w:jc w:val="both"/>
        <w:rPr>
          <w:sz w:val="20"/>
        </w:rPr>
      </w:pPr>
      <w:r>
        <w:rPr>
          <w:sz w:val="20"/>
        </w:rPr>
        <w:t>Mención de que los operadores económicos interesados deberán comunicar a la entidad contratante su interés por el contrato o contratos y fecha límite de recepción de las manifestaciones de interés y dirección a la que deberán enviarse las manifestaciones de interés.</w:t>
      </w:r>
    </w:p>
    <w:p>
      <w:pPr>
        <w:pStyle w:val="ListParagraph"/>
        <w:numPr>
          <w:ilvl w:val="0"/>
          <w:numId w:val="471"/>
        </w:numPr>
        <w:tabs>
          <w:tab w:pos="1637" w:val="left" w:leader="none"/>
        </w:tabs>
        <w:spacing w:line="240" w:lineRule="auto" w:before="3" w:after="0"/>
        <w:ind w:left="1636" w:right="0" w:hanging="223"/>
        <w:jc w:val="both"/>
        <w:rPr>
          <w:sz w:val="20"/>
        </w:rPr>
      </w:pPr>
      <w:r>
        <w:rPr>
          <w:sz w:val="20"/>
        </w:rPr>
        <w:t>Período de validez del sistema de clasificación y trámites para su</w:t>
      </w:r>
      <w:r>
        <w:rPr>
          <w:spacing w:val="-6"/>
          <w:sz w:val="20"/>
        </w:rPr>
        <w:t> </w:t>
      </w:r>
      <w:r>
        <w:rPr>
          <w:sz w:val="20"/>
        </w:rPr>
        <w:t>renovación.</w:t>
      </w:r>
    </w:p>
    <w:p>
      <w:pPr>
        <w:pStyle w:val="BodyText"/>
        <w:spacing w:before="0"/>
        <w:ind w:left="0" w:firstLine="0"/>
        <w:jc w:val="left"/>
        <w:rPr>
          <w:sz w:val="26"/>
        </w:rPr>
      </w:pPr>
    </w:p>
    <w:p>
      <w:pPr>
        <w:pStyle w:val="Heading1"/>
        <w:spacing w:before="171"/>
        <w:ind w:left="2929"/>
      </w:pPr>
      <w:bookmarkStart w:name="ANEXO IV. Requisitos relativos a las her" w:id="433"/>
      <w:bookmarkEnd w:id="433"/>
      <w:r>
        <w:rPr>
          <w:b w:val="0"/>
        </w:rPr>
      </w:r>
      <w:bookmarkStart w:name="_bookmark85" w:id="434"/>
      <w:bookmarkEnd w:id="434"/>
      <w:r>
        <w:rPr>
          <w:b w:val="0"/>
        </w:rPr>
      </w:r>
      <w:r>
        <w:rPr/>
        <w:t>ANEXO IV</w:t>
      </w:r>
    </w:p>
    <w:p>
      <w:pPr>
        <w:spacing w:line="249" w:lineRule="auto" w:before="123"/>
        <w:ind w:left="1414" w:right="1610" w:hanging="2"/>
        <w:jc w:val="center"/>
        <w:rPr>
          <w:b/>
          <w:sz w:val="20"/>
        </w:rPr>
      </w:pPr>
      <w:r>
        <w:rPr>
          <w:b/>
          <w:sz w:val="20"/>
        </w:rPr>
        <w:t>Requisitos relativos a las herramientas y a los dispositivos de recepción electrónica de las ofertas, de las solicitudes de participación, de las solicitudes de clasificación o de los planos y proyectos en los concursos.</w:t>
      </w:r>
    </w:p>
    <w:p>
      <w:pPr>
        <w:pStyle w:val="BodyText"/>
        <w:spacing w:line="249" w:lineRule="auto" w:before="117"/>
        <w:ind w:right="1274"/>
      </w:pPr>
      <w:r>
        <w:rPr/>
        <w:t>Las herramientas y los dispositivos de recepción electrónica de las ofertas, de las solicitudes de participación, de las solicitudes de clasificación y de los planos y proyectos en los concursos deberán garantizar como mínimo, por los medios técnicos y procedimientos adecuados, que:</w:t>
      </w:r>
    </w:p>
    <w:p>
      <w:pPr>
        <w:pStyle w:val="ListParagraph"/>
        <w:numPr>
          <w:ilvl w:val="0"/>
          <w:numId w:val="474"/>
        </w:numPr>
        <w:tabs>
          <w:tab w:pos="1671" w:val="left" w:leader="none"/>
        </w:tabs>
        <w:spacing w:line="249" w:lineRule="auto" w:before="123" w:after="0"/>
        <w:ind w:left="1074" w:right="1272" w:firstLine="340"/>
        <w:jc w:val="both"/>
        <w:rPr>
          <w:sz w:val="20"/>
        </w:rPr>
      </w:pPr>
      <w:r>
        <w:rPr>
          <w:sz w:val="20"/>
        </w:rPr>
        <w:t>Pueda determinarse con precisión la hora y la fecha exactas de la recepción de las ofertas, de las solicitudes de participación, de las solicitudes de clasificación y del envío de los planos y</w:t>
      </w:r>
      <w:r>
        <w:rPr>
          <w:spacing w:val="-3"/>
          <w:sz w:val="20"/>
        </w:rPr>
        <w:t> </w:t>
      </w:r>
      <w:r>
        <w:rPr>
          <w:sz w:val="20"/>
        </w:rPr>
        <w:t>proyectos;</w:t>
      </w:r>
    </w:p>
    <w:p>
      <w:pPr>
        <w:pStyle w:val="ListParagraph"/>
        <w:numPr>
          <w:ilvl w:val="0"/>
          <w:numId w:val="474"/>
        </w:numPr>
        <w:tabs>
          <w:tab w:pos="1663" w:val="left" w:leader="none"/>
        </w:tabs>
        <w:spacing w:line="249" w:lineRule="auto" w:before="2" w:after="0"/>
        <w:ind w:left="1074" w:right="1273" w:firstLine="340"/>
        <w:jc w:val="both"/>
        <w:rPr>
          <w:sz w:val="20"/>
        </w:rPr>
      </w:pPr>
      <w:r>
        <w:rPr>
          <w:sz w:val="20"/>
        </w:rPr>
        <w:t>pueda garantizarse razonablemente que nadie tenga acceso a los datos transmitidos a tenor de los presentes requisitos antes de que finalicen los plazos</w:t>
      </w:r>
      <w:r>
        <w:rPr>
          <w:spacing w:val="-25"/>
          <w:sz w:val="20"/>
        </w:rPr>
        <w:t> </w:t>
      </w:r>
      <w:r>
        <w:rPr>
          <w:sz w:val="20"/>
        </w:rPr>
        <w:t>especificados;</w:t>
      </w:r>
    </w:p>
    <w:p>
      <w:pPr>
        <w:pStyle w:val="ListParagraph"/>
        <w:numPr>
          <w:ilvl w:val="0"/>
          <w:numId w:val="474"/>
        </w:numPr>
        <w:tabs>
          <w:tab w:pos="1656" w:val="left" w:leader="none"/>
        </w:tabs>
        <w:spacing w:line="249" w:lineRule="auto" w:before="2" w:after="0"/>
        <w:ind w:left="1074" w:right="1274" w:firstLine="340"/>
        <w:jc w:val="both"/>
        <w:rPr>
          <w:sz w:val="20"/>
        </w:rPr>
      </w:pPr>
      <w:r>
        <w:rPr>
          <w:sz w:val="20"/>
        </w:rPr>
        <w:t>únicamente las personas autorizadas pueden fijar o modificar las fechas de apertura de los datos</w:t>
      </w:r>
      <w:r>
        <w:rPr>
          <w:spacing w:val="-4"/>
          <w:sz w:val="20"/>
        </w:rPr>
        <w:t> </w:t>
      </w:r>
      <w:r>
        <w:rPr>
          <w:sz w:val="20"/>
        </w:rPr>
        <w:t>recibidos;</w:t>
      </w:r>
    </w:p>
    <w:p>
      <w:pPr>
        <w:pStyle w:val="ListParagraph"/>
        <w:numPr>
          <w:ilvl w:val="0"/>
          <w:numId w:val="474"/>
        </w:numPr>
        <w:tabs>
          <w:tab w:pos="1656" w:val="left" w:leader="none"/>
        </w:tabs>
        <w:spacing w:line="249" w:lineRule="auto" w:before="2" w:after="0"/>
        <w:ind w:left="1074" w:right="1273" w:firstLine="340"/>
        <w:jc w:val="both"/>
        <w:rPr>
          <w:sz w:val="20"/>
        </w:rPr>
      </w:pPr>
      <w:r>
        <w:rPr>
          <w:sz w:val="20"/>
        </w:rPr>
        <w:t>en las diferentes fases del proceso de clasificación, del procedimiento de contratación o del concurso, solo las personas autorizadas puedan tener acceso a la totalidad o a parte de los datos</w:t>
      </w:r>
      <w:r>
        <w:rPr>
          <w:spacing w:val="-4"/>
          <w:sz w:val="20"/>
        </w:rPr>
        <w:t> </w:t>
      </w:r>
      <w:r>
        <w:rPr>
          <w:sz w:val="20"/>
        </w:rPr>
        <w:t>presentados;</w:t>
      </w:r>
    </w:p>
    <w:p>
      <w:pPr>
        <w:pStyle w:val="ListParagraph"/>
        <w:numPr>
          <w:ilvl w:val="0"/>
          <w:numId w:val="474"/>
        </w:numPr>
        <w:tabs>
          <w:tab w:pos="1692" w:val="left" w:leader="none"/>
        </w:tabs>
        <w:spacing w:line="249" w:lineRule="auto" w:before="2" w:after="0"/>
        <w:ind w:left="1074" w:right="1273" w:firstLine="340"/>
        <w:jc w:val="both"/>
        <w:rPr>
          <w:sz w:val="20"/>
        </w:rPr>
      </w:pPr>
      <w:r>
        <w:rPr>
          <w:sz w:val="20"/>
        </w:rPr>
        <w:t>solo las personas autorizadas puedan dar acceso a los datos transmitidos y solo después de la fecha</w:t>
      </w:r>
      <w:r>
        <w:rPr>
          <w:spacing w:val="-4"/>
          <w:sz w:val="20"/>
        </w:rPr>
        <w:t> </w:t>
      </w:r>
      <w:r>
        <w:rPr>
          <w:sz w:val="20"/>
        </w:rPr>
        <w:t>especificada;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74"/>
        </w:numPr>
        <w:tabs>
          <w:tab w:pos="1640" w:val="left" w:leader="none"/>
        </w:tabs>
        <w:spacing w:line="249" w:lineRule="auto" w:before="127" w:after="0"/>
        <w:ind w:left="1074" w:right="1275" w:firstLine="340"/>
        <w:jc w:val="both"/>
        <w:rPr>
          <w:sz w:val="20"/>
        </w:rPr>
      </w:pPr>
      <w:r>
        <w:rPr>
          <w:sz w:val="20"/>
        </w:rPr>
        <w:t>los datos recibidos y abiertos en aplicación de los presentes requisitos solo sean accesibles a las personas autorizadas a tener conocimiento de los</w:t>
      </w:r>
      <w:r>
        <w:rPr>
          <w:spacing w:val="-16"/>
          <w:sz w:val="20"/>
        </w:rPr>
        <w:t> </w:t>
      </w:r>
      <w:r>
        <w:rPr>
          <w:sz w:val="20"/>
        </w:rPr>
        <w:t>mismos;</w:t>
      </w:r>
    </w:p>
    <w:p>
      <w:pPr>
        <w:pStyle w:val="ListParagraph"/>
        <w:numPr>
          <w:ilvl w:val="0"/>
          <w:numId w:val="474"/>
        </w:numPr>
        <w:tabs>
          <w:tab w:pos="1668" w:val="left" w:leader="none"/>
        </w:tabs>
        <w:spacing w:line="249" w:lineRule="auto" w:before="1" w:after="0"/>
        <w:ind w:left="1074" w:right="1274" w:firstLine="340"/>
        <w:jc w:val="both"/>
        <w:rPr>
          <w:sz w:val="20"/>
        </w:rPr>
      </w:pPr>
      <w:r>
        <w:rPr>
          <w:sz w:val="20"/>
        </w:rPr>
        <w:t>en caso de que se infrinjan o se intenten infringir las prohibiciones o condiciones de acceso a que se refieren las letras b) a f), pueda garantizarse razonablemente que las infracciones o tentativas sean claramente</w:t>
      </w:r>
      <w:r>
        <w:rPr>
          <w:spacing w:val="-4"/>
          <w:sz w:val="20"/>
        </w:rPr>
        <w:t> </w:t>
      </w:r>
      <w:r>
        <w:rPr>
          <w:sz w:val="20"/>
        </w:rPr>
        <w:t>detectables.</w:t>
      </w:r>
    </w:p>
    <w:p>
      <w:pPr>
        <w:pStyle w:val="BodyText"/>
        <w:spacing w:before="0"/>
        <w:ind w:left="0" w:firstLine="0"/>
        <w:jc w:val="left"/>
        <w:rPr>
          <w:sz w:val="26"/>
        </w:rPr>
      </w:pPr>
    </w:p>
    <w:p>
      <w:pPr>
        <w:pStyle w:val="Heading1"/>
        <w:spacing w:before="163"/>
        <w:ind w:left="2929"/>
      </w:pPr>
      <w:bookmarkStart w:name="ANEXO V. Contenido de las invitaciones a" w:id="435"/>
      <w:bookmarkEnd w:id="435"/>
      <w:r>
        <w:rPr>
          <w:b w:val="0"/>
        </w:rPr>
      </w:r>
      <w:bookmarkStart w:name="_bookmark86" w:id="436"/>
      <w:bookmarkEnd w:id="436"/>
      <w:r>
        <w:rPr>
          <w:b w:val="0"/>
        </w:rPr>
      </w:r>
      <w:r>
        <w:rPr/>
        <w:t>ANEXO V</w:t>
      </w:r>
    </w:p>
    <w:p>
      <w:pPr>
        <w:spacing w:line="249" w:lineRule="auto" w:before="123"/>
        <w:ind w:left="3373" w:right="1647" w:hanging="1959"/>
        <w:jc w:val="left"/>
        <w:rPr>
          <w:b/>
          <w:sz w:val="20"/>
        </w:rPr>
      </w:pPr>
      <w:r>
        <w:rPr>
          <w:b/>
          <w:sz w:val="20"/>
        </w:rPr>
        <w:t>Contenido de las invitaciones a presentar una oferta, a participar en el diálogo o a negociar previstas en el artículo</w:t>
      </w:r>
      <w:r>
        <w:rPr>
          <w:b/>
          <w:spacing w:val="-6"/>
          <w:sz w:val="20"/>
        </w:rPr>
        <w:t> </w:t>
      </w:r>
      <w:r>
        <w:rPr>
          <w:b/>
          <w:sz w:val="20"/>
        </w:rPr>
        <w:t>63</w:t>
      </w:r>
    </w:p>
    <w:p>
      <w:pPr>
        <w:pStyle w:val="BodyText"/>
        <w:spacing w:line="249" w:lineRule="auto" w:before="116"/>
        <w:ind w:right="1276"/>
      </w:pPr>
      <w:r>
        <w:rPr/>
        <w:t>La invitación a presentar una oferta, a participar en el diálogo o a negociar, previstas en el artículo 63, deberá incluir al</w:t>
      </w:r>
      <w:r>
        <w:rPr>
          <w:spacing w:val="-8"/>
        </w:rPr>
        <w:t> </w:t>
      </w:r>
      <w:r>
        <w:rPr/>
        <w:t>menos:</w:t>
      </w:r>
    </w:p>
    <w:p>
      <w:pPr>
        <w:pStyle w:val="ListParagraph"/>
        <w:numPr>
          <w:ilvl w:val="0"/>
          <w:numId w:val="475"/>
        </w:numPr>
        <w:tabs>
          <w:tab w:pos="1656" w:val="left" w:leader="none"/>
        </w:tabs>
        <w:spacing w:line="249" w:lineRule="auto" w:before="122" w:after="0"/>
        <w:ind w:left="1074" w:right="1275" w:firstLine="340"/>
        <w:jc w:val="both"/>
        <w:rPr>
          <w:sz w:val="20"/>
        </w:rPr>
      </w:pPr>
      <w:r>
        <w:rPr>
          <w:sz w:val="20"/>
        </w:rPr>
        <w:t>La fecha límite para la presentación de ofertas, la dirección a que deban enviarse y la lengua o lenguas en que deban estar</w:t>
      </w:r>
      <w:r>
        <w:rPr>
          <w:spacing w:val="-9"/>
          <w:sz w:val="20"/>
        </w:rPr>
        <w:t> </w:t>
      </w:r>
      <w:r>
        <w:rPr>
          <w:sz w:val="20"/>
        </w:rPr>
        <w:t>redactadas.</w:t>
      </w:r>
    </w:p>
    <w:p>
      <w:pPr>
        <w:pStyle w:val="BodyText"/>
        <w:spacing w:line="249" w:lineRule="auto"/>
        <w:ind w:right="1274"/>
      </w:pPr>
      <w:r>
        <w:rPr/>
        <w:t>Sin embargo, en el caso de los contratos adjudicados a través de un diálogo competitivo o una asociación para la innovación, esta información no figurará en la invitación a negociar, sino que se indicará en la invitación a presentar una oferta.</w:t>
      </w:r>
    </w:p>
    <w:p>
      <w:pPr>
        <w:pStyle w:val="ListParagraph"/>
        <w:numPr>
          <w:ilvl w:val="0"/>
          <w:numId w:val="475"/>
        </w:numPr>
        <w:tabs>
          <w:tab w:pos="1668" w:val="left" w:leader="none"/>
        </w:tabs>
        <w:spacing w:line="249" w:lineRule="auto" w:before="2" w:after="0"/>
        <w:ind w:left="1074" w:right="1273" w:firstLine="340"/>
        <w:jc w:val="both"/>
        <w:rPr>
          <w:sz w:val="20"/>
        </w:rPr>
      </w:pPr>
      <w:r>
        <w:rPr>
          <w:sz w:val="20"/>
        </w:rPr>
        <w:t>En el caso del diálogo competitivo, la fecha y la dirección fijadas para el inicio de la consulta y la lengua o las lenguas que vayan a</w:t>
      </w:r>
      <w:r>
        <w:rPr>
          <w:spacing w:val="-11"/>
          <w:sz w:val="20"/>
        </w:rPr>
        <w:t> </w:t>
      </w:r>
      <w:r>
        <w:rPr>
          <w:sz w:val="20"/>
        </w:rPr>
        <w:t>utilizarse.</w:t>
      </w:r>
    </w:p>
    <w:p>
      <w:pPr>
        <w:pStyle w:val="ListParagraph"/>
        <w:numPr>
          <w:ilvl w:val="0"/>
          <w:numId w:val="475"/>
        </w:numPr>
        <w:tabs>
          <w:tab w:pos="1637" w:val="left" w:leader="none"/>
        </w:tabs>
        <w:spacing w:line="240" w:lineRule="auto" w:before="2" w:after="0"/>
        <w:ind w:left="1636" w:right="0" w:hanging="223"/>
        <w:jc w:val="both"/>
        <w:rPr>
          <w:sz w:val="20"/>
        </w:rPr>
      </w:pPr>
      <w:r>
        <w:rPr>
          <w:sz w:val="20"/>
        </w:rPr>
        <w:t>Una referencia a cualquier anuncio de licitación</w:t>
      </w:r>
      <w:r>
        <w:rPr>
          <w:spacing w:val="-8"/>
          <w:sz w:val="20"/>
        </w:rPr>
        <w:t> </w:t>
      </w:r>
      <w:r>
        <w:rPr>
          <w:sz w:val="20"/>
        </w:rPr>
        <w:t>publicado.</w:t>
      </w:r>
    </w:p>
    <w:p>
      <w:pPr>
        <w:pStyle w:val="ListParagraph"/>
        <w:numPr>
          <w:ilvl w:val="0"/>
          <w:numId w:val="475"/>
        </w:numPr>
        <w:tabs>
          <w:tab w:pos="1648" w:val="left" w:leader="none"/>
        </w:tabs>
        <w:spacing w:line="240" w:lineRule="auto" w:before="10" w:after="0"/>
        <w:ind w:left="1647" w:right="0" w:hanging="234"/>
        <w:jc w:val="both"/>
        <w:rPr>
          <w:sz w:val="20"/>
        </w:rPr>
      </w:pPr>
      <w:r>
        <w:rPr>
          <w:sz w:val="20"/>
        </w:rPr>
        <w:t>La indicación de los documentos que hayan de adjuntarse, si</w:t>
      </w:r>
      <w:r>
        <w:rPr>
          <w:spacing w:val="-17"/>
          <w:sz w:val="20"/>
        </w:rPr>
        <w:t> </w:t>
      </w:r>
      <w:r>
        <w:rPr>
          <w:sz w:val="20"/>
        </w:rPr>
        <w:t>procede.</w:t>
      </w:r>
    </w:p>
    <w:p>
      <w:pPr>
        <w:pStyle w:val="ListParagraph"/>
        <w:numPr>
          <w:ilvl w:val="0"/>
          <w:numId w:val="475"/>
        </w:numPr>
        <w:tabs>
          <w:tab w:pos="1674" w:val="left" w:leader="none"/>
        </w:tabs>
        <w:spacing w:line="249" w:lineRule="auto" w:before="10" w:after="0"/>
        <w:ind w:left="1074" w:right="1272" w:firstLine="340"/>
        <w:jc w:val="both"/>
        <w:rPr>
          <w:sz w:val="20"/>
        </w:rPr>
      </w:pPr>
      <w:r>
        <w:rPr>
          <w:sz w:val="20"/>
        </w:rPr>
        <w:t>Los criterios de adjudicación del contrato, cuando no figuren en el anuncio sobre la existencia de un sistema de clasificación que se utilice como medio de convocatoria de licitación.</w:t>
      </w:r>
    </w:p>
    <w:p>
      <w:pPr>
        <w:pStyle w:val="ListParagraph"/>
        <w:numPr>
          <w:ilvl w:val="0"/>
          <w:numId w:val="475"/>
        </w:numPr>
        <w:tabs>
          <w:tab w:pos="1598" w:val="left" w:leader="none"/>
        </w:tabs>
        <w:spacing w:line="249" w:lineRule="auto" w:before="2" w:after="0"/>
        <w:ind w:left="1074" w:right="1273" w:firstLine="340"/>
        <w:jc w:val="both"/>
        <w:rPr>
          <w:sz w:val="20"/>
        </w:rPr>
      </w:pPr>
      <w:r>
        <w:rPr>
          <w:sz w:val="20"/>
        </w:rPr>
        <w:t>La ponderación relativa de los criterios de adjudicación del contrato, o bien el orden de importancia de dichos criterios, en caso de que esta información no figure en el anuncio de convocatoria, el anuncio sobre la existencia de un sistema de clasificación o el pliego de condiciones.</w:t>
      </w:r>
    </w:p>
    <w:p>
      <w:pPr>
        <w:pStyle w:val="BodyText"/>
        <w:spacing w:before="0"/>
        <w:ind w:left="0" w:firstLine="0"/>
        <w:jc w:val="left"/>
        <w:rPr>
          <w:sz w:val="26"/>
        </w:rPr>
      </w:pPr>
    </w:p>
    <w:p>
      <w:pPr>
        <w:pStyle w:val="Heading1"/>
        <w:spacing w:before="164"/>
        <w:ind w:left="2929"/>
      </w:pPr>
      <w:bookmarkStart w:name="ANEXO VI. Información que debe figurar e" w:id="437"/>
      <w:bookmarkEnd w:id="437"/>
      <w:r>
        <w:rPr>
          <w:b w:val="0"/>
        </w:rPr>
      </w:r>
      <w:bookmarkStart w:name="_bookmark87" w:id="438"/>
      <w:bookmarkEnd w:id="438"/>
      <w:r>
        <w:rPr>
          <w:b w:val="0"/>
        </w:rPr>
      </w:r>
      <w:r>
        <w:rPr/>
        <w:t>ANEXO VI</w:t>
      </w:r>
    </w:p>
    <w:p>
      <w:pPr>
        <w:spacing w:line="249" w:lineRule="auto" w:before="123"/>
        <w:ind w:left="1414" w:right="1610" w:firstLine="0"/>
        <w:jc w:val="center"/>
        <w:rPr>
          <w:b/>
          <w:sz w:val="20"/>
        </w:rPr>
      </w:pPr>
      <w:r>
        <w:rPr>
          <w:b/>
          <w:sz w:val="20"/>
        </w:rPr>
        <w:t>Información que debe figurar en los anuncios periódicos indicativos y en los anuncios de publicación en el perfil de contratante</w:t>
      </w:r>
    </w:p>
    <w:p>
      <w:pPr>
        <w:pStyle w:val="BodyText"/>
        <w:spacing w:before="10"/>
        <w:ind w:left="0" w:firstLine="0"/>
        <w:jc w:val="left"/>
        <w:rPr>
          <w:b/>
          <w:sz w:val="19"/>
        </w:rPr>
      </w:pPr>
    </w:p>
    <w:p>
      <w:pPr>
        <w:pStyle w:val="Heading2"/>
        <w:spacing w:line="249" w:lineRule="auto"/>
        <w:ind w:right="1611"/>
      </w:pPr>
      <w:r>
        <w:rPr>
          <w:i/>
        </w:rPr>
        <w:t>Sección A. Anuncios periódicos indicativos de los contratos de obras, </w:t>
      </w:r>
      <w:r>
        <w:rPr/>
        <w:t>suministro y servicios</w:t>
      </w:r>
    </w:p>
    <w:p>
      <w:pPr>
        <w:pStyle w:val="BodyText"/>
        <w:spacing w:before="3"/>
        <w:ind w:left="0" w:firstLine="0"/>
        <w:jc w:val="left"/>
        <w:rPr>
          <w:b/>
          <w:i/>
          <w:sz w:val="24"/>
        </w:rPr>
      </w:pPr>
    </w:p>
    <w:p>
      <w:pPr>
        <w:pStyle w:val="ListParagraph"/>
        <w:numPr>
          <w:ilvl w:val="1"/>
          <w:numId w:val="475"/>
        </w:numPr>
        <w:tabs>
          <w:tab w:pos="3162" w:val="left" w:leader="none"/>
        </w:tabs>
        <w:spacing w:line="240" w:lineRule="auto" w:before="1" w:after="0"/>
        <w:ind w:left="3161" w:right="0" w:hanging="168"/>
        <w:jc w:val="left"/>
        <w:rPr>
          <w:sz w:val="20"/>
        </w:rPr>
      </w:pPr>
      <w:r>
        <w:rPr>
          <w:sz w:val="20"/>
        </w:rPr>
        <w:t>Información que debe figurar en todos los</w:t>
      </w:r>
      <w:r>
        <w:rPr>
          <w:spacing w:val="-5"/>
          <w:sz w:val="20"/>
        </w:rPr>
        <w:t> </w:t>
      </w:r>
      <w:r>
        <w:rPr>
          <w:sz w:val="20"/>
        </w:rPr>
        <w:t>casos</w:t>
      </w:r>
    </w:p>
    <w:p>
      <w:pPr>
        <w:pStyle w:val="ListParagraph"/>
        <w:numPr>
          <w:ilvl w:val="0"/>
          <w:numId w:val="476"/>
        </w:numPr>
        <w:tabs>
          <w:tab w:pos="1708" w:val="left" w:leader="none"/>
        </w:tabs>
        <w:spacing w:line="249" w:lineRule="auto" w:before="130"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76"/>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76"/>
        </w:numPr>
        <w:tabs>
          <w:tab w:pos="1637" w:val="left" w:leader="none"/>
        </w:tabs>
        <w:spacing w:line="240" w:lineRule="auto" w:before="10" w:after="0"/>
        <w:ind w:left="1636" w:right="0" w:hanging="223"/>
        <w:jc w:val="both"/>
        <w:rPr>
          <w:sz w:val="20"/>
        </w:rPr>
      </w:pPr>
      <w:r>
        <w:rPr>
          <w:sz w:val="20"/>
        </w:rPr>
        <w:t>Adicionalmente:</w:t>
      </w:r>
    </w:p>
    <w:p>
      <w:pPr>
        <w:pStyle w:val="ListParagraph"/>
        <w:numPr>
          <w:ilvl w:val="0"/>
          <w:numId w:val="477"/>
        </w:numPr>
        <w:tabs>
          <w:tab w:pos="1657" w:val="left" w:leader="none"/>
        </w:tabs>
        <w:spacing w:line="249" w:lineRule="auto" w:before="130" w:after="0"/>
        <w:ind w:left="1074" w:right="1275" w:firstLine="340"/>
        <w:jc w:val="left"/>
        <w:rPr>
          <w:sz w:val="20"/>
        </w:rPr>
      </w:pPr>
      <w:r>
        <w:rPr>
          <w:sz w:val="20"/>
        </w:rPr>
        <w:t>Para los contratos de suministros: naturaleza y cantidad o valor de las prestaciones o de los productos que se deben suministrar (códigos</w:t>
      </w:r>
      <w:r>
        <w:rPr>
          <w:spacing w:val="-8"/>
          <w:sz w:val="20"/>
        </w:rPr>
        <w:t> </w:t>
      </w:r>
      <w:r>
        <w:rPr>
          <w:sz w:val="20"/>
        </w:rPr>
        <w:t>CPV).</w:t>
      </w:r>
    </w:p>
    <w:p>
      <w:pPr>
        <w:pStyle w:val="ListParagraph"/>
        <w:numPr>
          <w:ilvl w:val="0"/>
          <w:numId w:val="477"/>
        </w:numPr>
        <w:tabs>
          <w:tab w:pos="1654" w:val="left" w:leader="none"/>
        </w:tabs>
        <w:spacing w:line="249" w:lineRule="auto" w:before="2" w:after="0"/>
        <w:ind w:left="1074" w:right="1274" w:firstLine="340"/>
        <w:jc w:val="left"/>
        <w:rPr>
          <w:sz w:val="20"/>
        </w:rPr>
      </w:pPr>
      <w:r>
        <w:rPr>
          <w:sz w:val="20"/>
        </w:rPr>
        <w:t>Para los contratos de obras: naturaleza y amplitud de las prestaciones, características generales de la obra o de los lotes relacionados con la obra (códigos</w:t>
      </w:r>
      <w:r>
        <w:rPr>
          <w:spacing w:val="-19"/>
          <w:sz w:val="20"/>
        </w:rPr>
        <w:t> </w:t>
      </w:r>
      <w:r>
        <w:rPr>
          <w:sz w:val="20"/>
        </w:rPr>
        <w:t>CPV).</w:t>
      </w:r>
    </w:p>
    <w:p>
      <w:pPr>
        <w:pStyle w:val="ListParagraph"/>
        <w:numPr>
          <w:ilvl w:val="0"/>
          <w:numId w:val="477"/>
        </w:numPr>
        <w:tabs>
          <w:tab w:pos="1651" w:val="left" w:leader="none"/>
        </w:tabs>
        <w:spacing w:line="249" w:lineRule="auto" w:before="1" w:after="0"/>
        <w:ind w:left="1074" w:right="1273" w:firstLine="340"/>
        <w:jc w:val="left"/>
        <w:rPr>
          <w:sz w:val="20"/>
        </w:rPr>
      </w:pPr>
      <w:r>
        <w:rPr>
          <w:sz w:val="20"/>
        </w:rPr>
        <w:t>Para los contratos de servicios: volumen previsto de contratación en cada una de las categorías de servicios (códigos</w:t>
      </w:r>
      <w:r>
        <w:rPr>
          <w:spacing w:val="-2"/>
          <w:sz w:val="20"/>
        </w:rPr>
        <w:t> </w:t>
      </w:r>
      <w:r>
        <w:rPr>
          <w:sz w:val="20"/>
        </w:rPr>
        <w:t>CPV).</w:t>
      </w:r>
    </w:p>
    <w:p>
      <w:pPr>
        <w:pStyle w:val="ListParagraph"/>
        <w:numPr>
          <w:ilvl w:val="0"/>
          <w:numId w:val="476"/>
        </w:numPr>
        <w:tabs>
          <w:tab w:pos="1686" w:val="left" w:leader="none"/>
        </w:tabs>
        <w:spacing w:line="249" w:lineRule="auto" w:before="2" w:after="0"/>
        <w:ind w:left="1074" w:right="1274" w:firstLine="340"/>
        <w:jc w:val="left"/>
        <w:rPr>
          <w:sz w:val="20"/>
        </w:rPr>
      </w:pPr>
      <w:r>
        <w:rPr>
          <w:sz w:val="20"/>
        </w:rPr>
        <w:t>Fecha de envío del anuncio o de envío del anuncio relativo a la publicación del presente anuncio en el perfil de</w:t>
      </w:r>
      <w:r>
        <w:rPr>
          <w:spacing w:val="-8"/>
          <w:sz w:val="20"/>
        </w:rPr>
        <w:t> </w:t>
      </w:r>
      <w:r>
        <w:rPr>
          <w:sz w:val="20"/>
        </w:rPr>
        <w:t>contratante.</w:t>
      </w:r>
    </w:p>
    <w:p>
      <w:pPr>
        <w:pStyle w:val="ListParagraph"/>
        <w:numPr>
          <w:ilvl w:val="0"/>
          <w:numId w:val="476"/>
        </w:numPr>
        <w:tabs>
          <w:tab w:pos="1637" w:val="left" w:leader="none"/>
        </w:tabs>
        <w:spacing w:line="240" w:lineRule="auto" w:before="2" w:after="0"/>
        <w:ind w:left="1636" w:right="0" w:hanging="223"/>
        <w:jc w:val="left"/>
        <w:rPr>
          <w:sz w:val="20"/>
        </w:rPr>
      </w:pPr>
      <w:r>
        <w:rPr>
          <w:sz w:val="20"/>
        </w:rPr>
        <w:t>Si procede, otras</w:t>
      </w:r>
      <w:r>
        <w:rPr>
          <w:spacing w:val="-3"/>
          <w:sz w:val="20"/>
        </w:rPr>
        <w:t> </w:t>
      </w:r>
      <w:r>
        <w:rPr>
          <w:sz w:val="20"/>
        </w:rPr>
        <w:t>informaciones.</w:t>
      </w:r>
    </w:p>
    <w:p>
      <w:pPr>
        <w:spacing w:after="0" w:line="240"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1"/>
          <w:numId w:val="475"/>
        </w:numPr>
        <w:tabs>
          <w:tab w:pos="1342" w:val="left" w:leader="none"/>
        </w:tabs>
        <w:spacing w:line="249" w:lineRule="auto" w:before="127" w:after="0"/>
        <w:ind w:left="3556" w:right="1271" w:hanging="2483"/>
        <w:jc w:val="left"/>
        <w:rPr>
          <w:sz w:val="20"/>
        </w:rPr>
      </w:pPr>
      <w:r>
        <w:rPr>
          <w:sz w:val="20"/>
        </w:rPr>
        <w:t>Información adicional que debe facilitarse si el anuncio permite una reducción de los plazos de presentación de las</w:t>
      </w:r>
      <w:r>
        <w:rPr>
          <w:spacing w:val="-8"/>
          <w:sz w:val="20"/>
        </w:rPr>
        <w:t> </w:t>
      </w:r>
      <w:r>
        <w:rPr>
          <w:sz w:val="20"/>
        </w:rPr>
        <w:t>ofertas</w:t>
      </w:r>
    </w:p>
    <w:p>
      <w:pPr>
        <w:pStyle w:val="ListParagraph"/>
        <w:numPr>
          <w:ilvl w:val="0"/>
          <w:numId w:val="476"/>
        </w:numPr>
        <w:tabs>
          <w:tab w:pos="1717" w:val="left" w:leader="none"/>
        </w:tabs>
        <w:spacing w:line="249" w:lineRule="auto" w:before="121" w:after="0"/>
        <w:ind w:left="1074" w:right="1274" w:firstLine="340"/>
        <w:jc w:val="both"/>
        <w:rPr>
          <w:sz w:val="20"/>
        </w:rPr>
      </w:pPr>
      <w:r>
        <w:rPr>
          <w:sz w:val="20"/>
        </w:rPr>
        <w:t>Mención de que los empresarios interesados deberán comunicar a la entidad contratante su interés por el contrato o</w:t>
      </w:r>
      <w:r>
        <w:rPr>
          <w:spacing w:val="-5"/>
          <w:sz w:val="20"/>
        </w:rPr>
        <w:t> </w:t>
      </w:r>
      <w:r>
        <w:rPr>
          <w:sz w:val="20"/>
        </w:rPr>
        <w:t>contratos.</w:t>
      </w:r>
    </w:p>
    <w:p>
      <w:pPr>
        <w:pStyle w:val="ListParagraph"/>
        <w:numPr>
          <w:ilvl w:val="0"/>
          <w:numId w:val="476"/>
        </w:numPr>
        <w:tabs>
          <w:tab w:pos="1695" w:val="left" w:leader="none"/>
        </w:tabs>
        <w:spacing w:line="249" w:lineRule="auto" w:before="2" w:after="0"/>
        <w:ind w:left="1074" w:right="1277" w:firstLine="340"/>
        <w:jc w:val="both"/>
        <w:rPr>
          <w:sz w:val="20"/>
        </w:rPr>
      </w:pPr>
      <w:r>
        <w:rPr>
          <w:sz w:val="20"/>
        </w:rPr>
        <w:t>Dirección electrónica o de internet en la que estarán disponibles los pliegos de condiciones para un acceso libre, directo, completo y</w:t>
      </w:r>
      <w:r>
        <w:rPr>
          <w:spacing w:val="-10"/>
          <w:sz w:val="20"/>
        </w:rPr>
        <w:t> </w:t>
      </w:r>
      <w:r>
        <w:rPr>
          <w:sz w:val="20"/>
        </w:rPr>
        <w:t>gratuito.</w:t>
      </w:r>
    </w:p>
    <w:p>
      <w:pPr>
        <w:pStyle w:val="BodyText"/>
        <w:spacing w:line="249" w:lineRule="auto"/>
        <w:ind w:right="1275"/>
      </w:pPr>
      <w:r>
        <w:rPr/>
        <w:t>Cuando no se disponga de un acceso libre, directo, completo y gratuito por los motivos contemplados en el artículo 43.2, una indicación sobre el modo de acceso a los pliegos de condiciones.</w:t>
      </w:r>
    </w:p>
    <w:p>
      <w:pPr>
        <w:pStyle w:val="ListParagraph"/>
        <w:numPr>
          <w:ilvl w:val="0"/>
          <w:numId w:val="476"/>
        </w:numPr>
        <w:tabs>
          <w:tab w:pos="1642" w:val="left" w:leader="none"/>
        </w:tabs>
        <w:spacing w:line="249" w:lineRule="auto" w:before="2" w:after="0"/>
        <w:ind w:left="1074" w:right="1273" w:firstLine="340"/>
        <w:jc w:val="both"/>
        <w:rPr>
          <w:sz w:val="20"/>
        </w:rPr>
      </w:pPr>
      <w:r>
        <w:rPr>
          <w:sz w:val="20"/>
        </w:rPr>
        <w:t>Si procede, indicación de si el contrato está reservado para talleres protegidos, o si su ejecución está reservada para programas de empleo</w:t>
      </w:r>
      <w:r>
        <w:rPr>
          <w:spacing w:val="-11"/>
          <w:sz w:val="20"/>
        </w:rPr>
        <w:t> </w:t>
      </w:r>
      <w:r>
        <w:rPr>
          <w:sz w:val="20"/>
        </w:rPr>
        <w:t>protegidos.</w:t>
      </w:r>
    </w:p>
    <w:p>
      <w:pPr>
        <w:pStyle w:val="ListParagraph"/>
        <w:numPr>
          <w:ilvl w:val="0"/>
          <w:numId w:val="476"/>
        </w:numPr>
        <w:tabs>
          <w:tab w:pos="1671" w:val="left" w:leader="none"/>
        </w:tabs>
        <w:spacing w:line="249" w:lineRule="auto" w:before="2" w:after="0"/>
        <w:ind w:left="1074" w:right="1275" w:firstLine="340"/>
        <w:jc w:val="both"/>
        <w:rPr>
          <w:sz w:val="20"/>
        </w:rPr>
      </w:pPr>
      <w:r>
        <w:rPr>
          <w:sz w:val="20"/>
        </w:rPr>
        <w:t>Fecha límite de presentación de las solicitudes que tengan por objeto obtener una invitación a presentar ofertas o a</w:t>
      </w:r>
      <w:r>
        <w:rPr>
          <w:spacing w:val="-9"/>
          <w:sz w:val="20"/>
        </w:rPr>
        <w:t> </w:t>
      </w:r>
      <w:r>
        <w:rPr>
          <w:sz w:val="20"/>
        </w:rPr>
        <w:t>negociar.</w:t>
      </w:r>
    </w:p>
    <w:p>
      <w:pPr>
        <w:pStyle w:val="ListParagraph"/>
        <w:numPr>
          <w:ilvl w:val="0"/>
          <w:numId w:val="476"/>
        </w:numPr>
        <w:tabs>
          <w:tab w:pos="1754" w:val="left" w:leader="none"/>
        </w:tabs>
        <w:spacing w:line="249" w:lineRule="auto" w:before="1" w:after="0"/>
        <w:ind w:left="1074" w:right="1273" w:firstLine="340"/>
        <w:jc w:val="both"/>
        <w:rPr>
          <w:sz w:val="20"/>
        </w:rPr>
      </w:pPr>
      <w:r>
        <w:rPr>
          <w:sz w:val="20"/>
        </w:rPr>
        <w:t>Características y cantidad de los productos solicitados o características generales de la obra o categoría del servicio y su descripción, precisando si se prevé uno o varios acuerdos marco. Indicación de las opciones para licitaciones complementarias y el plazo estimado previsto para ejercer dichas opciones, así como el número de prórrogas posibles. En el caso de una serie de contratos renovables, deberá precisarse también el calendario provisional de las convocatorias de licitación posteriores. Indicación de si se trata de compra, arrendamiento financiero, alquiler, o compra a plazos, o de una combinación de los</w:t>
      </w:r>
      <w:r>
        <w:rPr>
          <w:spacing w:val="-37"/>
          <w:sz w:val="20"/>
        </w:rPr>
        <w:t> </w:t>
      </w:r>
      <w:r>
        <w:rPr>
          <w:sz w:val="20"/>
        </w:rPr>
        <w:t>mismos.</w:t>
      </w:r>
    </w:p>
    <w:p>
      <w:pPr>
        <w:pStyle w:val="ListParagraph"/>
        <w:numPr>
          <w:ilvl w:val="0"/>
          <w:numId w:val="476"/>
        </w:numPr>
        <w:tabs>
          <w:tab w:pos="1768" w:val="left" w:leader="none"/>
        </w:tabs>
        <w:spacing w:line="249" w:lineRule="auto" w:before="6" w:after="0"/>
        <w:ind w:left="1074" w:right="1274" w:firstLine="340"/>
        <w:jc w:val="both"/>
        <w:rPr>
          <w:sz w:val="20"/>
        </w:rPr>
      </w:pPr>
      <w:r>
        <w:rPr>
          <w:sz w:val="20"/>
        </w:rPr>
        <w:t>Código NUTS del emplazamiento principal de las obras, en el caso de las obras, o código NUTS del lugar principal de entrega o de ejecución, en el caso de los suministros y los servicios; si el contrato está dividido en lotes, esta información se facilitará para cada  lote.</w:t>
      </w:r>
    </w:p>
    <w:p>
      <w:pPr>
        <w:pStyle w:val="ListParagraph"/>
        <w:numPr>
          <w:ilvl w:val="0"/>
          <w:numId w:val="476"/>
        </w:numPr>
        <w:tabs>
          <w:tab w:pos="1756" w:val="left" w:leader="none"/>
        </w:tabs>
        <w:spacing w:line="249" w:lineRule="auto" w:before="3" w:after="0"/>
        <w:ind w:left="1074" w:right="1275" w:firstLine="340"/>
        <w:jc w:val="both"/>
        <w:rPr>
          <w:sz w:val="20"/>
        </w:rPr>
      </w:pPr>
      <w:r>
        <w:rPr>
          <w:sz w:val="20"/>
        </w:rPr>
        <w:t>Plazo de entrega o ejecución o duración del contrato de servicios y, en la medida de lo posible, la fecha de</w:t>
      </w:r>
      <w:r>
        <w:rPr>
          <w:spacing w:val="-5"/>
          <w:sz w:val="20"/>
        </w:rPr>
        <w:t> </w:t>
      </w:r>
      <w:r>
        <w:rPr>
          <w:sz w:val="20"/>
        </w:rPr>
        <w:t>inicio.</w:t>
      </w:r>
    </w:p>
    <w:p>
      <w:pPr>
        <w:pStyle w:val="ListParagraph"/>
        <w:numPr>
          <w:ilvl w:val="0"/>
          <w:numId w:val="476"/>
        </w:numPr>
        <w:tabs>
          <w:tab w:pos="1785" w:val="left" w:leader="none"/>
        </w:tabs>
        <w:spacing w:line="249" w:lineRule="auto" w:before="2" w:after="0"/>
        <w:ind w:left="1074" w:right="1275" w:firstLine="340"/>
        <w:jc w:val="both"/>
        <w:rPr>
          <w:sz w:val="20"/>
        </w:rPr>
      </w:pPr>
      <w:r>
        <w:rPr>
          <w:sz w:val="20"/>
        </w:rPr>
        <w:t>Dirección a la que las empresas interesadas deberán enviar su manifestación de interés por</w:t>
      </w:r>
      <w:r>
        <w:rPr>
          <w:spacing w:val="-3"/>
          <w:sz w:val="20"/>
        </w:rPr>
        <w:t> </w:t>
      </w:r>
      <w:r>
        <w:rPr>
          <w:sz w:val="20"/>
        </w:rPr>
        <w:t>escrito.</w:t>
      </w:r>
    </w:p>
    <w:p>
      <w:pPr>
        <w:pStyle w:val="ListParagraph"/>
        <w:numPr>
          <w:ilvl w:val="0"/>
          <w:numId w:val="476"/>
        </w:numPr>
        <w:tabs>
          <w:tab w:pos="1748" w:val="left" w:leader="none"/>
        </w:tabs>
        <w:spacing w:line="240" w:lineRule="auto" w:before="2" w:after="0"/>
        <w:ind w:left="1747" w:right="0" w:hanging="334"/>
        <w:jc w:val="both"/>
        <w:rPr>
          <w:sz w:val="20"/>
        </w:rPr>
      </w:pPr>
      <w:r>
        <w:rPr>
          <w:sz w:val="20"/>
        </w:rPr>
        <w:t>Fecha límite de recepción de manifestaciones de</w:t>
      </w:r>
      <w:r>
        <w:rPr>
          <w:spacing w:val="-6"/>
          <w:sz w:val="20"/>
        </w:rPr>
        <w:t> </w:t>
      </w:r>
      <w:r>
        <w:rPr>
          <w:sz w:val="20"/>
        </w:rPr>
        <w:t>interés.</w:t>
      </w:r>
    </w:p>
    <w:p>
      <w:pPr>
        <w:pStyle w:val="ListParagraph"/>
        <w:numPr>
          <w:ilvl w:val="0"/>
          <w:numId w:val="476"/>
        </w:numPr>
        <w:tabs>
          <w:tab w:pos="1748" w:val="left" w:leader="none"/>
        </w:tabs>
        <w:spacing w:line="240" w:lineRule="auto" w:before="10" w:after="0"/>
        <w:ind w:left="1747" w:right="0" w:hanging="334"/>
        <w:jc w:val="both"/>
        <w:rPr>
          <w:sz w:val="20"/>
        </w:rPr>
      </w:pPr>
      <w:r>
        <w:rPr>
          <w:sz w:val="20"/>
        </w:rPr>
        <w:t>Lengua o lenguas autorizadas para la presentación de candidaturas o de</w:t>
      </w:r>
      <w:r>
        <w:rPr>
          <w:spacing w:val="-22"/>
          <w:sz w:val="20"/>
        </w:rPr>
        <w:t> </w:t>
      </w:r>
      <w:r>
        <w:rPr>
          <w:sz w:val="20"/>
        </w:rPr>
        <w:t>ofertas.</w:t>
      </w:r>
    </w:p>
    <w:p>
      <w:pPr>
        <w:pStyle w:val="ListParagraph"/>
        <w:numPr>
          <w:ilvl w:val="0"/>
          <w:numId w:val="476"/>
        </w:numPr>
        <w:tabs>
          <w:tab w:pos="1795" w:val="left" w:leader="none"/>
        </w:tabs>
        <w:spacing w:line="249" w:lineRule="auto" w:before="10" w:after="0"/>
        <w:ind w:left="1074" w:right="1272" w:firstLine="340"/>
        <w:jc w:val="both"/>
        <w:rPr>
          <w:sz w:val="20"/>
        </w:rPr>
      </w:pPr>
      <w:r>
        <w:rPr>
          <w:sz w:val="20"/>
        </w:rPr>
        <w:t>Condiciones de carácter económico y técnico, y garantías financieras y técnicas exigidas a los</w:t>
      </w:r>
      <w:r>
        <w:rPr>
          <w:spacing w:val="-4"/>
          <w:sz w:val="20"/>
        </w:rPr>
        <w:t> </w:t>
      </w:r>
      <w:r>
        <w:rPr>
          <w:sz w:val="20"/>
        </w:rPr>
        <w:t>proveedores.</w:t>
      </w:r>
    </w:p>
    <w:p>
      <w:pPr>
        <w:pStyle w:val="ListParagraph"/>
        <w:numPr>
          <w:ilvl w:val="0"/>
          <w:numId w:val="476"/>
        </w:numPr>
        <w:tabs>
          <w:tab w:pos="1748" w:val="left" w:leader="none"/>
        </w:tabs>
        <w:spacing w:line="240" w:lineRule="auto" w:before="1" w:after="0"/>
        <w:ind w:left="1747" w:right="0" w:hanging="334"/>
        <w:jc w:val="both"/>
        <w:rPr>
          <w:sz w:val="20"/>
        </w:rPr>
      </w:pPr>
      <w:r>
        <w:rPr>
          <w:sz w:val="20"/>
        </w:rPr>
        <w:t>Adicionalmente:</w:t>
      </w:r>
    </w:p>
    <w:p>
      <w:pPr>
        <w:pStyle w:val="ListParagraph"/>
        <w:numPr>
          <w:ilvl w:val="0"/>
          <w:numId w:val="478"/>
        </w:numPr>
        <w:tabs>
          <w:tab w:pos="1648" w:val="left" w:leader="none"/>
        </w:tabs>
        <w:spacing w:line="240" w:lineRule="auto" w:before="130" w:after="0"/>
        <w:ind w:left="1647" w:right="0" w:hanging="234"/>
        <w:jc w:val="both"/>
        <w:rPr>
          <w:sz w:val="20"/>
        </w:rPr>
      </w:pPr>
      <w:r>
        <w:rPr>
          <w:sz w:val="20"/>
        </w:rPr>
        <w:t>Fecha estimada, si se conoce, del inicio de los procedimientos de</w:t>
      </w:r>
      <w:r>
        <w:rPr>
          <w:spacing w:val="-15"/>
          <w:sz w:val="20"/>
        </w:rPr>
        <w:t> </w:t>
      </w:r>
      <w:r>
        <w:rPr>
          <w:sz w:val="20"/>
        </w:rPr>
        <w:t>contratación.</w:t>
      </w:r>
    </w:p>
    <w:p>
      <w:pPr>
        <w:pStyle w:val="ListParagraph"/>
        <w:numPr>
          <w:ilvl w:val="0"/>
          <w:numId w:val="478"/>
        </w:numPr>
        <w:tabs>
          <w:tab w:pos="1653" w:val="left" w:leader="none"/>
        </w:tabs>
        <w:spacing w:line="249" w:lineRule="auto" w:before="10" w:after="0"/>
        <w:ind w:left="1074" w:right="1272" w:firstLine="340"/>
        <w:jc w:val="both"/>
        <w:rPr>
          <w:sz w:val="20"/>
        </w:rPr>
      </w:pPr>
      <w:r>
        <w:rPr>
          <w:sz w:val="20"/>
        </w:rPr>
        <w:t>Tipo de procedimiento de contratación (procedimientos restringidos, conlleven o no un sistema dinámico de adquisición, o procedimientos</w:t>
      </w:r>
      <w:r>
        <w:rPr>
          <w:spacing w:val="-10"/>
          <w:sz w:val="20"/>
        </w:rPr>
        <w:t> </w:t>
      </w:r>
      <w:r>
        <w:rPr>
          <w:sz w:val="20"/>
        </w:rPr>
        <w:t>negociados).</w:t>
      </w:r>
    </w:p>
    <w:p>
      <w:pPr>
        <w:pStyle w:val="ListParagraph"/>
        <w:numPr>
          <w:ilvl w:val="0"/>
          <w:numId w:val="476"/>
        </w:numPr>
        <w:tabs>
          <w:tab w:pos="1814" w:val="left" w:leader="none"/>
        </w:tabs>
        <w:spacing w:line="249" w:lineRule="auto" w:before="122" w:after="0"/>
        <w:ind w:left="1074" w:right="1275" w:firstLine="340"/>
        <w:jc w:val="both"/>
        <w:rPr>
          <w:sz w:val="20"/>
        </w:rPr>
      </w:pPr>
      <w:r>
        <w:rPr>
          <w:sz w:val="20"/>
        </w:rPr>
        <w:t>Si procede, condiciones particulares a las que está sometida la ejecución del contrato.</w:t>
      </w:r>
    </w:p>
    <w:p>
      <w:pPr>
        <w:pStyle w:val="ListParagraph"/>
        <w:numPr>
          <w:ilvl w:val="0"/>
          <w:numId w:val="476"/>
        </w:numPr>
        <w:tabs>
          <w:tab w:pos="1748" w:val="left" w:leader="none"/>
        </w:tabs>
        <w:spacing w:line="240" w:lineRule="auto" w:before="2" w:after="0"/>
        <w:ind w:left="1747" w:right="0" w:hanging="334"/>
        <w:jc w:val="both"/>
        <w:rPr>
          <w:sz w:val="20"/>
        </w:rPr>
      </w:pPr>
      <w:r>
        <w:rPr>
          <w:sz w:val="20"/>
        </w:rPr>
        <w:t>Si procede, indicación de</w:t>
      </w:r>
      <w:r>
        <w:rPr>
          <w:spacing w:val="-4"/>
          <w:sz w:val="20"/>
        </w:rPr>
        <w:t> </w:t>
      </w:r>
      <w:r>
        <w:rPr>
          <w:sz w:val="20"/>
        </w:rPr>
        <w:t>si:</w:t>
      </w:r>
    </w:p>
    <w:p>
      <w:pPr>
        <w:pStyle w:val="ListParagraph"/>
        <w:numPr>
          <w:ilvl w:val="0"/>
          <w:numId w:val="479"/>
        </w:numPr>
        <w:tabs>
          <w:tab w:pos="1732" w:val="left" w:leader="none"/>
        </w:tabs>
        <w:spacing w:line="249" w:lineRule="auto" w:before="130" w:after="0"/>
        <w:ind w:left="1074" w:right="1273" w:firstLine="340"/>
        <w:jc w:val="left"/>
        <w:rPr>
          <w:sz w:val="20"/>
        </w:rPr>
      </w:pPr>
      <w:r>
        <w:rPr>
          <w:sz w:val="20"/>
        </w:rPr>
        <w:t>Se exigirá o aceptará la presentación electrónica de ofertas o solicitudes de participación;</w:t>
      </w:r>
    </w:p>
    <w:p>
      <w:pPr>
        <w:pStyle w:val="ListParagraph"/>
        <w:numPr>
          <w:ilvl w:val="0"/>
          <w:numId w:val="479"/>
        </w:numPr>
        <w:tabs>
          <w:tab w:pos="1648" w:val="left" w:leader="none"/>
        </w:tabs>
        <w:spacing w:line="240" w:lineRule="auto" w:before="1" w:after="0"/>
        <w:ind w:left="1647" w:right="0" w:hanging="234"/>
        <w:jc w:val="left"/>
        <w:rPr>
          <w:sz w:val="20"/>
        </w:rPr>
      </w:pPr>
      <w:r>
        <w:rPr>
          <w:sz w:val="20"/>
        </w:rPr>
        <w:t>se utilizarán pedidos</w:t>
      </w:r>
      <w:r>
        <w:rPr>
          <w:spacing w:val="-3"/>
          <w:sz w:val="20"/>
        </w:rPr>
        <w:t> </w:t>
      </w:r>
      <w:r>
        <w:rPr>
          <w:sz w:val="20"/>
        </w:rPr>
        <w:t>electrónicos;</w:t>
      </w:r>
    </w:p>
    <w:p>
      <w:pPr>
        <w:pStyle w:val="ListParagraph"/>
        <w:numPr>
          <w:ilvl w:val="0"/>
          <w:numId w:val="479"/>
        </w:numPr>
        <w:tabs>
          <w:tab w:pos="1637" w:val="left" w:leader="none"/>
        </w:tabs>
        <w:spacing w:line="240" w:lineRule="auto" w:before="10" w:after="0"/>
        <w:ind w:left="1636" w:right="0" w:hanging="223"/>
        <w:jc w:val="left"/>
        <w:rPr>
          <w:sz w:val="20"/>
        </w:rPr>
      </w:pPr>
      <w:r>
        <w:rPr>
          <w:sz w:val="20"/>
        </w:rPr>
        <w:t>se utilizará facturación</w:t>
      </w:r>
      <w:r>
        <w:rPr>
          <w:spacing w:val="-2"/>
          <w:sz w:val="20"/>
        </w:rPr>
        <w:t> </w:t>
      </w:r>
      <w:r>
        <w:rPr>
          <w:sz w:val="20"/>
        </w:rPr>
        <w:t>electrónica;</w:t>
      </w:r>
    </w:p>
    <w:p>
      <w:pPr>
        <w:pStyle w:val="ListParagraph"/>
        <w:numPr>
          <w:ilvl w:val="0"/>
          <w:numId w:val="479"/>
        </w:numPr>
        <w:tabs>
          <w:tab w:pos="1648" w:val="left" w:leader="none"/>
        </w:tabs>
        <w:spacing w:line="240" w:lineRule="auto" w:before="10" w:after="0"/>
        <w:ind w:left="1647" w:right="0" w:hanging="234"/>
        <w:jc w:val="left"/>
        <w:rPr>
          <w:sz w:val="20"/>
        </w:rPr>
      </w:pPr>
      <w:r>
        <w:rPr>
          <w:sz w:val="20"/>
        </w:rPr>
        <w:t>se aceptará el pago</w:t>
      </w:r>
      <w:r>
        <w:rPr>
          <w:spacing w:val="-4"/>
          <w:sz w:val="20"/>
        </w:rPr>
        <w:t> </w:t>
      </w:r>
      <w:r>
        <w:rPr>
          <w:sz w:val="20"/>
        </w:rPr>
        <w:t>electrónico.</w:t>
      </w:r>
    </w:p>
    <w:p>
      <w:pPr>
        <w:pStyle w:val="ListParagraph"/>
        <w:numPr>
          <w:ilvl w:val="0"/>
          <w:numId w:val="476"/>
        </w:numPr>
        <w:tabs>
          <w:tab w:pos="1765" w:val="left" w:leader="none"/>
        </w:tabs>
        <w:spacing w:line="249" w:lineRule="auto" w:before="130" w:after="0"/>
        <w:ind w:left="1074" w:right="1272" w:firstLine="340"/>
        <w:jc w:val="both"/>
        <w:rPr>
          <w:sz w:val="20"/>
        </w:rPr>
      </w:pPr>
      <w:r>
        <w:rPr>
          <w:sz w:val="20"/>
        </w:rPr>
        <w:t>Nombre y dirección del órgano competente para los procedimientos de reclamación y, en su caso, de arbitraje. Indicación del plazo de presentación de reclamaciones, o, en caso necesario, el nombre, la dirección, los números de teléfono y de fax y la dirección electrónica del servicio del que pueda obtenerse dicha</w:t>
      </w:r>
      <w:r>
        <w:rPr>
          <w:spacing w:val="-14"/>
          <w:sz w:val="20"/>
        </w:rPr>
        <w:t> </w:t>
      </w:r>
      <w:r>
        <w:rPr>
          <w:sz w:val="20"/>
        </w:rPr>
        <w:t>información.</w:t>
      </w:r>
    </w:p>
    <w:p>
      <w:pPr>
        <w:pStyle w:val="ListParagraph"/>
        <w:numPr>
          <w:ilvl w:val="0"/>
          <w:numId w:val="476"/>
        </w:numPr>
        <w:tabs>
          <w:tab w:pos="1766" w:val="left" w:leader="none"/>
        </w:tabs>
        <w:spacing w:line="249" w:lineRule="auto" w:before="4" w:after="0"/>
        <w:ind w:left="1074" w:right="1273" w:firstLine="340"/>
        <w:jc w:val="both"/>
        <w:rPr>
          <w:sz w:val="20"/>
        </w:rPr>
      </w:pPr>
      <w:r>
        <w:rPr>
          <w:sz w:val="20"/>
        </w:rPr>
        <w:t>Si se conocen, los criterios contemplados en el artículo 66 que se utilizarán para la adjudicación del contrato. Excepto en el supuesto en que la oferta económicamente más ventajosa se determine sobre el precio exclusivamente, se mencionarán asimismo los criterios que determinen la oferta económicamente más ventajosa, así como su ponderación, o, en su caso, el orden de importancia de los mismos, cuando no figuren en el pliego de condiciones, o en la invitación a licitar o a</w:t>
      </w:r>
      <w:r>
        <w:rPr>
          <w:spacing w:val="-11"/>
          <w:sz w:val="20"/>
        </w:rPr>
        <w:t> </w:t>
      </w:r>
      <w:r>
        <w:rPr>
          <w:sz w:val="20"/>
        </w:rPr>
        <w:t>negociar.</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pStyle w:val="Heading2"/>
        <w:spacing w:line="249" w:lineRule="auto"/>
        <w:ind w:left="4268" w:right="1612" w:hanging="2854"/>
        <w:jc w:val="both"/>
      </w:pPr>
      <w:r>
        <w:rPr>
          <w:i/>
        </w:rPr>
        <w:t>Sección B. Anuncios de publicación en un perfil de contratante de un anuncio </w:t>
      </w:r>
      <w:r>
        <w:rPr/>
        <w:t>periódico indicativo</w:t>
      </w:r>
    </w:p>
    <w:p>
      <w:pPr>
        <w:pStyle w:val="ListParagraph"/>
        <w:numPr>
          <w:ilvl w:val="0"/>
          <w:numId w:val="480"/>
        </w:numPr>
        <w:tabs>
          <w:tab w:pos="1708" w:val="left" w:leader="none"/>
        </w:tabs>
        <w:spacing w:line="249" w:lineRule="auto" w:before="116"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80"/>
        </w:numPr>
        <w:tabs>
          <w:tab w:pos="1637" w:val="left" w:leader="none"/>
        </w:tabs>
        <w:spacing w:line="240" w:lineRule="auto" w:before="3"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80"/>
        </w:numPr>
        <w:tabs>
          <w:tab w:pos="1637" w:val="left" w:leader="none"/>
        </w:tabs>
        <w:spacing w:line="240" w:lineRule="auto" w:before="10" w:after="0"/>
        <w:ind w:left="1636" w:right="0" w:hanging="223"/>
        <w:jc w:val="both"/>
        <w:rPr>
          <w:sz w:val="20"/>
        </w:rPr>
      </w:pPr>
      <w:r>
        <w:rPr>
          <w:sz w:val="20"/>
        </w:rPr>
        <w:t>Códigos</w:t>
      </w:r>
      <w:r>
        <w:rPr>
          <w:spacing w:val="-2"/>
          <w:sz w:val="20"/>
        </w:rPr>
        <w:t> </w:t>
      </w:r>
      <w:r>
        <w:rPr>
          <w:sz w:val="20"/>
        </w:rPr>
        <w:t>CPV.</w:t>
      </w:r>
    </w:p>
    <w:p>
      <w:pPr>
        <w:pStyle w:val="ListParagraph"/>
        <w:numPr>
          <w:ilvl w:val="0"/>
          <w:numId w:val="480"/>
        </w:numPr>
        <w:tabs>
          <w:tab w:pos="1637" w:val="left" w:leader="none"/>
        </w:tabs>
        <w:spacing w:line="240" w:lineRule="auto" w:before="10" w:after="0"/>
        <w:ind w:left="1636" w:right="0" w:hanging="223"/>
        <w:jc w:val="both"/>
        <w:rPr>
          <w:sz w:val="20"/>
        </w:rPr>
      </w:pPr>
      <w:r>
        <w:rPr>
          <w:sz w:val="20"/>
        </w:rPr>
        <w:t>Dirección de internet del perfil de</w:t>
      </w:r>
      <w:r>
        <w:rPr>
          <w:spacing w:val="-8"/>
          <w:sz w:val="20"/>
        </w:rPr>
        <w:t> </w:t>
      </w:r>
      <w:r>
        <w:rPr>
          <w:sz w:val="20"/>
        </w:rPr>
        <w:t>contratante.</w:t>
      </w:r>
    </w:p>
    <w:p>
      <w:pPr>
        <w:pStyle w:val="ListParagraph"/>
        <w:numPr>
          <w:ilvl w:val="0"/>
          <w:numId w:val="480"/>
        </w:numPr>
        <w:tabs>
          <w:tab w:pos="1641" w:val="left" w:leader="none"/>
        </w:tabs>
        <w:spacing w:line="249" w:lineRule="auto" w:before="10" w:after="0"/>
        <w:ind w:left="1074" w:right="1276" w:firstLine="340"/>
        <w:jc w:val="both"/>
        <w:rPr>
          <w:sz w:val="20"/>
        </w:rPr>
      </w:pPr>
      <w:r>
        <w:rPr>
          <w:sz w:val="20"/>
        </w:rPr>
        <w:t>Fecha de envío del anuncio relativo a la publicación de un anuncio periódico indicativo en el perfil de</w:t>
      </w:r>
      <w:r>
        <w:rPr>
          <w:spacing w:val="-5"/>
          <w:sz w:val="20"/>
        </w:rPr>
        <w:t> </w:t>
      </w:r>
      <w:r>
        <w:rPr>
          <w:sz w:val="20"/>
        </w:rPr>
        <w:t>contratante.</w:t>
      </w:r>
    </w:p>
    <w:p>
      <w:pPr>
        <w:pStyle w:val="BodyText"/>
        <w:spacing w:before="4"/>
        <w:ind w:left="0" w:firstLine="0"/>
        <w:jc w:val="left"/>
      </w:pPr>
    </w:p>
    <w:p>
      <w:pPr>
        <w:pStyle w:val="Heading2"/>
        <w:spacing w:line="249" w:lineRule="auto"/>
        <w:ind w:left="4695" w:right="1647" w:hanging="3282"/>
        <w:jc w:val="left"/>
      </w:pPr>
      <w:r>
        <w:rPr>
          <w:i/>
        </w:rPr>
        <w:t>Sección C. Anuncios periódicos indicativos relativos a contratos de servicios </w:t>
      </w:r>
      <w:r>
        <w:rPr/>
        <w:t>del anexo I</w:t>
      </w:r>
    </w:p>
    <w:p>
      <w:pPr>
        <w:pStyle w:val="ListParagraph"/>
        <w:numPr>
          <w:ilvl w:val="0"/>
          <w:numId w:val="481"/>
        </w:numPr>
        <w:tabs>
          <w:tab w:pos="1708" w:val="left" w:leader="none"/>
        </w:tabs>
        <w:spacing w:line="249" w:lineRule="auto" w:before="116" w:after="0"/>
        <w:ind w:left="1074" w:right="1275" w:firstLine="340"/>
        <w:jc w:val="left"/>
        <w:rPr>
          <w:sz w:val="20"/>
        </w:rPr>
      </w:pPr>
      <w:r>
        <w:rPr>
          <w:sz w:val="20"/>
        </w:rPr>
        <w:t>Nombre, número de identificación, dirección, incluido código NUTS, y dirección electrónica y de internet de la entidad</w:t>
      </w:r>
      <w:r>
        <w:rPr>
          <w:spacing w:val="-9"/>
          <w:sz w:val="20"/>
        </w:rPr>
        <w:t> </w:t>
      </w:r>
      <w:r>
        <w:rPr>
          <w:sz w:val="20"/>
        </w:rPr>
        <w:t>contratante.</w:t>
      </w:r>
    </w:p>
    <w:p>
      <w:pPr>
        <w:pStyle w:val="ListParagraph"/>
        <w:numPr>
          <w:ilvl w:val="0"/>
          <w:numId w:val="481"/>
        </w:numPr>
        <w:tabs>
          <w:tab w:pos="1637" w:val="left" w:leader="none"/>
        </w:tabs>
        <w:spacing w:line="240" w:lineRule="auto" w:before="1" w:after="0"/>
        <w:ind w:left="1636" w:right="0" w:hanging="223"/>
        <w:jc w:val="left"/>
        <w:rPr>
          <w:sz w:val="20"/>
        </w:rPr>
      </w:pPr>
      <w:r>
        <w:rPr>
          <w:sz w:val="20"/>
        </w:rPr>
        <w:t>Breve descripción del contrato de que se trate, incluidos los códigos</w:t>
      </w:r>
      <w:r>
        <w:rPr>
          <w:spacing w:val="-12"/>
          <w:sz w:val="20"/>
        </w:rPr>
        <w:t> </w:t>
      </w:r>
      <w:r>
        <w:rPr>
          <w:sz w:val="20"/>
        </w:rPr>
        <w:t>CPV.</w:t>
      </w:r>
    </w:p>
    <w:p>
      <w:pPr>
        <w:pStyle w:val="ListParagraph"/>
        <w:numPr>
          <w:ilvl w:val="0"/>
          <w:numId w:val="481"/>
        </w:numPr>
        <w:tabs>
          <w:tab w:pos="1637" w:val="left" w:leader="none"/>
        </w:tabs>
        <w:spacing w:line="240" w:lineRule="auto" w:before="11" w:after="0"/>
        <w:ind w:left="1636" w:right="0" w:hanging="223"/>
        <w:jc w:val="left"/>
        <w:rPr>
          <w:sz w:val="20"/>
        </w:rPr>
      </w:pPr>
      <w:r>
        <w:rPr>
          <w:sz w:val="20"/>
        </w:rPr>
        <w:t>En la medida en que ya se</w:t>
      </w:r>
      <w:r>
        <w:rPr>
          <w:spacing w:val="-4"/>
          <w:sz w:val="20"/>
        </w:rPr>
        <w:t> </w:t>
      </w:r>
      <w:r>
        <w:rPr>
          <w:sz w:val="20"/>
        </w:rPr>
        <w:t>conozcan:</w:t>
      </w:r>
    </w:p>
    <w:p>
      <w:pPr>
        <w:pStyle w:val="ListParagraph"/>
        <w:numPr>
          <w:ilvl w:val="0"/>
          <w:numId w:val="482"/>
        </w:numPr>
        <w:tabs>
          <w:tab w:pos="1675" w:val="left" w:leader="none"/>
        </w:tabs>
        <w:spacing w:line="249" w:lineRule="auto" w:before="130" w:after="0"/>
        <w:ind w:left="1074" w:right="1275" w:firstLine="340"/>
        <w:jc w:val="both"/>
        <w:rPr>
          <w:sz w:val="20"/>
        </w:rPr>
      </w:pPr>
      <w:r>
        <w:rPr>
          <w:sz w:val="20"/>
        </w:rPr>
        <w:t>Código NUTS del emplazamiento principal de las obras, en el caso de las obras, o código NUTS del lugar principal de entrega o de ejecución, en el caso de los suministros y los</w:t>
      </w:r>
      <w:r>
        <w:rPr>
          <w:spacing w:val="-2"/>
          <w:sz w:val="20"/>
        </w:rPr>
        <w:t> </w:t>
      </w:r>
      <w:r>
        <w:rPr>
          <w:sz w:val="20"/>
        </w:rPr>
        <w:t>servicios;</w:t>
      </w:r>
    </w:p>
    <w:p>
      <w:pPr>
        <w:pStyle w:val="ListParagraph"/>
        <w:numPr>
          <w:ilvl w:val="0"/>
          <w:numId w:val="482"/>
        </w:numPr>
        <w:tabs>
          <w:tab w:pos="1673" w:val="left" w:leader="none"/>
        </w:tabs>
        <w:spacing w:line="249" w:lineRule="auto" w:before="2" w:after="0"/>
        <w:ind w:left="1074" w:right="1274" w:firstLine="340"/>
        <w:jc w:val="both"/>
        <w:rPr>
          <w:sz w:val="20"/>
        </w:rPr>
      </w:pPr>
      <w:r>
        <w:rPr>
          <w:sz w:val="20"/>
        </w:rPr>
        <w:t>Calendario de entrega o prestación de suministros, obras o servicios y duración del contrato;</w:t>
      </w:r>
    </w:p>
    <w:p>
      <w:pPr>
        <w:pStyle w:val="ListParagraph"/>
        <w:numPr>
          <w:ilvl w:val="0"/>
          <w:numId w:val="482"/>
        </w:numPr>
        <w:tabs>
          <w:tab w:pos="1637" w:val="left" w:leader="none"/>
        </w:tabs>
        <w:spacing w:line="240" w:lineRule="auto" w:before="2" w:after="0"/>
        <w:ind w:left="1636" w:right="0" w:hanging="223"/>
        <w:jc w:val="both"/>
        <w:rPr>
          <w:sz w:val="20"/>
        </w:rPr>
      </w:pPr>
      <w:r>
        <w:rPr>
          <w:sz w:val="20"/>
        </w:rPr>
        <w:t>Condiciones de participación, en</w:t>
      </w:r>
      <w:r>
        <w:rPr>
          <w:spacing w:val="-5"/>
          <w:sz w:val="20"/>
        </w:rPr>
        <w:t> </w:t>
      </w:r>
      <w:r>
        <w:rPr>
          <w:sz w:val="20"/>
        </w:rPr>
        <w:t>concreto:</w:t>
      </w:r>
    </w:p>
    <w:p>
      <w:pPr>
        <w:pStyle w:val="ListParagraph"/>
        <w:numPr>
          <w:ilvl w:val="0"/>
          <w:numId w:val="483"/>
        </w:numPr>
        <w:tabs>
          <w:tab w:pos="1583" w:val="left" w:leader="none"/>
        </w:tabs>
        <w:spacing w:line="249" w:lineRule="auto" w:before="130" w:after="0"/>
        <w:ind w:left="1074" w:right="1274" w:firstLine="340"/>
        <w:jc w:val="left"/>
        <w:rPr>
          <w:sz w:val="20"/>
        </w:rPr>
      </w:pPr>
      <w:r>
        <w:rPr>
          <w:sz w:val="20"/>
        </w:rPr>
        <w:t>º Cuando proceda, indicación de si el contrato está restringido a talleres protegidos o si se</w:t>
      </w:r>
      <w:r>
        <w:rPr>
          <w:spacing w:val="-3"/>
          <w:sz w:val="20"/>
        </w:rPr>
        <w:t> </w:t>
      </w:r>
      <w:r>
        <w:rPr>
          <w:sz w:val="20"/>
        </w:rPr>
        <w:t>prevé</w:t>
      </w:r>
      <w:r>
        <w:rPr>
          <w:spacing w:val="-3"/>
          <w:sz w:val="20"/>
        </w:rPr>
        <w:t> </w:t>
      </w:r>
      <w:r>
        <w:rPr>
          <w:sz w:val="20"/>
        </w:rPr>
        <w:t>que</w:t>
      </w:r>
      <w:r>
        <w:rPr>
          <w:spacing w:val="-3"/>
          <w:sz w:val="20"/>
        </w:rPr>
        <w:t> </w:t>
      </w:r>
      <w:r>
        <w:rPr>
          <w:sz w:val="20"/>
        </w:rPr>
        <w:t>sea</w:t>
      </w:r>
      <w:r>
        <w:rPr>
          <w:spacing w:val="-3"/>
          <w:sz w:val="20"/>
        </w:rPr>
        <w:t> </w:t>
      </w:r>
      <w:r>
        <w:rPr>
          <w:sz w:val="20"/>
        </w:rPr>
        <w:t>ejecutado</w:t>
      </w:r>
      <w:r>
        <w:rPr>
          <w:spacing w:val="-3"/>
          <w:sz w:val="20"/>
        </w:rPr>
        <w:t> </w:t>
      </w:r>
      <w:r>
        <w:rPr>
          <w:sz w:val="20"/>
        </w:rPr>
        <w:t>únicamente</w:t>
      </w:r>
      <w:r>
        <w:rPr>
          <w:spacing w:val="-3"/>
          <w:sz w:val="20"/>
        </w:rPr>
        <w:t> </w:t>
      </w:r>
      <w:r>
        <w:rPr>
          <w:sz w:val="20"/>
        </w:rPr>
        <w:t>en</w:t>
      </w:r>
      <w:r>
        <w:rPr>
          <w:spacing w:val="-4"/>
          <w:sz w:val="20"/>
        </w:rPr>
        <w:t> </w:t>
      </w:r>
      <w:r>
        <w:rPr>
          <w:sz w:val="20"/>
        </w:rPr>
        <w:t>el</w:t>
      </w:r>
      <w:r>
        <w:rPr>
          <w:spacing w:val="-3"/>
          <w:sz w:val="20"/>
        </w:rPr>
        <w:t> </w:t>
      </w:r>
      <w:r>
        <w:rPr>
          <w:sz w:val="20"/>
        </w:rPr>
        <w:t>marco</w:t>
      </w:r>
      <w:r>
        <w:rPr>
          <w:spacing w:val="-2"/>
          <w:sz w:val="20"/>
        </w:rPr>
        <w:t> </w:t>
      </w:r>
      <w:r>
        <w:rPr>
          <w:sz w:val="20"/>
        </w:rPr>
        <w:t>de</w:t>
      </w:r>
      <w:r>
        <w:rPr>
          <w:spacing w:val="-4"/>
          <w:sz w:val="20"/>
        </w:rPr>
        <w:t> </w:t>
      </w:r>
      <w:r>
        <w:rPr>
          <w:sz w:val="20"/>
        </w:rPr>
        <w:t>programas</w:t>
      </w:r>
      <w:r>
        <w:rPr>
          <w:spacing w:val="-3"/>
          <w:sz w:val="20"/>
        </w:rPr>
        <w:t> </w:t>
      </w:r>
      <w:r>
        <w:rPr>
          <w:sz w:val="20"/>
        </w:rPr>
        <w:t>de</w:t>
      </w:r>
      <w:r>
        <w:rPr>
          <w:spacing w:val="-3"/>
          <w:sz w:val="20"/>
        </w:rPr>
        <w:t> </w:t>
      </w:r>
      <w:r>
        <w:rPr>
          <w:sz w:val="20"/>
        </w:rPr>
        <w:t>empleo</w:t>
      </w:r>
      <w:r>
        <w:rPr>
          <w:spacing w:val="-4"/>
          <w:sz w:val="20"/>
        </w:rPr>
        <w:t> </w:t>
      </w:r>
      <w:r>
        <w:rPr>
          <w:sz w:val="20"/>
        </w:rPr>
        <w:t>protegido.</w:t>
      </w:r>
    </w:p>
    <w:p>
      <w:pPr>
        <w:pStyle w:val="ListParagraph"/>
        <w:numPr>
          <w:ilvl w:val="0"/>
          <w:numId w:val="483"/>
        </w:numPr>
        <w:tabs>
          <w:tab w:pos="1583" w:val="left" w:leader="none"/>
        </w:tabs>
        <w:spacing w:line="249" w:lineRule="auto" w:before="1" w:after="0"/>
        <w:ind w:left="1074" w:right="1275" w:firstLine="340"/>
        <w:jc w:val="left"/>
        <w:rPr>
          <w:sz w:val="20"/>
        </w:rPr>
      </w:pPr>
      <w:r>
        <w:rPr>
          <w:sz w:val="20"/>
        </w:rPr>
        <w:t>º Cuando proceda, indicación de si, con arreglo a disposiciones legales, reglamentarias o administrativas, se reserva la prestación del servicio a una determinada</w:t>
      </w:r>
      <w:r>
        <w:rPr>
          <w:spacing w:val="-28"/>
          <w:sz w:val="20"/>
        </w:rPr>
        <w:t> </w:t>
      </w:r>
      <w:r>
        <w:rPr>
          <w:sz w:val="20"/>
        </w:rPr>
        <w:t>profesión.</w:t>
      </w:r>
    </w:p>
    <w:p>
      <w:pPr>
        <w:pStyle w:val="ListParagraph"/>
        <w:numPr>
          <w:ilvl w:val="0"/>
          <w:numId w:val="482"/>
        </w:numPr>
        <w:tabs>
          <w:tab w:pos="1657" w:val="left" w:leader="none"/>
        </w:tabs>
        <w:spacing w:line="249" w:lineRule="auto" w:before="122" w:after="0"/>
        <w:ind w:left="1074" w:right="1275" w:firstLine="340"/>
        <w:jc w:val="left"/>
        <w:rPr>
          <w:sz w:val="20"/>
        </w:rPr>
      </w:pPr>
      <w:r>
        <w:rPr>
          <w:sz w:val="20"/>
        </w:rPr>
        <w:t>Breve descripción de las características principales del procedimiento de adjudicación que se va a</w:t>
      </w:r>
      <w:r>
        <w:rPr>
          <w:spacing w:val="-3"/>
          <w:sz w:val="20"/>
        </w:rPr>
        <w:t> </w:t>
      </w:r>
      <w:r>
        <w:rPr>
          <w:sz w:val="20"/>
        </w:rPr>
        <w:t>aplicar.</w:t>
      </w:r>
    </w:p>
    <w:p>
      <w:pPr>
        <w:pStyle w:val="BodyText"/>
        <w:spacing w:line="249" w:lineRule="auto" w:before="122"/>
        <w:ind w:right="1271"/>
      </w:pPr>
      <w:r>
        <w:rPr/>
        <w:t>4. Mención de que los empresarios interesados deberán comunicar a la entidad contratante su interés por el contrato o contratos y fecha límite de recepción de las manifestaciones de interés y dirección a la que deberán enviarse las manifestaciones de interés.</w:t>
      </w:r>
    </w:p>
    <w:p>
      <w:pPr>
        <w:pStyle w:val="BodyText"/>
        <w:spacing w:before="5"/>
        <w:ind w:left="0" w:firstLine="0"/>
        <w:jc w:val="left"/>
      </w:pPr>
    </w:p>
    <w:p>
      <w:pPr>
        <w:pStyle w:val="Heading2"/>
        <w:spacing w:line="249" w:lineRule="auto"/>
        <w:ind w:left="2622" w:right="1609" w:hanging="1209"/>
        <w:jc w:val="both"/>
      </w:pPr>
      <w:r>
        <w:rPr>
          <w:i/>
        </w:rPr>
        <w:t>Sección D. Información que debe figurar en los anuncios periódicos indicativos </w:t>
      </w:r>
      <w:r>
        <w:rPr/>
        <w:t>de los contratos de concesión de servicios del anexo I</w:t>
      </w:r>
    </w:p>
    <w:p>
      <w:pPr>
        <w:pStyle w:val="ListParagraph"/>
        <w:numPr>
          <w:ilvl w:val="0"/>
          <w:numId w:val="484"/>
        </w:numPr>
        <w:tabs>
          <w:tab w:pos="1676" w:val="left" w:leader="none"/>
        </w:tabs>
        <w:spacing w:line="249" w:lineRule="auto" w:before="116" w:after="0"/>
        <w:ind w:left="1074" w:right="1273" w:firstLine="340"/>
        <w:jc w:val="both"/>
        <w:rPr>
          <w:sz w:val="20"/>
        </w:rPr>
      </w:pPr>
      <w:r>
        <w:rPr>
          <w:sz w:val="20"/>
        </w:rPr>
        <w:t>Nombre, número de identificación, dirección (incluido el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84"/>
        </w:numPr>
        <w:tabs>
          <w:tab w:pos="1724" w:val="left" w:leader="none"/>
        </w:tabs>
        <w:spacing w:line="249" w:lineRule="auto" w:before="3" w:after="0"/>
        <w:ind w:left="1074" w:right="1276" w:firstLine="340"/>
        <w:jc w:val="both"/>
        <w:rPr>
          <w:sz w:val="20"/>
        </w:rPr>
      </w:pPr>
      <w:r>
        <w:rPr>
          <w:sz w:val="20"/>
        </w:rPr>
        <w:t>Si procede, dirección electrónica o de internet donde estarán disponibles las especificaciones y posibles documentos</w:t>
      </w:r>
      <w:r>
        <w:rPr>
          <w:spacing w:val="-6"/>
          <w:sz w:val="20"/>
        </w:rPr>
        <w:t> </w:t>
      </w:r>
      <w:r>
        <w:rPr>
          <w:sz w:val="20"/>
        </w:rPr>
        <w:t>adicionales.</w:t>
      </w:r>
    </w:p>
    <w:p>
      <w:pPr>
        <w:pStyle w:val="ListParagraph"/>
        <w:numPr>
          <w:ilvl w:val="0"/>
          <w:numId w:val="484"/>
        </w:numPr>
        <w:tabs>
          <w:tab w:pos="1637" w:val="left" w:leader="none"/>
        </w:tabs>
        <w:spacing w:line="240" w:lineRule="auto" w:before="1" w:after="0"/>
        <w:ind w:left="1636" w:right="0" w:hanging="223"/>
        <w:jc w:val="both"/>
        <w:rPr>
          <w:sz w:val="20"/>
        </w:rPr>
      </w:pPr>
      <w:r>
        <w:rPr>
          <w:sz w:val="20"/>
        </w:rPr>
        <w:t>Tipo de entidad contratante y principal actividad</w:t>
      </w:r>
      <w:r>
        <w:rPr>
          <w:spacing w:val="-8"/>
          <w:sz w:val="20"/>
        </w:rPr>
        <w:t> </w:t>
      </w:r>
      <w:r>
        <w:rPr>
          <w:sz w:val="20"/>
        </w:rPr>
        <w:t>desarrollada.</w:t>
      </w:r>
    </w:p>
    <w:p>
      <w:pPr>
        <w:pStyle w:val="ListParagraph"/>
        <w:numPr>
          <w:ilvl w:val="0"/>
          <w:numId w:val="484"/>
        </w:numPr>
        <w:tabs>
          <w:tab w:pos="1638" w:val="left" w:leader="none"/>
        </w:tabs>
        <w:spacing w:line="249" w:lineRule="auto" w:before="10" w:after="0"/>
        <w:ind w:left="1074" w:right="1274" w:firstLine="340"/>
        <w:jc w:val="both"/>
        <w:rPr>
          <w:sz w:val="20"/>
        </w:rPr>
      </w:pPr>
      <w:r>
        <w:rPr>
          <w:sz w:val="20"/>
        </w:rPr>
        <w:t>Códigos CPV; cuando la concesión esté dividida en lotes, esta información se facilitará para cada</w:t>
      </w:r>
      <w:r>
        <w:rPr>
          <w:spacing w:val="-2"/>
          <w:sz w:val="20"/>
        </w:rPr>
        <w:t> </w:t>
      </w:r>
      <w:r>
        <w:rPr>
          <w:sz w:val="20"/>
        </w:rPr>
        <w:t>lote.</w:t>
      </w:r>
    </w:p>
    <w:p>
      <w:pPr>
        <w:pStyle w:val="ListParagraph"/>
        <w:numPr>
          <w:ilvl w:val="0"/>
          <w:numId w:val="484"/>
        </w:numPr>
        <w:tabs>
          <w:tab w:pos="1721" w:val="left" w:leader="none"/>
        </w:tabs>
        <w:spacing w:line="249" w:lineRule="auto" w:before="2" w:after="0"/>
        <w:ind w:left="1074" w:right="1275" w:firstLine="340"/>
        <w:jc w:val="both"/>
        <w:rPr>
          <w:sz w:val="20"/>
        </w:rPr>
      </w:pPr>
      <w:r>
        <w:rPr>
          <w:sz w:val="20"/>
        </w:rPr>
        <w:t>Código NUTS del emplazamiento principal de realización o prestación de las concesiones de</w:t>
      </w:r>
      <w:r>
        <w:rPr>
          <w:spacing w:val="-2"/>
          <w:sz w:val="20"/>
        </w:rPr>
        <w:t> </w:t>
      </w:r>
      <w:r>
        <w:rPr>
          <w:sz w:val="20"/>
        </w:rPr>
        <w:t>servicios.</w:t>
      </w:r>
    </w:p>
    <w:p>
      <w:pPr>
        <w:pStyle w:val="ListParagraph"/>
        <w:numPr>
          <w:ilvl w:val="0"/>
          <w:numId w:val="484"/>
        </w:numPr>
        <w:tabs>
          <w:tab w:pos="1637" w:val="left" w:leader="none"/>
        </w:tabs>
        <w:spacing w:line="240" w:lineRule="auto" w:before="2" w:after="0"/>
        <w:ind w:left="1636" w:right="0" w:hanging="223"/>
        <w:jc w:val="both"/>
        <w:rPr>
          <w:sz w:val="20"/>
        </w:rPr>
      </w:pPr>
      <w:r>
        <w:rPr>
          <w:sz w:val="20"/>
        </w:rPr>
        <w:t>Descripción de los servicios, orden indicativo de magnitud o</w:t>
      </w:r>
      <w:r>
        <w:rPr>
          <w:spacing w:val="-11"/>
          <w:sz w:val="20"/>
        </w:rPr>
        <w:t> </w:t>
      </w:r>
      <w:r>
        <w:rPr>
          <w:sz w:val="20"/>
        </w:rPr>
        <w:t>valor.</w:t>
      </w:r>
    </w:p>
    <w:p>
      <w:pPr>
        <w:pStyle w:val="ListParagraph"/>
        <w:numPr>
          <w:ilvl w:val="0"/>
          <w:numId w:val="484"/>
        </w:numPr>
        <w:tabs>
          <w:tab w:pos="1637" w:val="left" w:leader="none"/>
        </w:tabs>
        <w:spacing w:line="240" w:lineRule="auto" w:before="10" w:after="0"/>
        <w:ind w:left="1636" w:right="0" w:hanging="223"/>
        <w:jc w:val="both"/>
        <w:rPr>
          <w:sz w:val="20"/>
        </w:rPr>
      </w:pPr>
      <w:r>
        <w:rPr>
          <w:sz w:val="20"/>
        </w:rPr>
        <w:t>Condiciones de</w:t>
      </w:r>
      <w:r>
        <w:rPr>
          <w:spacing w:val="-3"/>
          <w:sz w:val="20"/>
        </w:rPr>
        <w:t> </w:t>
      </w:r>
      <w:r>
        <w:rPr>
          <w:sz w:val="20"/>
        </w:rPr>
        <w:t>participación.</w:t>
      </w:r>
    </w:p>
    <w:p>
      <w:pPr>
        <w:pStyle w:val="ListParagraph"/>
        <w:numPr>
          <w:ilvl w:val="0"/>
          <w:numId w:val="484"/>
        </w:numPr>
        <w:tabs>
          <w:tab w:pos="1643" w:val="left" w:leader="none"/>
        </w:tabs>
        <w:spacing w:line="249" w:lineRule="auto" w:before="10" w:after="0"/>
        <w:ind w:left="1074" w:right="1275" w:firstLine="340"/>
        <w:jc w:val="left"/>
        <w:rPr>
          <w:sz w:val="20"/>
        </w:rPr>
      </w:pPr>
      <w:r>
        <w:rPr>
          <w:sz w:val="20"/>
        </w:rPr>
        <w:t>Si procede, plazo(s) para ponerse en contacto con la entidad contratante, con vistas a participar.</w:t>
      </w:r>
    </w:p>
    <w:p>
      <w:pPr>
        <w:pStyle w:val="ListParagraph"/>
        <w:numPr>
          <w:ilvl w:val="0"/>
          <w:numId w:val="484"/>
        </w:numPr>
        <w:tabs>
          <w:tab w:pos="1657" w:val="left" w:leader="none"/>
        </w:tabs>
        <w:spacing w:line="249" w:lineRule="auto" w:before="1" w:after="0"/>
        <w:ind w:left="1074" w:right="1275" w:firstLine="340"/>
        <w:jc w:val="left"/>
        <w:rPr>
          <w:sz w:val="20"/>
        </w:rPr>
      </w:pPr>
      <w:r>
        <w:rPr>
          <w:sz w:val="20"/>
        </w:rPr>
        <w:t>Si procede, descripción breve de las principales características del procedimiento de adjudicación.</w:t>
      </w:r>
    </w:p>
    <w:p>
      <w:pPr>
        <w:pStyle w:val="ListParagraph"/>
        <w:numPr>
          <w:ilvl w:val="0"/>
          <w:numId w:val="484"/>
        </w:numPr>
        <w:tabs>
          <w:tab w:pos="1748" w:val="left" w:leader="none"/>
        </w:tabs>
        <w:spacing w:line="240" w:lineRule="auto" w:before="2" w:after="0"/>
        <w:ind w:left="1747" w:right="0" w:hanging="334"/>
        <w:jc w:val="left"/>
        <w:rPr>
          <w:sz w:val="20"/>
        </w:rPr>
      </w:pPr>
      <w:r>
        <w:rPr>
          <w:sz w:val="20"/>
        </w:rPr>
        <w:t>Si procede, otras</w:t>
      </w:r>
      <w:r>
        <w:rPr>
          <w:spacing w:val="-3"/>
          <w:sz w:val="20"/>
        </w:rPr>
        <w:t> </w:t>
      </w:r>
      <w:r>
        <w:rPr>
          <w:sz w:val="20"/>
        </w:rPr>
        <w:t>informaciones.</w:t>
      </w:r>
    </w:p>
    <w:p>
      <w:pPr>
        <w:spacing w:after="0" w:line="240"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0"/>
        <w:ind w:left="0" w:firstLine="0"/>
        <w:jc w:val="left"/>
      </w:pPr>
    </w:p>
    <w:p>
      <w:pPr>
        <w:pStyle w:val="BodyText"/>
        <w:spacing w:before="0"/>
        <w:ind w:left="0" w:firstLine="0"/>
        <w:jc w:val="left"/>
      </w:pPr>
    </w:p>
    <w:p>
      <w:pPr>
        <w:pStyle w:val="BodyText"/>
        <w:spacing w:before="8"/>
        <w:ind w:left="0" w:firstLine="0"/>
        <w:jc w:val="left"/>
      </w:pPr>
    </w:p>
    <w:p>
      <w:pPr>
        <w:pStyle w:val="Heading1"/>
        <w:spacing w:before="1"/>
        <w:ind w:left="2929"/>
      </w:pPr>
      <w:bookmarkStart w:name="ANEXO VII. Información que debe figurar " w:id="439"/>
      <w:bookmarkEnd w:id="439"/>
      <w:r>
        <w:rPr>
          <w:b w:val="0"/>
        </w:rPr>
      </w:r>
      <w:bookmarkStart w:name="_bookmark88" w:id="440"/>
      <w:bookmarkEnd w:id="440"/>
      <w:r>
        <w:rPr>
          <w:b w:val="0"/>
        </w:rPr>
      </w:r>
      <w:r>
        <w:rPr/>
        <w:t>ANEXO VII</w:t>
      </w:r>
    </w:p>
    <w:p>
      <w:pPr>
        <w:spacing w:before="123"/>
        <w:ind w:left="1414" w:right="1610" w:firstLine="0"/>
        <w:jc w:val="center"/>
        <w:rPr>
          <w:b/>
          <w:sz w:val="20"/>
        </w:rPr>
      </w:pPr>
      <w:r>
        <w:rPr>
          <w:b/>
          <w:sz w:val="20"/>
        </w:rPr>
        <w:t>Información que debe figurar en los anuncios de licitación</w:t>
      </w:r>
    </w:p>
    <w:p>
      <w:pPr>
        <w:pStyle w:val="BodyText"/>
        <w:spacing w:before="7"/>
        <w:ind w:left="0" w:firstLine="0"/>
        <w:jc w:val="left"/>
        <w:rPr>
          <w:b/>
        </w:rPr>
      </w:pPr>
    </w:p>
    <w:p>
      <w:pPr>
        <w:pStyle w:val="Heading2"/>
        <w:spacing w:line="249" w:lineRule="auto"/>
        <w:ind w:right="1611"/>
      </w:pPr>
      <w:r>
        <w:rPr>
          <w:i/>
        </w:rPr>
        <w:t>Sección 1. Anuncios de licitación cuando no proceda la aplicación de las </w:t>
      </w:r>
      <w:r>
        <w:rPr/>
        <w:t>secciones 2 o 3</w:t>
      </w:r>
    </w:p>
    <w:p>
      <w:pPr>
        <w:pStyle w:val="BodyText"/>
        <w:spacing w:before="3"/>
        <w:ind w:left="0" w:firstLine="0"/>
        <w:jc w:val="left"/>
        <w:rPr>
          <w:b/>
          <w:i/>
          <w:sz w:val="24"/>
        </w:rPr>
      </w:pPr>
    </w:p>
    <w:p>
      <w:pPr>
        <w:pStyle w:val="ListParagraph"/>
        <w:numPr>
          <w:ilvl w:val="1"/>
          <w:numId w:val="484"/>
        </w:numPr>
        <w:tabs>
          <w:tab w:pos="4263" w:val="left" w:leader="none"/>
        </w:tabs>
        <w:spacing w:line="240" w:lineRule="auto" w:before="0" w:after="0"/>
        <w:ind w:left="4262" w:right="0" w:hanging="246"/>
        <w:jc w:val="left"/>
        <w:rPr>
          <w:sz w:val="20"/>
        </w:rPr>
      </w:pPr>
      <w:r>
        <w:rPr>
          <w:sz w:val="20"/>
        </w:rPr>
        <w:t>Procedimientos</w:t>
      </w:r>
      <w:r>
        <w:rPr>
          <w:spacing w:val="-1"/>
          <w:sz w:val="20"/>
        </w:rPr>
        <w:t> </w:t>
      </w:r>
      <w:r>
        <w:rPr>
          <w:sz w:val="20"/>
        </w:rPr>
        <w:t>abiertos</w:t>
      </w:r>
    </w:p>
    <w:p>
      <w:pPr>
        <w:pStyle w:val="ListParagraph"/>
        <w:numPr>
          <w:ilvl w:val="0"/>
          <w:numId w:val="485"/>
        </w:numPr>
        <w:tabs>
          <w:tab w:pos="1708" w:val="left" w:leader="none"/>
        </w:tabs>
        <w:spacing w:line="249" w:lineRule="auto" w:before="130"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85"/>
        </w:numPr>
        <w:tabs>
          <w:tab w:pos="1637" w:val="left" w:leader="none"/>
        </w:tabs>
        <w:spacing w:line="240" w:lineRule="auto" w:before="3"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85"/>
        </w:numPr>
        <w:tabs>
          <w:tab w:pos="1642" w:val="left" w:leader="none"/>
        </w:tabs>
        <w:spacing w:line="249" w:lineRule="auto" w:before="10" w:after="0"/>
        <w:ind w:left="1074" w:right="1272" w:firstLine="340"/>
        <w:jc w:val="both"/>
        <w:rPr>
          <w:sz w:val="20"/>
        </w:rPr>
      </w:pPr>
      <w:r>
        <w:rPr>
          <w:sz w:val="20"/>
        </w:rPr>
        <w:t>Si procede, indicación de si el contrato está reservado para talleres protegidos, o si su ejecución está reservada para programas de empleo</w:t>
      </w:r>
      <w:r>
        <w:rPr>
          <w:spacing w:val="-11"/>
          <w:sz w:val="20"/>
        </w:rPr>
        <w:t> </w:t>
      </w:r>
      <w:r>
        <w:rPr>
          <w:sz w:val="20"/>
        </w:rPr>
        <w:t>protegidos.</w:t>
      </w:r>
    </w:p>
    <w:p>
      <w:pPr>
        <w:pStyle w:val="ListParagraph"/>
        <w:numPr>
          <w:ilvl w:val="0"/>
          <w:numId w:val="485"/>
        </w:numPr>
        <w:tabs>
          <w:tab w:pos="1662" w:val="left" w:leader="none"/>
        </w:tabs>
        <w:spacing w:line="249" w:lineRule="auto" w:before="1" w:after="0"/>
        <w:ind w:left="1074" w:right="1273" w:firstLine="340"/>
        <w:jc w:val="both"/>
        <w:rPr>
          <w:sz w:val="20"/>
        </w:rPr>
      </w:pPr>
      <w:r>
        <w:rPr>
          <w:sz w:val="20"/>
        </w:rPr>
        <w:t>Naturaleza del contrato (suministros, obras o servicios; indíquese, en su caso, si se trata de un acuerdo marco o de un sistema dinámico de adquisición), descripción (códigos CPV). Deberá indicarse, cuando corresponda, si la oferta se refiere a compra, arrendamiento financiero, alquiler, o compra a plazos, o a una combinación de los</w:t>
      </w:r>
      <w:r>
        <w:rPr>
          <w:spacing w:val="-15"/>
          <w:sz w:val="20"/>
        </w:rPr>
        <w:t> </w:t>
      </w:r>
      <w:r>
        <w:rPr>
          <w:sz w:val="20"/>
        </w:rPr>
        <w:t>mismos.</w:t>
      </w:r>
    </w:p>
    <w:p>
      <w:pPr>
        <w:pStyle w:val="ListParagraph"/>
        <w:numPr>
          <w:ilvl w:val="0"/>
          <w:numId w:val="485"/>
        </w:numPr>
        <w:tabs>
          <w:tab w:pos="1639" w:val="left" w:leader="none"/>
        </w:tabs>
        <w:spacing w:line="249" w:lineRule="auto" w:before="3" w:after="0"/>
        <w:ind w:left="1074" w:right="1275" w:firstLine="340"/>
        <w:jc w:val="both"/>
        <w:rPr>
          <w:sz w:val="20"/>
        </w:rPr>
      </w:pPr>
      <w:r>
        <w:rPr>
          <w:sz w:val="20"/>
        </w:rPr>
        <w:t>Código NUTS del emplazamiento principal de las obras, en el caso de los contratos de obras, o código NUTS del lugar principal de entrega o de ejecución, en los contratos de suministro y de</w:t>
      </w:r>
      <w:r>
        <w:rPr>
          <w:spacing w:val="-2"/>
          <w:sz w:val="20"/>
        </w:rPr>
        <w:t> </w:t>
      </w:r>
      <w:r>
        <w:rPr>
          <w:sz w:val="20"/>
        </w:rPr>
        <w:t>servicios.</w:t>
      </w:r>
    </w:p>
    <w:p>
      <w:pPr>
        <w:pStyle w:val="ListParagraph"/>
        <w:numPr>
          <w:ilvl w:val="0"/>
          <w:numId w:val="485"/>
        </w:numPr>
        <w:tabs>
          <w:tab w:pos="1637" w:val="left" w:leader="none"/>
        </w:tabs>
        <w:spacing w:line="240" w:lineRule="auto" w:before="3" w:after="0"/>
        <w:ind w:left="1636" w:right="0" w:hanging="223"/>
        <w:jc w:val="both"/>
        <w:rPr>
          <w:sz w:val="20"/>
        </w:rPr>
      </w:pPr>
      <w:r>
        <w:rPr>
          <w:sz w:val="20"/>
        </w:rPr>
        <w:t>Para suministros y</w:t>
      </w:r>
      <w:r>
        <w:rPr>
          <w:spacing w:val="-1"/>
          <w:sz w:val="20"/>
        </w:rPr>
        <w:t> </w:t>
      </w:r>
      <w:r>
        <w:rPr>
          <w:sz w:val="20"/>
        </w:rPr>
        <w:t>obras:</w:t>
      </w:r>
    </w:p>
    <w:p>
      <w:pPr>
        <w:pStyle w:val="ListParagraph"/>
        <w:numPr>
          <w:ilvl w:val="0"/>
          <w:numId w:val="486"/>
        </w:numPr>
        <w:tabs>
          <w:tab w:pos="1671" w:val="left" w:leader="none"/>
        </w:tabs>
        <w:spacing w:line="249" w:lineRule="auto" w:before="130" w:after="0"/>
        <w:ind w:left="1074" w:right="1272" w:firstLine="340"/>
        <w:jc w:val="both"/>
        <w:rPr>
          <w:sz w:val="20"/>
        </w:rPr>
      </w:pPr>
      <w:r>
        <w:rPr>
          <w:sz w:val="20"/>
        </w:rPr>
        <w:t>Características y cantidad de los productos solicitados (códigos CPV). Indicación de las opciones para contrataciones complementarias y, cuando sea posible, del plazo estimado previsto para ejercer dichas opciones, así como el número de prórrogas posibles. En el caso de una serie de contratos renovables también se precisará, de ser posible, el calendario provisional de las convocatorias de licitación posteriores para los productos que se vayan a contratar o la naturaleza y el alcance de las prestaciones, y las características generales de la obra (códigos</w:t>
      </w:r>
      <w:r>
        <w:rPr>
          <w:spacing w:val="-3"/>
          <w:sz w:val="20"/>
        </w:rPr>
        <w:t> </w:t>
      </w:r>
      <w:r>
        <w:rPr>
          <w:sz w:val="20"/>
        </w:rPr>
        <w:t>CPV).</w:t>
      </w:r>
    </w:p>
    <w:p>
      <w:pPr>
        <w:pStyle w:val="ListParagraph"/>
        <w:numPr>
          <w:ilvl w:val="0"/>
          <w:numId w:val="486"/>
        </w:numPr>
        <w:tabs>
          <w:tab w:pos="1653" w:val="left" w:leader="none"/>
        </w:tabs>
        <w:spacing w:line="249" w:lineRule="auto" w:before="6" w:after="0"/>
        <w:ind w:left="1074" w:right="1272" w:firstLine="340"/>
        <w:jc w:val="both"/>
        <w:rPr>
          <w:sz w:val="20"/>
        </w:rPr>
      </w:pPr>
      <w:r>
        <w:rPr>
          <w:sz w:val="20"/>
        </w:rPr>
        <w:t>Indicación de si los proveedores pueden licitar por parte de los productos solicitados o por su</w:t>
      </w:r>
      <w:r>
        <w:rPr>
          <w:spacing w:val="-2"/>
          <w:sz w:val="20"/>
        </w:rPr>
        <w:t> </w:t>
      </w:r>
      <w:r>
        <w:rPr>
          <w:sz w:val="20"/>
        </w:rPr>
        <w:t>totalidad.</w:t>
      </w:r>
    </w:p>
    <w:p>
      <w:pPr>
        <w:pStyle w:val="BodyText"/>
        <w:spacing w:line="249" w:lineRule="auto" w:before="1"/>
        <w:ind w:right="1274"/>
      </w:pPr>
      <w:r>
        <w:rPr/>
        <w:t>En caso de que, para los contratos de obras, la obra o el contrato esté dividido en varios lotes, magnitud de los distintos lotes y posibilidad de licitar por uno, varios o todos ellos.</w:t>
      </w:r>
    </w:p>
    <w:p>
      <w:pPr>
        <w:pStyle w:val="ListParagraph"/>
        <w:numPr>
          <w:ilvl w:val="0"/>
          <w:numId w:val="486"/>
        </w:numPr>
        <w:tabs>
          <w:tab w:pos="1656" w:val="left" w:leader="none"/>
        </w:tabs>
        <w:spacing w:line="249" w:lineRule="auto" w:before="2" w:after="0"/>
        <w:ind w:left="1074" w:right="1275" w:firstLine="340"/>
        <w:jc w:val="both"/>
        <w:rPr>
          <w:sz w:val="20"/>
        </w:rPr>
      </w:pPr>
      <w:r>
        <w:rPr>
          <w:sz w:val="20"/>
        </w:rPr>
        <w:t>Para los contratos de obras: indicaciones sobre el objetivo de la obra o del contrato, cuando en este último se incluya también la elaboración de</w:t>
      </w:r>
      <w:r>
        <w:rPr>
          <w:spacing w:val="-15"/>
          <w:sz w:val="20"/>
        </w:rPr>
        <w:t> </w:t>
      </w:r>
      <w:r>
        <w:rPr>
          <w:sz w:val="20"/>
        </w:rPr>
        <w:t>proyectos.</w:t>
      </w:r>
    </w:p>
    <w:p>
      <w:pPr>
        <w:pStyle w:val="ListParagraph"/>
        <w:numPr>
          <w:ilvl w:val="0"/>
          <w:numId w:val="485"/>
        </w:numPr>
        <w:tabs>
          <w:tab w:pos="1637" w:val="left" w:leader="none"/>
        </w:tabs>
        <w:spacing w:line="240" w:lineRule="auto" w:before="122" w:after="0"/>
        <w:ind w:left="1636" w:right="0" w:hanging="223"/>
        <w:jc w:val="both"/>
        <w:rPr>
          <w:sz w:val="20"/>
        </w:rPr>
      </w:pPr>
      <w:r>
        <w:rPr>
          <w:sz w:val="20"/>
        </w:rPr>
        <w:t>Para servicios:</w:t>
      </w:r>
    </w:p>
    <w:p>
      <w:pPr>
        <w:pStyle w:val="ListParagraph"/>
        <w:numPr>
          <w:ilvl w:val="0"/>
          <w:numId w:val="487"/>
        </w:numPr>
        <w:tabs>
          <w:tab w:pos="1688" w:val="left" w:leader="none"/>
        </w:tabs>
        <w:spacing w:line="249" w:lineRule="auto" w:before="130" w:after="0"/>
        <w:ind w:left="1074" w:right="1273" w:firstLine="340"/>
        <w:jc w:val="both"/>
        <w:rPr>
          <w:sz w:val="20"/>
        </w:rPr>
      </w:pPr>
      <w:r>
        <w:rPr>
          <w:sz w:val="20"/>
        </w:rPr>
        <w:t>Características y cantidad de los productos solicitados. Indicación de las opciones para contrataciones complementarias y, cuando sea posible, del plazo estimado previsto para ejercer dichas opciones, así como el número de prórrogas posibles. En el caso de una serie de contratos renovables también se precisará, de ser posible, el calendario provisional de las convocatorias de licitación posteriores para los servicios que se vayan a</w:t>
      </w:r>
      <w:r>
        <w:rPr>
          <w:spacing w:val="-30"/>
          <w:sz w:val="20"/>
        </w:rPr>
        <w:t> </w:t>
      </w:r>
      <w:r>
        <w:rPr>
          <w:sz w:val="20"/>
        </w:rPr>
        <w:t>prestar.</w:t>
      </w:r>
    </w:p>
    <w:p>
      <w:pPr>
        <w:pStyle w:val="ListParagraph"/>
        <w:numPr>
          <w:ilvl w:val="0"/>
          <w:numId w:val="487"/>
        </w:numPr>
        <w:tabs>
          <w:tab w:pos="1774" w:val="left" w:leader="none"/>
        </w:tabs>
        <w:spacing w:line="249" w:lineRule="auto" w:before="4" w:after="0"/>
        <w:ind w:left="1074" w:right="1273" w:firstLine="340"/>
        <w:jc w:val="both"/>
        <w:rPr>
          <w:sz w:val="20"/>
        </w:rPr>
      </w:pPr>
      <w:r>
        <w:rPr>
          <w:sz w:val="20"/>
        </w:rPr>
        <w:t>Posibilidad de que, con arreglo a disposiciones legales, reglamentarias y administrativas, se reserve la ejecución del servicio a una determinada</w:t>
      </w:r>
      <w:r>
        <w:rPr>
          <w:spacing w:val="-23"/>
          <w:sz w:val="20"/>
        </w:rPr>
        <w:t> </w:t>
      </w:r>
      <w:r>
        <w:rPr>
          <w:sz w:val="20"/>
        </w:rPr>
        <w:t>profesión.</w:t>
      </w:r>
    </w:p>
    <w:p>
      <w:pPr>
        <w:pStyle w:val="ListParagraph"/>
        <w:numPr>
          <w:ilvl w:val="0"/>
          <w:numId w:val="487"/>
        </w:numPr>
        <w:tabs>
          <w:tab w:pos="1637" w:val="left" w:leader="none"/>
        </w:tabs>
        <w:spacing w:line="240" w:lineRule="auto" w:before="1" w:after="0"/>
        <w:ind w:left="1636" w:right="0" w:hanging="223"/>
        <w:jc w:val="both"/>
        <w:rPr>
          <w:sz w:val="20"/>
        </w:rPr>
      </w:pPr>
      <w:r>
        <w:rPr>
          <w:sz w:val="20"/>
        </w:rPr>
        <w:t>Referencia</w:t>
      </w:r>
      <w:r>
        <w:rPr>
          <w:spacing w:val="-7"/>
          <w:sz w:val="20"/>
        </w:rPr>
        <w:t> </w:t>
      </w:r>
      <w:r>
        <w:rPr>
          <w:sz w:val="20"/>
        </w:rPr>
        <w:t>a</w:t>
      </w:r>
      <w:r>
        <w:rPr>
          <w:spacing w:val="-6"/>
          <w:sz w:val="20"/>
        </w:rPr>
        <w:t> </w:t>
      </w:r>
      <w:r>
        <w:rPr>
          <w:sz w:val="20"/>
        </w:rPr>
        <w:t>dicha</w:t>
      </w:r>
      <w:r>
        <w:rPr>
          <w:spacing w:val="-6"/>
          <w:sz w:val="20"/>
        </w:rPr>
        <w:t> </w:t>
      </w:r>
      <w:r>
        <w:rPr>
          <w:sz w:val="20"/>
        </w:rPr>
        <w:t>norma</w:t>
      </w:r>
      <w:r>
        <w:rPr>
          <w:spacing w:val="-7"/>
          <w:sz w:val="20"/>
        </w:rPr>
        <w:t> </w:t>
      </w:r>
      <w:r>
        <w:rPr>
          <w:sz w:val="20"/>
        </w:rPr>
        <w:t>legal,</w:t>
      </w:r>
      <w:r>
        <w:rPr>
          <w:spacing w:val="-6"/>
          <w:sz w:val="20"/>
        </w:rPr>
        <w:t> </w:t>
      </w:r>
      <w:r>
        <w:rPr>
          <w:sz w:val="20"/>
        </w:rPr>
        <w:t>reglamentaria</w:t>
      </w:r>
      <w:r>
        <w:rPr>
          <w:spacing w:val="-5"/>
          <w:sz w:val="20"/>
        </w:rPr>
        <w:t> </w:t>
      </w:r>
      <w:r>
        <w:rPr>
          <w:sz w:val="20"/>
        </w:rPr>
        <w:t>o</w:t>
      </w:r>
      <w:r>
        <w:rPr>
          <w:spacing w:val="-6"/>
          <w:sz w:val="20"/>
        </w:rPr>
        <w:t> </w:t>
      </w:r>
      <w:r>
        <w:rPr>
          <w:sz w:val="20"/>
        </w:rPr>
        <w:t>administrativa.</w:t>
      </w:r>
    </w:p>
    <w:p>
      <w:pPr>
        <w:pStyle w:val="ListParagraph"/>
        <w:numPr>
          <w:ilvl w:val="0"/>
          <w:numId w:val="487"/>
        </w:numPr>
        <w:tabs>
          <w:tab w:pos="1654" w:val="left" w:leader="none"/>
        </w:tabs>
        <w:spacing w:line="249" w:lineRule="auto" w:before="10" w:after="0"/>
        <w:ind w:left="1074" w:right="1273" w:firstLine="340"/>
        <w:jc w:val="both"/>
        <w:rPr>
          <w:sz w:val="20"/>
        </w:rPr>
      </w:pPr>
      <w:r>
        <w:rPr>
          <w:sz w:val="20"/>
        </w:rPr>
        <w:t>Indicación de si las personas jurídicas deben mencionar los nombres y la cualificación profesional del personal responsable de la ejecución del</w:t>
      </w:r>
      <w:r>
        <w:rPr>
          <w:spacing w:val="-12"/>
          <w:sz w:val="20"/>
        </w:rPr>
        <w:t> </w:t>
      </w:r>
      <w:r>
        <w:rPr>
          <w:sz w:val="20"/>
        </w:rPr>
        <w:t>servicio.</w:t>
      </w:r>
    </w:p>
    <w:p>
      <w:pPr>
        <w:pStyle w:val="ListParagraph"/>
        <w:numPr>
          <w:ilvl w:val="0"/>
          <w:numId w:val="487"/>
        </w:numPr>
        <w:tabs>
          <w:tab w:pos="1699" w:val="left" w:leader="none"/>
        </w:tabs>
        <w:spacing w:line="249" w:lineRule="auto" w:before="2" w:after="0"/>
        <w:ind w:left="1074" w:right="1273" w:firstLine="340"/>
        <w:jc w:val="both"/>
        <w:rPr>
          <w:sz w:val="20"/>
        </w:rPr>
      </w:pPr>
      <w:r>
        <w:rPr>
          <w:sz w:val="20"/>
        </w:rPr>
        <w:t>Indicación de si los prestadores de servicios pueden licitar por una parte de los servicios.</w:t>
      </w:r>
    </w:p>
    <w:p>
      <w:pPr>
        <w:pStyle w:val="ListParagraph"/>
        <w:numPr>
          <w:ilvl w:val="0"/>
          <w:numId w:val="485"/>
        </w:numPr>
        <w:tabs>
          <w:tab w:pos="1637" w:val="left" w:leader="none"/>
        </w:tabs>
        <w:spacing w:line="240" w:lineRule="auto" w:before="122" w:after="0"/>
        <w:ind w:left="1636" w:right="0" w:hanging="223"/>
        <w:jc w:val="left"/>
        <w:rPr>
          <w:sz w:val="20"/>
        </w:rPr>
      </w:pPr>
      <w:r>
        <w:rPr>
          <w:sz w:val="20"/>
        </w:rPr>
        <w:t>Si se sabe, indicación de si está autorizada o no la presentación de</w:t>
      </w:r>
      <w:r>
        <w:rPr>
          <w:spacing w:val="-18"/>
          <w:sz w:val="20"/>
        </w:rPr>
        <w:t> </w:t>
      </w:r>
      <w:r>
        <w:rPr>
          <w:sz w:val="20"/>
        </w:rPr>
        <w:t>variantes.</w:t>
      </w:r>
    </w:p>
    <w:p>
      <w:pPr>
        <w:pStyle w:val="ListParagraph"/>
        <w:numPr>
          <w:ilvl w:val="0"/>
          <w:numId w:val="485"/>
        </w:numPr>
        <w:tabs>
          <w:tab w:pos="1639" w:val="left" w:leader="none"/>
        </w:tabs>
        <w:spacing w:line="249" w:lineRule="auto" w:before="10" w:after="0"/>
        <w:ind w:left="1074" w:right="1275" w:firstLine="340"/>
        <w:jc w:val="left"/>
        <w:rPr>
          <w:sz w:val="20"/>
        </w:rPr>
      </w:pPr>
      <w:r>
        <w:rPr>
          <w:sz w:val="20"/>
        </w:rPr>
        <w:t>Plazo de entrega o ejecución o duración del contrato de servicios y, en la medida de lo posible, la fecha de</w:t>
      </w:r>
      <w:r>
        <w:rPr>
          <w:spacing w:val="-4"/>
          <w:sz w:val="20"/>
        </w:rPr>
        <w:t> </w:t>
      </w:r>
      <w:r>
        <w:rPr>
          <w:sz w:val="20"/>
        </w:rPr>
        <w:t>inicio.</w:t>
      </w:r>
    </w:p>
    <w:p>
      <w:pPr>
        <w:pStyle w:val="ListParagraph"/>
        <w:numPr>
          <w:ilvl w:val="0"/>
          <w:numId w:val="485"/>
        </w:numPr>
        <w:tabs>
          <w:tab w:pos="1798" w:val="left" w:leader="none"/>
        </w:tabs>
        <w:spacing w:line="249" w:lineRule="auto" w:before="1" w:after="0"/>
        <w:ind w:left="1074" w:right="1276" w:firstLine="340"/>
        <w:jc w:val="left"/>
        <w:rPr>
          <w:sz w:val="20"/>
        </w:rPr>
      </w:pPr>
      <w:r>
        <w:rPr>
          <w:sz w:val="20"/>
        </w:rPr>
        <w:t>Dirección electrónica o de internet en la que estarán disponibles los pliegos de condiciones para un acceso libre, directo, completo y</w:t>
      </w:r>
      <w:r>
        <w:rPr>
          <w:spacing w:val="-10"/>
          <w:sz w:val="20"/>
        </w:rPr>
        <w:t> </w:t>
      </w:r>
      <w:r>
        <w:rPr>
          <w:sz w:val="20"/>
        </w:rPr>
        <w:t>gratuito.</w:t>
      </w:r>
    </w:p>
    <w:p>
      <w:pPr>
        <w:spacing w:after="0" w:line="249"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3"/>
      </w:pPr>
      <w:r>
        <w:rPr/>
        <w:t>Cuando no se disponga de un acceso libre, directo, completo y gratuito por los motivos contemplados en el artículo 43, una indicación sobre el modo de acceso a los pliegos de condiciones.</w:t>
      </w:r>
    </w:p>
    <w:p>
      <w:pPr>
        <w:pStyle w:val="ListParagraph"/>
        <w:numPr>
          <w:ilvl w:val="0"/>
          <w:numId w:val="485"/>
        </w:numPr>
        <w:tabs>
          <w:tab w:pos="1748" w:val="left" w:leader="none"/>
        </w:tabs>
        <w:spacing w:line="240" w:lineRule="auto" w:before="2" w:after="0"/>
        <w:ind w:left="1747" w:right="0" w:hanging="334"/>
        <w:jc w:val="both"/>
        <w:rPr>
          <w:sz w:val="20"/>
        </w:rPr>
      </w:pPr>
      <w:r>
        <w:rPr>
          <w:sz w:val="20"/>
        </w:rPr>
        <w:t>Adicionalmente:</w:t>
      </w:r>
    </w:p>
    <w:p>
      <w:pPr>
        <w:pStyle w:val="ListParagraph"/>
        <w:numPr>
          <w:ilvl w:val="0"/>
          <w:numId w:val="488"/>
        </w:numPr>
        <w:tabs>
          <w:tab w:pos="1650" w:val="left" w:leader="none"/>
        </w:tabs>
        <w:spacing w:line="249" w:lineRule="auto" w:before="130" w:after="0"/>
        <w:ind w:left="1074" w:right="1274" w:firstLine="340"/>
        <w:jc w:val="left"/>
        <w:rPr>
          <w:sz w:val="20"/>
        </w:rPr>
      </w:pPr>
      <w:r>
        <w:rPr>
          <w:sz w:val="20"/>
        </w:rPr>
        <w:t>Fecha límite de presentación de las ofertas o de las ofertas indicativas cuando se trate de la aplicación de un sistema dinámico de</w:t>
      </w:r>
      <w:r>
        <w:rPr>
          <w:spacing w:val="-11"/>
          <w:sz w:val="20"/>
        </w:rPr>
        <w:t> </w:t>
      </w:r>
      <w:r>
        <w:rPr>
          <w:sz w:val="20"/>
        </w:rPr>
        <w:t>adquisición.</w:t>
      </w:r>
    </w:p>
    <w:p>
      <w:pPr>
        <w:pStyle w:val="ListParagraph"/>
        <w:numPr>
          <w:ilvl w:val="0"/>
          <w:numId w:val="488"/>
        </w:numPr>
        <w:tabs>
          <w:tab w:pos="1648" w:val="left" w:leader="none"/>
        </w:tabs>
        <w:spacing w:line="240" w:lineRule="auto" w:before="2" w:after="0"/>
        <w:ind w:left="1647" w:right="0" w:hanging="234"/>
        <w:jc w:val="left"/>
        <w:rPr>
          <w:sz w:val="20"/>
        </w:rPr>
      </w:pPr>
      <w:r>
        <w:rPr>
          <w:sz w:val="20"/>
        </w:rPr>
        <w:t>Dirección a la que deben</w:t>
      </w:r>
      <w:r>
        <w:rPr>
          <w:spacing w:val="-6"/>
          <w:sz w:val="20"/>
        </w:rPr>
        <w:t> </w:t>
      </w:r>
      <w:r>
        <w:rPr>
          <w:sz w:val="20"/>
        </w:rPr>
        <w:t>transmitirse.</w:t>
      </w:r>
    </w:p>
    <w:p>
      <w:pPr>
        <w:pStyle w:val="ListParagraph"/>
        <w:numPr>
          <w:ilvl w:val="0"/>
          <w:numId w:val="488"/>
        </w:numPr>
        <w:tabs>
          <w:tab w:pos="1637" w:val="left" w:leader="none"/>
        </w:tabs>
        <w:spacing w:line="240" w:lineRule="auto" w:before="10" w:after="0"/>
        <w:ind w:left="1636" w:right="0" w:hanging="223"/>
        <w:jc w:val="left"/>
        <w:rPr>
          <w:sz w:val="20"/>
        </w:rPr>
      </w:pPr>
      <w:r>
        <w:rPr>
          <w:sz w:val="20"/>
        </w:rPr>
        <w:t>Lengua o lenguas en que deben</w:t>
      </w:r>
      <w:r>
        <w:rPr>
          <w:spacing w:val="-8"/>
          <w:sz w:val="20"/>
        </w:rPr>
        <w:t> </w:t>
      </w:r>
      <w:r>
        <w:rPr>
          <w:sz w:val="20"/>
        </w:rPr>
        <w:t>redactarse.</w:t>
      </w:r>
    </w:p>
    <w:p>
      <w:pPr>
        <w:pStyle w:val="ListParagraph"/>
        <w:numPr>
          <w:ilvl w:val="0"/>
          <w:numId w:val="485"/>
        </w:numPr>
        <w:tabs>
          <w:tab w:pos="1748" w:val="left" w:leader="none"/>
        </w:tabs>
        <w:spacing w:line="240" w:lineRule="auto" w:before="130" w:after="0"/>
        <w:ind w:left="1747" w:right="0" w:hanging="334"/>
        <w:jc w:val="left"/>
        <w:rPr>
          <w:sz w:val="20"/>
        </w:rPr>
      </w:pPr>
      <w:r>
        <w:rPr>
          <w:sz w:val="20"/>
        </w:rPr>
        <w:t>Asimismo:</w:t>
      </w:r>
    </w:p>
    <w:p>
      <w:pPr>
        <w:pStyle w:val="ListParagraph"/>
        <w:numPr>
          <w:ilvl w:val="0"/>
          <w:numId w:val="489"/>
        </w:numPr>
        <w:tabs>
          <w:tab w:pos="1648" w:val="left" w:leader="none"/>
        </w:tabs>
        <w:spacing w:line="240" w:lineRule="auto" w:before="130" w:after="0"/>
        <w:ind w:left="1647" w:right="0" w:hanging="234"/>
        <w:jc w:val="left"/>
        <w:rPr>
          <w:sz w:val="20"/>
        </w:rPr>
      </w:pPr>
      <w:r>
        <w:rPr>
          <w:sz w:val="20"/>
        </w:rPr>
        <w:t>Si procede, personas admitidas a asistir a la apertura de las</w:t>
      </w:r>
      <w:r>
        <w:rPr>
          <w:spacing w:val="-18"/>
          <w:sz w:val="20"/>
        </w:rPr>
        <w:t> </w:t>
      </w:r>
      <w:r>
        <w:rPr>
          <w:sz w:val="20"/>
        </w:rPr>
        <w:t>plicas.</w:t>
      </w:r>
    </w:p>
    <w:p>
      <w:pPr>
        <w:pStyle w:val="ListParagraph"/>
        <w:numPr>
          <w:ilvl w:val="0"/>
          <w:numId w:val="489"/>
        </w:numPr>
        <w:tabs>
          <w:tab w:pos="1648" w:val="left" w:leader="none"/>
        </w:tabs>
        <w:spacing w:line="240" w:lineRule="auto" w:before="10" w:after="0"/>
        <w:ind w:left="1647" w:right="0" w:hanging="234"/>
        <w:jc w:val="left"/>
        <w:rPr>
          <w:sz w:val="20"/>
        </w:rPr>
      </w:pPr>
      <w:r>
        <w:rPr>
          <w:sz w:val="20"/>
        </w:rPr>
        <w:t>Fecha, hora y lugar de dicha</w:t>
      </w:r>
      <w:r>
        <w:rPr>
          <w:spacing w:val="-25"/>
          <w:sz w:val="20"/>
        </w:rPr>
        <w:t> </w:t>
      </w:r>
      <w:r>
        <w:rPr>
          <w:sz w:val="20"/>
        </w:rPr>
        <w:t>apertura.</w:t>
      </w:r>
    </w:p>
    <w:p>
      <w:pPr>
        <w:pStyle w:val="ListParagraph"/>
        <w:numPr>
          <w:ilvl w:val="0"/>
          <w:numId w:val="485"/>
        </w:numPr>
        <w:tabs>
          <w:tab w:pos="1748" w:val="left" w:leader="none"/>
        </w:tabs>
        <w:spacing w:line="240" w:lineRule="auto" w:before="130" w:after="0"/>
        <w:ind w:left="1747" w:right="0" w:hanging="334"/>
        <w:jc w:val="left"/>
        <w:rPr>
          <w:sz w:val="20"/>
        </w:rPr>
      </w:pPr>
      <w:r>
        <w:rPr>
          <w:sz w:val="20"/>
        </w:rPr>
        <w:t>En su caso, depósitos y garantías</w:t>
      </w:r>
      <w:r>
        <w:rPr>
          <w:spacing w:val="-27"/>
          <w:sz w:val="20"/>
        </w:rPr>
        <w:t> </w:t>
      </w:r>
      <w:r>
        <w:rPr>
          <w:sz w:val="20"/>
        </w:rPr>
        <w:t>exigidos.</w:t>
      </w:r>
    </w:p>
    <w:p>
      <w:pPr>
        <w:pStyle w:val="ListParagraph"/>
        <w:numPr>
          <w:ilvl w:val="0"/>
          <w:numId w:val="485"/>
        </w:numPr>
        <w:tabs>
          <w:tab w:pos="1787" w:val="left" w:leader="none"/>
        </w:tabs>
        <w:spacing w:line="249" w:lineRule="auto" w:before="10" w:after="0"/>
        <w:ind w:left="1074" w:right="1273" w:firstLine="340"/>
        <w:jc w:val="left"/>
        <w:rPr>
          <w:sz w:val="20"/>
        </w:rPr>
      </w:pPr>
      <w:r>
        <w:rPr>
          <w:sz w:val="20"/>
        </w:rPr>
        <w:t>Modalidades básicas de financiación y de pago o referencias a las disposiciones pertinentes.</w:t>
      </w:r>
    </w:p>
    <w:p>
      <w:pPr>
        <w:pStyle w:val="ListParagraph"/>
        <w:numPr>
          <w:ilvl w:val="0"/>
          <w:numId w:val="485"/>
        </w:numPr>
        <w:tabs>
          <w:tab w:pos="1815" w:val="left" w:leader="none"/>
        </w:tabs>
        <w:spacing w:line="249" w:lineRule="auto" w:before="1" w:after="0"/>
        <w:ind w:left="1074" w:right="1274" w:firstLine="340"/>
        <w:jc w:val="left"/>
        <w:rPr>
          <w:sz w:val="20"/>
        </w:rPr>
      </w:pPr>
      <w:r>
        <w:rPr>
          <w:sz w:val="20"/>
        </w:rPr>
        <w:t>En su caso, forma jurídica que deberá adoptar la agrupación de empresarios adjudicataria del</w:t>
      </w:r>
      <w:r>
        <w:rPr>
          <w:spacing w:val="-3"/>
          <w:sz w:val="20"/>
        </w:rPr>
        <w:t> </w:t>
      </w:r>
      <w:r>
        <w:rPr>
          <w:sz w:val="20"/>
        </w:rPr>
        <w:t>contrato.</w:t>
      </w:r>
    </w:p>
    <w:p>
      <w:pPr>
        <w:pStyle w:val="ListParagraph"/>
        <w:numPr>
          <w:ilvl w:val="0"/>
          <w:numId w:val="485"/>
        </w:numPr>
        <w:tabs>
          <w:tab w:pos="1759" w:val="left" w:leader="none"/>
        </w:tabs>
        <w:spacing w:line="249" w:lineRule="auto" w:before="2" w:after="0"/>
        <w:ind w:left="1074" w:right="1275" w:firstLine="340"/>
        <w:jc w:val="left"/>
        <w:rPr>
          <w:sz w:val="20"/>
        </w:rPr>
      </w:pPr>
      <w:r>
        <w:rPr>
          <w:sz w:val="20"/>
        </w:rPr>
        <w:t>Condiciones mínimas de carácter económico y técnico a las que deberá ajustarse el empresario adjudicatario del</w:t>
      </w:r>
      <w:r>
        <w:rPr>
          <w:spacing w:val="-4"/>
          <w:sz w:val="20"/>
        </w:rPr>
        <w:t> </w:t>
      </w:r>
      <w:r>
        <w:rPr>
          <w:sz w:val="20"/>
        </w:rPr>
        <w:t>contrato.</w:t>
      </w:r>
    </w:p>
    <w:p>
      <w:pPr>
        <w:pStyle w:val="ListParagraph"/>
        <w:numPr>
          <w:ilvl w:val="0"/>
          <w:numId w:val="485"/>
        </w:numPr>
        <w:tabs>
          <w:tab w:pos="1748" w:val="left" w:leader="none"/>
        </w:tabs>
        <w:spacing w:line="240" w:lineRule="auto" w:before="2" w:after="0"/>
        <w:ind w:left="1747" w:right="0" w:hanging="334"/>
        <w:jc w:val="left"/>
        <w:rPr>
          <w:sz w:val="20"/>
        </w:rPr>
      </w:pPr>
      <w:r>
        <w:rPr>
          <w:sz w:val="20"/>
        </w:rPr>
        <w:t>Plazo durante el cual el licitador estará obligado a mantener su</w:t>
      </w:r>
      <w:r>
        <w:rPr>
          <w:spacing w:val="-14"/>
          <w:sz w:val="20"/>
        </w:rPr>
        <w:t> </w:t>
      </w:r>
      <w:r>
        <w:rPr>
          <w:sz w:val="20"/>
        </w:rPr>
        <w:t>oferta.</w:t>
      </w:r>
    </w:p>
    <w:p>
      <w:pPr>
        <w:pStyle w:val="ListParagraph"/>
        <w:numPr>
          <w:ilvl w:val="0"/>
          <w:numId w:val="485"/>
        </w:numPr>
        <w:tabs>
          <w:tab w:pos="1814" w:val="left" w:leader="none"/>
        </w:tabs>
        <w:spacing w:line="249" w:lineRule="auto" w:before="10" w:after="0"/>
        <w:ind w:left="1074" w:right="1275" w:firstLine="340"/>
        <w:jc w:val="both"/>
        <w:rPr>
          <w:sz w:val="20"/>
        </w:rPr>
      </w:pPr>
      <w:r>
        <w:rPr>
          <w:sz w:val="20"/>
        </w:rPr>
        <w:t>Si procede, condiciones particulares a las que está sometida la ejecución del contrato.</w:t>
      </w:r>
    </w:p>
    <w:p>
      <w:pPr>
        <w:pStyle w:val="ListParagraph"/>
        <w:numPr>
          <w:ilvl w:val="0"/>
          <w:numId w:val="485"/>
        </w:numPr>
        <w:tabs>
          <w:tab w:pos="1750" w:val="left" w:leader="none"/>
        </w:tabs>
        <w:spacing w:line="249" w:lineRule="auto" w:before="1" w:after="0"/>
        <w:ind w:left="1074" w:right="1272" w:firstLine="340"/>
        <w:jc w:val="both"/>
        <w:rPr>
          <w:sz w:val="20"/>
        </w:rPr>
      </w:pPr>
      <w:r>
        <w:rPr>
          <w:sz w:val="20"/>
        </w:rPr>
        <w:t>Criterios previstos en el artículo 66 que se utilizarán para la adjudicación del contrato. Excepto en el supuesto en que la oferta económicamente más ventajosa se determine sobre el precio exclusivamente, se mencionarán asimismo los criterios que determinen la oferta económicamente más ventajosa, así como su ponderación, o, en su caso, el orden de importancia de los mismos, cuando no figuren en el pliego de</w:t>
      </w:r>
      <w:r>
        <w:rPr>
          <w:spacing w:val="-14"/>
          <w:sz w:val="20"/>
        </w:rPr>
        <w:t> </w:t>
      </w:r>
      <w:r>
        <w:rPr>
          <w:sz w:val="20"/>
        </w:rPr>
        <w:t>condiciones.</w:t>
      </w:r>
    </w:p>
    <w:p>
      <w:pPr>
        <w:pStyle w:val="ListParagraph"/>
        <w:numPr>
          <w:ilvl w:val="0"/>
          <w:numId w:val="485"/>
        </w:numPr>
        <w:tabs>
          <w:tab w:pos="1768" w:val="left" w:leader="none"/>
        </w:tabs>
        <w:spacing w:line="249" w:lineRule="auto" w:before="5" w:after="0"/>
        <w:ind w:left="1074" w:right="1272" w:firstLine="340"/>
        <w:jc w:val="both"/>
        <w:rPr>
          <w:sz w:val="20"/>
        </w:rPr>
      </w:pPr>
      <w:r>
        <w:rPr>
          <w:sz w:val="20"/>
        </w:rPr>
        <w:t>Si procede, fecha o fecha y referencia o referencias de la publicación en el «Diario Oficial de la Unión Europea» del anuncio periódico indicativo o del anuncio de la publicación de este anuncio en el perfil de contratante al que se refiere el</w:t>
      </w:r>
      <w:r>
        <w:rPr>
          <w:spacing w:val="-16"/>
          <w:sz w:val="20"/>
        </w:rPr>
        <w:t> </w:t>
      </w:r>
      <w:r>
        <w:rPr>
          <w:sz w:val="20"/>
        </w:rPr>
        <w:t>contrato.</w:t>
      </w:r>
    </w:p>
    <w:p>
      <w:pPr>
        <w:pStyle w:val="ListParagraph"/>
        <w:numPr>
          <w:ilvl w:val="0"/>
          <w:numId w:val="485"/>
        </w:numPr>
        <w:tabs>
          <w:tab w:pos="1766" w:val="left" w:leader="none"/>
        </w:tabs>
        <w:spacing w:line="249" w:lineRule="auto" w:before="2" w:after="0"/>
        <w:ind w:left="1074" w:right="1272" w:firstLine="340"/>
        <w:jc w:val="both"/>
        <w:rPr>
          <w:sz w:val="20"/>
        </w:rPr>
      </w:pPr>
      <w:r>
        <w:rPr>
          <w:sz w:val="20"/>
        </w:rPr>
        <w:t>Nombre y dirección del órgano competente para los procedimientos de reclamación y, en su caso, de arbitraje. Información precisa acerca del plazo de presentación de reclamaciones, o, en caso necesario, el nombre, la dirección, los números de teléfono y de fax</w:t>
      </w:r>
      <w:r>
        <w:rPr>
          <w:spacing w:val="-4"/>
          <w:sz w:val="20"/>
        </w:rPr>
        <w:t> </w:t>
      </w:r>
      <w:r>
        <w:rPr>
          <w:sz w:val="20"/>
        </w:rPr>
        <w:t>y</w:t>
      </w:r>
      <w:r>
        <w:rPr>
          <w:spacing w:val="-4"/>
          <w:sz w:val="20"/>
        </w:rPr>
        <w:t> </w:t>
      </w:r>
      <w:r>
        <w:rPr>
          <w:sz w:val="20"/>
        </w:rPr>
        <w:t>la</w:t>
      </w:r>
      <w:r>
        <w:rPr>
          <w:spacing w:val="-5"/>
          <w:sz w:val="20"/>
        </w:rPr>
        <w:t> </w:t>
      </w:r>
      <w:r>
        <w:rPr>
          <w:sz w:val="20"/>
        </w:rPr>
        <w:t>dirección</w:t>
      </w:r>
      <w:r>
        <w:rPr>
          <w:spacing w:val="-4"/>
          <w:sz w:val="20"/>
        </w:rPr>
        <w:t> </w:t>
      </w:r>
      <w:r>
        <w:rPr>
          <w:sz w:val="20"/>
        </w:rPr>
        <w:t>electrónica</w:t>
      </w:r>
      <w:r>
        <w:rPr>
          <w:spacing w:val="-5"/>
          <w:sz w:val="20"/>
        </w:rPr>
        <w:t> </w:t>
      </w:r>
      <w:r>
        <w:rPr>
          <w:sz w:val="20"/>
        </w:rPr>
        <w:t>del</w:t>
      </w:r>
      <w:r>
        <w:rPr>
          <w:spacing w:val="-5"/>
          <w:sz w:val="20"/>
        </w:rPr>
        <w:t> </w:t>
      </w:r>
      <w:r>
        <w:rPr>
          <w:sz w:val="20"/>
        </w:rPr>
        <w:t>departamento</w:t>
      </w:r>
      <w:r>
        <w:rPr>
          <w:spacing w:val="-5"/>
          <w:sz w:val="20"/>
        </w:rPr>
        <w:t> </w:t>
      </w:r>
      <w:r>
        <w:rPr>
          <w:sz w:val="20"/>
        </w:rPr>
        <w:t>del</w:t>
      </w:r>
      <w:r>
        <w:rPr>
          <w:spacing w:val="-4"/>
          <w:sz w:val="20"/>
        </w:rPr>
        <w:t> </w:t>
      </w:r>
      <w:r>
        <w:rPr>
          <w:sz w:val="20"/>
        </w:rPr>
        <w:t>que</w:t>
      </w:r>
      <w:r>
        <w:rPr>
          <w:spacing w:val="-5"/>
          <w:sz w:val="20"/>
        </w:rPr>
        <w:t> </w:t>
      </w:r>
      <w:r>
        <w:rPr>
          <w:sz w:val="20"/>
        </w:rPr>
        <w:t>pueda</w:t>
      </w:r>
      <w:r>
        <w:rPr>
          <w:spacing w:val="-5"/>
          <w:sz w:val="20"/>
        </w:rPr>
        <w:t> </w:t>
      </w:r>
      <w:r>
        <w:rPr>
          <w:sz w:val="20"/>
        </w:rPr>
        <w:t>obtenerse</w:t>
      </w:r>
      <w:r>
        <w:rPr>
          <w:spacing w:val="-4"/>
          <w:sz w:val="20"/>
        </w:rPr>
        <w:t> </w:t>
      </w:r>
      <w:r>
        <w:rPr>
          <w:sz w:val="20"/>
        </w:rPr>
        <w:t>dicha</w:t>
      </w:r>
      <w:r>
        <w:rPr>
          <w:spacing w:val="-5"/>
          <w:sz w:val="20"/>
        </w:rPr>
        <w:t> </w:t>
      </w:r>
      <w:r>
        <w:rPr>
          <w:sz w:val="20"/>
        </w:rPr>
        <w:t>información.</w:t>
      </w:r>
    </w:p>
    <w:p>
      <w:pPr>
        <w:pStyle w:val="ListParagraph"/>
        <w:numPr>
          <w:ilvl w:val="0"/>
          <w:numId w:val="485"/>
        </w:numPr>
        <w:tabs>
          <w:tab w:pos="1748" w:val="left" w:leader="none"/>
        </w:tabs>
        <w:spacing w:line="240" w:lineRule="auto" w:before="3" w:after="0"/>
        <w:ind w:left="1747" w:right="0" w:hanging="334"/>
        <w:jc w:val="both"/>
        <w:rPr>
          <w:sz w:val="20"/>
        </w:rPr>
      </w:pPr>
      <w:r>
        <w:rPr>
          <w:sz w:val="20"/>
        </w:rPr>
        <w:t>Fecha de envío del anuncio por la entidad</w:t>
      </w:r>
      <w:r>
        <w:rPr>
          <w:spacing w:val="-10"/>
          <w:sz w:val="20"/>
        </w:rPr>
        <w:t> </w:t>
      </w:r>
      <w:r>
        <w:rPr>
          <w:sz w:val="20"/>
        </w:rPr>
        <w:t>contratante.</w:t>
      </w:r>
    </w:p>
    <w:p>
      <w:pPr>
        <w:pStyle w:val="ListParagraph"/>
        <w:numPr>
          <w:ilvl w:val="0"/>
          <w:numId w:val="485"/>
        </w:numPr>
        <w:tabs>
          <w:tab w:pos="1748" w:val="left" w:leader="none"/>
        </w:tabs>
        <w:spacing w:line="240" w:lineRule="auto" w:before="10" w:after="0"/>
        <w:ind w:left="1747" w:right="0" w:hanging="334"/>
        <w:jc w:val="both"/>
        <w:rPr>
          <w:sz w:val="20"/>
        </w:rPr>
      </w:pPr>
      <w:r>
        <w:rPr>
          <w:sz w:val="20"/>
        </w:rPr>
        <w:t>Si procede, otras</w:t>
      </w:r>
      <w:r>
        <w:rPr>
          <w:spacing w:val="-3"/>
          <w:sz w:val="20"/>
        </w:rPr>
        <w:t> </w:t>
      </w:r>
      <w:r>
        <w:rPr>
          <w:sz w:val="20"/>
        </w:rPr>
        <w:t>informaciones.</w:t>
      </w:r>
    </w:p>
    <w:p>
      <w:pPr>
        <w:pStyle w:val="BodyText"/>
        <w:spacing w:before="6"/>
        <w:ind w:left="0" w:firstLine="0"/>
        <w:jc w:val="left"/>
        <w:rPr>
          <w:sz w:val="25"/>
        </w:rPr>
      </w:pPr>
    </w:p>
    <w:p>
      <w:pPr>
        <w:pStyle w:val="ListParagraph"/>
        <w:numPr>
          <w:ilvl w:val="1"/>
          <w:numId w:val="484"/>
        </w:numPr>
        <w:tabs>
          <w:tab w:pos="4102" w:val="left" w:leader="none"/>
        </w:tabs>
        <w:spacing w:line="240" w:lineRule="auto" w:before="0" w:after="0"/>
        <w:ind w:left="4101" w:right="0" w:hanging="246"/>
        <w:jc w:val="left"/>
        <w:rPr>
          <w:sz w:val="20"/>
        </w:rPr>
      </w:pPr>
      <w:r>
        <w:rPr>
          <w:sz w:val="20"/>
        </w:rPr>
        <w:t>Procedimientos restringidos</w:t>
      </w:r>
    </w:p>
    <w:p>
      <w:pPr>
        <w:pStyle w:val="ListParagraph"/>
        <w:numPr>
          <w:ilvl w:val="0"/>
          <w:numId w:val="490"/>
        </w:numPr>
        <w:tabs>
          <w:tab w:pos="1708" w:val="left" w:leader="none"/>
        </w:tabs>
        <w:spacing w:line="249" w:lineRule="auto" w:before="130"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90"/>
        </w:numPr>
        <w:tabs>
          <w:tab w:pos="1637" w:val="left" w:leader="none"/>
        </w:tabs>
        <w:spacing w:line="240" w:lineRule="auto" w:before="3"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90"/>
        </w:numPr>
        <w:tabs>
          <w:tab w:pos="1642" w:val="left" w:leader="none"/>
        </w:tabs>
        <w:spacing w:line="249" w:lineRule="auto" w:before="10" w:after="0"/>
        <w:ind w:left="1074" w:right="1273" w:firstLine="340"/>
        <w:jc w:val="both"/>
        <w:rPr>
          <w:sz w:val="20"/>
        </w:rPr>
      </w:pPr>
      <w:r>
        <w:rPr>
          <w:sz w:val="20"/>
        </w:rPr>
        <w:t>Si procede, indicación de si el contrato está reservado para talleres protegidos, o si su ejecución está reservada para programas de empleo</w:t>
      </w:r>
      <w:r>
        <w:rPr>
          <w:spacing w:val="-11"/>
          <w:sz w:val="20"/>
        </w:rPr>
        <w:t> </w:t>
      </w:r>
      <w:r>
        <w:rPr>
          <w:sz w:val="20"/>
        </w:rPr>
        <w:t>protegidos.</w:t>
      </w:r>
    </w:p>
    <w:p>
      <w:pPr>
        <w:pStyle w:val="ListParagraph"/>
        <w:numPr>
          <w:ilvl w:val="0"/>
          <w:numId w:val="490"/>
        </w:numPr>
        <w:tabs>
          <w:tab w:pos="1669" w:val="left" w:leader="none"/>
        </w:tabs>
        <w:spacing w:line="249" w:lineRule="auto" w:before="1" w:after="0"/>
        <w:ind w:left="1074" w:right="1273" w:firstLine="340"/>
        <w:jc w:val="both"/>
        <w:rPr>
          <w:sz w:val="20"/>
        </w:rPr>
      </w:pPr>
      <w:r>
        <w:rPr>
          <w:sz w:val="20"/>
        </w:rPr>
        <w:t>Naturaleza del contrato (suministro, obras o servicios; indíquese, en su caso, si se trata de un acuerdo marco); descripción (códigos CPV). Deberá indicarse, cuando corresponda, si la oferta se refiere a compra, arrendamiento financiero, alquiler, o compra a plazos, o a una combinación de los</w:t>
      </w:r>
      <w:r>
        <w:rPr>
          <w:spacing w:val="-7"/>
          <w:sz w:val="20"/>
        </w:rPr>
        <w:t> </w:t>
      </w:r>
      <w:r>
        <w:rPr>
          <w:sz w:val="20"/>
        </w:rPr>
        <w:t>mismos.</w:t>
      </w:r>
    </w:p>
    <w:p>
      <w:pPr>
        <w:pStyle w:val="ListParagraph"/>
        <w:numPr>
          <w:ilvl w:val="0"/>
          <w:numId w:val="490"/>
        </w:numPr>
        <w:tabs>
          <w:tab w:pos="1639" w:val="left" w:leader="none"/>
        </w:tabs>
        <w:spacing w:line="249" w:lineRule="auto" w:before="4" w:after="0"/>
        <w:ind w:left="1074" w:right="1274" w:firstLine="340"/>
        <w:jc w:val="both"/>
        <w:rPr>
          <w:sz w:val="20"/>
        </w:rPr>
      </w:pPr>
      <w:r>
        <w:rPr>
          <w:sz w:val="20"/>
        </w:rPr>
        <w:t>Código NUTS del emplazamiento principal de las obras, en el caso de los contratos de obras, o código NUTS del lugar principal de entrega o de ejecución, en los contratos de suministro y de</w:t>
      </w:r>
      <w:r>
        <w:rPr>
          <w:spacing w:val="-2"/>
          <w:sz w:val="20"/>
        </w:rPr>
        <w:t> </w:t>
      </w:r>
      <w:r>
        <w:rPr>
          <w:sz w:val="20"/>
        </w:rPr>
        <w:t>servicios.</w:t>
      </w:r>
    </w:p>
    <w:p>
      <w:pPr>
        <w:pStyle w:val="ListParagraph"/>
        <w:numPr>
          <w:ilvl w:val="0"/>
          <w:numId w:val="490"/>
        </w:numPr>
        <w:tabs>
          <w:tab w:pos="1637" w:val="left" w:leader="none"/>
        </w:tabs>
        <w:spacing w:line="240" w:lineRule="auto" w:before="2" w:after="0"/>
        <w:ind w:left="1636" w:right="0" w:hanging="223"/>
        <w:jc w:val="both"/>
        <w:rPr>
          <w:sz w:val="20"/>
        </w:rPr>
      </w:pPr>
      <w:r>
        <w:rPr>
          <w:sz w:val="20"/>
        </w:rPr>
        <w:t>Para suministros y</w:t>
      </w:r>
      <w:r>
        <w:rPr>
          <w:spacing w:val="-1"/>
          <w:sz w:val="20"/>
        </w:rPr>
        <w:t> </w:t>
      </w:r>
      <w:r>
        <w:rPr>
          <w:sz w:val="20"/>
        </w:rPr>
        <w:t>obras:</w:t>
      </w:r>
    </w:p>
    <w:p>
      <w:pPr>
        <w:pStyle w:val="ListParagraph"/>
        <w:numPr>
          <w:ilvl w:val="0"/>
          <w:numId w:val="491"/>
        </w:numPr>
        <w:tabs>
          <w:tab w:pos="1671" w:val="left" w:leader="none"/>
        </w:tabs>
        <w:spacing w:line="249" w:lineRule="auto" w:before="130" w:after="0"/>
        <w:ind w:left="1074" w:right="1272" w:firstLine="340"/>
        <w:jc w:val="both"/>
        <w:rPr>
          <w:sz w:val="20"/>
        </w:rPr>
      </w:pPr>
      <w:r>
        <w:rPr>
          <w:sz w:val="20"/>
        </w:rPr>
        <w:t>Características y cantidad de los productos solicitados (códigos CPV). Indicación de las opciones para contrataciones complementarias y, cuando sea posible, del plazo estimado previsto para ejercer dichas opciones, así como el número de prórrogas posibles. En el caso de</w:t>
      </w:r>
      <w:r>
        <w:rPr>
          <w:spacing w:val="33"/>
          <w:sz w:val="20"/>
        </w:rPr>
        <w:t> </w:t>
      </w:r>
      <w:r>
        <w:rPr>
          <w:sz w:val="20"/>
        </w:rPr>
        <w:t>una</w:t>
      </w:r>
      <w:r>
        <w:rPr>
          <w:spacing w:val="34"/>
          <w:sz w:val="20"/>
        </w:rPr>
        <w:t> </w:t>
      </w:r>
      <w:r>
        <w:rPr>
          <w:sz w:val="20"/>
        </w:rPr>
        <w:t>serie</w:t>
      </w:r>
      <w:r>
        <w:rPr>
          <w:spacing w:val="34"/>
          <w:sz w:val="20"/>
        </w:rPr>
        <w:t> </w:t>
      </w:r>
      <w:r>
        <w:rPr>
          <w:sz w:val="20"/>
        </w:rPr>
        <w:t>de</w:t>
      </w:r>
      <w:r>
        <w:rPr>
          <w:spacing w:val="34"/>
          <w:sz w:val="20"/>
        </w:rPr>
        <w:t> </w:t>
      </w:r>
      <w:r>
        <w:rPr>
          <w:sz w:val="20"/>
        </w:rPr>
        <w:t>contratos</w:t>
      </w:r>
      <w:r>
        <w:rPr>
          <w:spacing w:val="34"/>
          <w:sz w:val="20"/>
        </w:rPr>
        <w:t> </w:t>
      </w:r>
      <w:r>
        <w:rPr>
          <w:sz w:val="20"/>
        </w:rPr>
        <w:t>renovables</w:t>
      </w:r>
      <w:r>
        <w:rPr>
          <w:spacing w:val="34"/>
          <w:sz w:val="20"/>
        </w:rPr>
        <w:t> </w:t>
      </w:r>
      <w:r>
        <w:rPr>
          <w:sz w:val="20"/>
        </w:rPr>
        <w:t>también</w:t>
      </w:r>
      <w:r>
        <w:rPr>
          <w:spacing w:val="34"/>
          <w:sz w:val="20"/>
        </w:rPr>
        <w:t> </w:t>
      </w:r>
      <w:r>
        <w:rPr>
          <w:sz w:val="20"/>
        </w:rPr>
        <w:t>se</w:t>
      </w:r>
      <w:r>
        <w:rPr>
          <w:spacing w:val="34"/>
          <w:sz w:val="20"/>
        </w:rPr>
        <w:t> </w:t>
      </w:r>
      <w:r>
        <w:rPr>
          <w:sz w:val="20"/>
        </w:rPr>
        <w:t>precisará,</w:t>
      </w:r>
      <w:r>
        <w:rPr>
          <w:spacing w:val="34"/>
          <w:sz w:val="20"/>
        </w:rPr>
        <w:t> </w:t>
      </w:r>
      <w:r>
        <w:rPr>
          <w:sz w:val="20"/>
        </w:rPr>
        <w:t>de</w:t>
      </w:r>
      <w:r>
        <w:rPr>
          <w:spacing w:val="34"/>
          <w:sz w:val="20"/>
        </w:rPr>
        <w:t> </w:t>
      </w:r>
      <w:r>
        <w:rPr>
          <w:sz w:val="20"/>
        </w:rPr>
        <w:t>ser</w:t>
      </w:r>
      <w:r>
        <w:rPr>
          <w:spacing w:val="34"/>
          <w:sz w:val="20"/>
        </w:rPr>
        <w:t> </w:t>
      </w:r>
      <w:r>
        <w:rPr>
          <w:sz w:val="20"/>
        </w:rPr>
        <w:t>posible,</w:t>
      </w:r>
      <w:r>
        <w:rPr>
          <w:spacing w:val="34"/>
          <w:sz w:val="20"/>
        </w:rPr>
        <w:t> </w:t>
      </w:r>
      <w:r>
        <w:rPr>
          <w:sz w:val="20"/>
        </w:rPr>
        <w:t>el</w:t>
      </w:r>
      <w:r>
        <w:rPr>
          <w:spacing w:val="34"/>
          <w:sz w:val="20"/>
        </w:rPr>
        <w:t> </w:t>
      </w:r>
      <w:r>
        <w:rPr>
          <w:sz w:val="20"/>
        </w:rPr>
        <w:t>calendario</w:t>
      </w:r>
    </w:p>
    <w:p>
      <w:pPr>
        <w:spacing w:after="0" w:line="249" w:lineRule="auto"/>
        <w:jc w:val="both"/>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pPr>
    </w:p>
    <w:p>
      <w:pPr>
        <w:pStyle w:val="BodyText"/>
        <w:spacing w:line="249" w:lineRule="auto" w:before="126"/>
        <w:ind w:right="1274" w:firstLine="0"/>
      </w:pPr>
      <w:r>
        <w:rPr/>
        <w:t>provisional de las convocatorias de licitación posteriores para los productos que se vayan a contratar o la naturaleza y el alcance de las prestaciones, y las características generales de la obra (códigos CPV).</w:t>
      </w:r>
    </w:p>
    <w:p>
      <w:pPr>
        <w:pStyle w:val="ListParagraph"/>
        <w:numPr>
          <w:ilvl w:val="0"/>
          <w:numId w:val="491"/>
        </w:numPr>
        <w:tabs>
          <w:tab w:pos="1653" w:val="left" w:leader="none"/>
        </w:tabs>
        <w:spacing w:line="249" w:lineRule="auto" w:before="3" w:after="0"/>
        <w:ind w:left="1074" w:right="1272" w:firstLine="340"/>
        <w:jc w:val="left"/>
        <w:rPr>
          <w:sz w:val="20"/>
        </w:rPr>
      </w:pPr>
      <w:r>
        <w:rPr>
          <w:sz w:val="20"/>
        </w:rPr>
        <w:t>Indicación de si los proveedores pueden licitar por parte de los productos solicitados o por su</w:t>
      </w:r>
      <w:r>
        <w:rPr>
          <w:spacing w:val="-2"/>
          <w:sz w:val="20"/>
        </w:rPr>
        <w:t> </w:t>
      </w:r>
      <w:r>
        <w:rPr>
          <w:sz w:val="20"/>
        </w:rPr>
        <w:t>totalidad.</w:t>
      </w:r>
    </w:p>
    <w:p>
      <w:pPr>
        <w:pStyle w:val="BodyText"/>
        <w:spacing w:line="249" w:lineRule="auto" w:before="1"/>
        <w:ind w:right="1278"/>
        <w:jc w:val="left"/>
      </w:pPr>
      <w:r>
        <w:rPr/>
        <w:t>En caso de que, para los contratos de obras, la obra o el contrato esté dividido en varios lotes, magnitud de los distintos lotes y posibilidad de licitar por uno, varios o todos ellos.</w:t>
      </w:r>
    </w:p>
    <w:p>
      <w:pPr>
        <w:pStyle w:val="ListParagraph"/>
        <w:numPr>
          <w:ilvl w:val="0"/>
          <w:numId w:val="491"/>
        </w:numPr>
        <w:tabs>
          <w:tab w:pos="1668" w:val="left" w:leader="none"/>
        </w:tabs>
        <w:spacing w:line="249" w:lineRule="auto" w:before="2" w:after="0"/>
        <w:ind w:left="1074" w:right="1274" w:firstLine="340"/>
        <w:jc w:val="left"/>
        <w:rPr>
          <w:sz w:val="20"/>
        </w:rPr>
      </w:pPr>
      <w:r>
        <w:rPr>
          <w:sz w:val="20"/>
        </w:rPr>
        <w:t>Información relativa al objetivo de la obra o del contrato, cuando en este último se incluya también la elaboración de</w:t>
      </w:r>
      <w:r>
        <w:rPr>
          <w:spacing w:val="-6"/>
          <w:sz w:val="20"/>
        </w:rPr>
        <w:t> </w:t>
      </w:r>
      <w:r>
        <w:rPr>
          <w:sz w:val="20"/>
        </w:rPr>
        <w:t>proyectos.</w:t>
      </w:r>
    </w:p>
    <w:p>
      <w:pPr>
        <w:pStyle w:val="ListParagraph"/>
        <w:numPr>
          <w:ilvl w:val="0"/>
          <w:numId w:val="490"/>
        </w:numPr>
        <w:tabs>
          <w:tab w:pos="1637" w:val="left" w:leader="none"/>
        </w:tabs>
        <w:spacing w:line="240" w:lineRule="auto" w:before="121" w:after="0"/>
        <w:ind w:left="1636" w:right="0" w:hanging="223"/>
        <w:jc w:val="both"/>
        <w:rPr>
          <w:sz w:val="20"/>
        </w:rPr>
      </w:pPr>
      <w:r>
        <w:rPr>
          <w:sz w:val="20"/>
        </w:rPr>
        <w:t>Para servicios:</w:t>
      </w:r>
    </w:p>
    <w:p>
      <w:pPr>
        <w:pStyle w:val="ListParagraph"/>
        <w:numPr>
          <w:ilvl w:val="0"/>
          <w:numId w:val="492"/>
        </w:numPr>
        <w:tabs>
          <w:tab w:pos="1688" w:val="left" w:leader="none"/>
        </w:tabs>
        <w:spacing w:line="249" w:lineRule="auto" w:before="131" w:after="0"/>
        <w:ind w:left="1074" w:right="1273" w:firstLine="340"/>
        <w:jc w:val="both"/>
        <w:rPr>
          <w:sz w:val="20"/>
        </w:rPr>
      </w:pPr>
      <w:r>
        <w:rPr>
          <w:sz w:val="20"/>
        </w:rPr>
        <w:t>Características y cantidad de los productos solicitados. Indicación de las opciones para contrataciones complementarias y, cuando sea posible, del plazo estimado previsto para ejercer dichas opciones, así como el número de prórrogas posibles. En el caso de una serie de contratos renovables también se precisará, de ser posible, el calendario provisional de las convocatorias de licitación posteriores para los servicios que se vayan a</w:t>
      </w:r>
      <w:r>
        <w:rPr>
          <w:spacing w:val="-30"/>
          <w:sz w:val="20"/>
        </w:rPr>
        <w:t> </w:t>
      </w:r>
      <w:r>
        <w:rPr>
          <w:sz w:val="20"/>
        </w:rPr>
        <w:t>prestar.</w:t>
      </w:r>
    </w:p>
    <w:p>
      <w:pPr>
        <w:pStyle w:val="ListParagraph"/>
        <w:numPr>
          <w:ilvl w:val="0"/>
          <w:numId w:val="492"/>
        </w:numPr>
        <w:tabs>
          <w:tab w:pos="1774" w:val="left" w:leader="none"/>
        </w:tabs>
        <w:spacing w:line="249" w:lineRule="auto" w:before="4" w:after="0"/>
        <w:ind w:left="1074" w:right="1273" w:firstLine="340"/>
        <w:jc w:val="both"/>
        <w:rPr>
          <w:sz w:val="20"/>
        </w:rPr>
      </w:pPr>
      <w:r>
        <w:rPr>
          <w:sz w:val="20"/>
        </w:rPr>
        <w:t>Posibilidad de que, con arreglo a disposiciones legales, reglamentarias y administrativas, se reserve la ejecución del servicio a una determinada</w:t>
      </w:r>
      <w:r>
        <w:rPr>
          <w:spacing w:val="-23"/>
          <w:sz w:val="20"/>
        </w:rPr>
        <w:t> </w:t>
      </w:r>
      <w:r>
        <w:rPr>
          <w:sz w:val="20"/>
        </w:rPr>
        <w:t>profesión.</w:t>
      </w:r>
    </w:p>
    <w:p>
      <w:pPr>
        <w:pStyle w:val="ListParagraph"/>
        <w:numPr>
          <w:ilvl w:val="0"/>
          <w:numId w:val="492"/>
        </w:numPr>
        <w:tabs>
          <w:tab w:pos="1637" w:val="left" w:leader="none"/>
        </w:tabs>
        <w:spacing w:line="240" w:lineRule="auto" w:before="1" w:after="0"/>
        <w:ind w:left="1636" w:right="0" w:hanging="223"/>
        <w:jc w:val="both"/>
        <w:rPr>
          <w:sz w:val="20"/>
        </w:rPr>
      </w:pPr>
      <w:r>
        <w:rPr>
          <w:sz w:val="20"/>
        </w:rPr>
        <w:t>Referencia</w:t>
      </w:r>
      <w:r>
        <w:rPr>
          <w:spacing w:val="-7"/>
          <w:sz w:val="20"/>
        </w:rPr>
        <w:t> </w:t>
      </w:r>
      <w:r>
        <w:rPr>
          <w:sz w:val="20"/>
        </w:rPr>
        <w:t>a</w:t>
      </w:r>
      <w:r>
        <w:rPr>
          <w:spacing w:val="-6"/>
          <w:sz w:val="20"/>
        </w:rPr>
        <w:t> </w:t>
      </w:r>
      <w:r>
        <w:rPr>
          <w:sz w:val="20"/>
        </w:rPr>
        <w:t>dicha</w:t>
      </w:r>
      <w:r>
        <w:rPr>
          <w:spacing w:val="-6"/>
          <w:sz w:val="20"/>
        </w:rPr>
        <w:t> </w:t>
      </w:r>
      <w:r>
        <w:rPr>
          <w:sz w:val="20"/>
        </w:rPr>
        <w:t>norma</w:t>
      </w:r>
      <w:r>
        <w:rPr>
          <w:spacing w:val="-7"/>
          <w:sz w:val="20"/>
        </w:rPr>
        <w:t> </w:t>
      </w:r>
      <w:r>
        <w:rPr>
          <w:sz w:val="20"/>
        </w:rPr>
        <w:t>legal,</w:t>
      </w:r>
      <w:r>
        <w:rPr>
          <w:spacing w:val="-6"/>
          <w:sz w:val="20"/>
        </w:rPr>
        <w:t> </w:t>
      </w:r>
      <w:r>
        <w:rPr>
          <w:sz w:val="20"/>
        </w:rPr>
        <w:t>reglamentaria</w:t>
      </w:r>
      <w:r>
        <w:rPr>
          <w:spacing w:val="-5"/>
          <w:sz w:val="20"/>
        </w:rPr>
        <w:t> </w:t>
      </w:r>
      <w:r>
        <w:rPr>
          <w:sz w:val="20"/>
        </w:rPr>
        <w:t>o</w:t>
      </w:r>
      <w:r>
        <w:rPr>
          <w:spacing w:val="-6"/>
          <w:sz w:val="20"/>
        </w:rPr>
        <w:t> </w:t>
      </w:r>
      <w:r>
        <w:rPr>
          <w:sz w:val="20"/>
        </w:rPr>
        <w:t>administrativa.</w:t>
      </w:r>
    </w:p>
    <w:p>
      <w:pPr>
        <w:pStyle w:val="ListParagraph"/>
        <w:numPr>
          <w:ilvl w:val="0"/>
          <w:numId w:val="492"/>
        </w:numPr>
        <w:tabs>
          <w:tab w:pos="1654" w:val="left" w:leader="none"/>
        </w:tabs>
        <w:spacing w:line="249" w:lineRule="auto" w:before="10" w:after="0"/>
        <w:ind w:left="1074" w:right="1273" w:firstLine="340"/>
        <w:jc w:val="both"/>
        <w:rPr>
          <w:sz w:val="20"/>
        </w:rPr>
      </w:pPr>
      <w:r>
        <w:rPr>
          <w:sz w:val="20"/>
        </w:rPr>
        <w:t>Indicación de si las personas jurídicas deben mencionar los nombres y la cualificación profesional del personal responsable de la ejecución del</w:t>
      </w:r>
      <w:r>
        <w:rPr>
          <w:spacing w:val="-12"/>
          <w:sz w:val="20"/>
        </w:rPr>
        <w:t> </w:t>
      </w:r>
      <w:r>
        <w:rPr>
          <w:sz w:val="20"/>
        </w:rPr>
        <w:t>servicio.</w:t>
      </w:r>
    </w:p>
    <w:p>
      <w:pPr>
        <w:pStyle w:val="ListParagraph"/>
        <w:numPr>
          <w:ilvl w:val="0"/>
          <w:numId w:val="492"/>
        </w:numPr>
        <w:tabs>
          <w:tab w:pos="1699" w:val="left" w:leader="none"/>
        </w:tabs>
        <w:spacing w:line="249" w:lineRule="auto" w:before="2" w:after="0"/>
        <w:ind w:left="1074" w:right="1273" w:firstLine="340"/>
        <w:jc w:val="both"/>
        <w:rPr>
          <w:sz w:val="20"/>
        </w:rPr>
      </w:pPr>
      <w:r>
        <w:rPr>
          <w:sz w:val="20"/>
        </w:rPr>
        <w:t>Indicación de si los prestadores de servicios pueden licitar por una parte de los servicios.</w:t>
      </w:r>
    </w:p>
    <w:p>
      <w:pPr>
        <w:pStyle w:val="ListParagraph"/>
        <w:numPr>
          <w:ilvl w:val="0"/>
          <w:numId w:val="490"/>
        </w:numPr>
        <w:tabs>
          <w:tab w:pos="1637" w:val="left" w:leader="none"/>
        </w:tabs>
        <w:spacing w:line="240" w:lineRule="auto" w:before="122" w:after="0"/>
        <w:ind w:left="1636" w:right="0" w:hanging="223"/>
        <w:jc w:val="left"/>
        <w:rPr>
          <w:sz w:val="20"/>
        </w:rPr>
      </w:pPr>
      <w:r>
        <w:rPr>
          <w:sz w:val="20"/>
        </w:rPr>
        <w:t>Si se sabe, indicación de si está autorizada o no la presentación de</w:t>
      </w:r>
      <w:r>
        <w:rPr>
          <w:spacing w:val="-18"/>
          <w:sz w:val="20"/>
        </w:rPr>
        <w:t> </w:t>
      </w:r>
      <w:r>
        <w:rPr>
          <w:sz w:val="20"/>
        </w:rPr>
        <w:t>variantes.</w:t>
      </w:r>
    </w:p>
    <w:p>
      <w:pPr>
        <w:pStyle w:val="ListParagraph"/>
        <w:numPr>
          <w:ilvl w:val="0"/>
          <w:numId w:val="490"/>
        </w:numPr>
        <w:tabs>
          <w:tab w:pos="1648" w:val="left" w:leader="none"/>
        </w:tabs>
        <w:spacing w:line="249" w:lineRule="auto" w:before="10" w:after="0"/>
        <w:ind w:left="1074" w:right="1275" w:firstLine="340"/>
        <w:jc w:val="left"/>
        <w:rPr>
          <w:sz w:val="20"/>
        </w:rPr>
      </w:pPr>
      <w:r>
        <w:rPr>
          <w:sz w:val="20"/>
        </w:rPr>
        <w:t>Plazo de entrega o ejecución o duración del contrato y, en la medida de lo posible, la fecha de</w:t>
      </w:r>
      <w:r>
        <w:rPr>
          <w:spacing w:val="-2"/>
          <w:sz w:val="20"/>
        </w:rPr>
        <w:t> </w:t>
      </w:r>
      <w:r>
        <w:rPr>
          <w:sz w:val="20"/>
        </w:rPr>
        <w:t>inicio.</w:t>
      </w:r>
    </w:p>
    <w:p>
      <w:pPr>
        <w:pStyle w:val="ListParagraph"/>
        <w:numPr>
          <w:ilvl w:val="0"/>
          <w:numId w:val="490"/>
        </w:numPr>
        <w:tabs>
          <w:tab w:pos="1815" w:val="left" w:leader="none"/>
        </w:tabs>
        <w:spacing w:line="249" w:lineRule="auto" w:before="1" w:after="0"/>
        <w:ind w:left="1074" w:right="1274" w:firstLine="339"/>
        <w:jc w:val="left"/>
        <w:rPr>
          <w:sz w:val="20"/>
        </w:rPr>
      </w:pPr>
      <w:r>
        <w:rPr>
          <w:sz w:val="20"/>
        </w:rPr>
        <w:t>En su caso, forma jurídica que deberá adoptar la agrupación de empresarios adjudicataria del</w:t>
      </w:r>
      <w:r>
        <w:rPr>
          <w:spacing w:val="-3"/>
          <w:sz w:val="20"/>
        </w:rPr>
        <w:t> </w:t>
      </w:r>
      <w:r>
        <w:rPr>
          <w:sz w:val="20"/>
        </w:rPr>
        <w:t>contrato.</w:t>
      </w:r>
    </w:p>
    <w:p>
      <w:pPr>
        <w:pStyle w:val="ListParagraph"/>
        <w:numPr>
          <w:ilvl w:val="0"/>
          <w:numId w:val="490"/>
        </w:numPr>
        <w:tabs>
          <w:tab w:pos="1748" w:val="left" w:leader="none"/>
        </w:tabs>
        <w:spacing w:line="240" w:lineRule="auto" w:before="2" w:after="0"/>
        <w:ind w:left="1747" w:right="0" w:hanging="334"/>
        <w:jc w:val="left"/>
        <w:rPr>
          <w:sz w:val="20"/>
        </w:rPr>
      </w:pPr>
      <w:r>
        <w:rPr>
          <w:sz w:val="20"/>
        </w:rPr>
        <w:t>Adicionalmente:</w:t>
      </w:r>
    </w:p>
    <w:p>
      <w:pPr>
        <w:pStyle w:val="ListParagraph"/>
        <w:numPr>
          <w:ilvl w:val="0"/>
          <w:numId w:val="493"/>
        </w:numPr>
        <w:tabs>
          <w:tab w:pos="1648" w:val="left" w:leader="none"/>
        </w:tabs>
        <w:spacing w:line="240" w:lineRule="auto" w:before="130" w:after="0"/>
        <w:ind w:left="1647" w:right="0" w:hanging="234"/>
        <w:jc w:val="left"/>
        <w:rPr>
          <w:sz w:val="20"/>
        </w:rPr>
      </w:pPr>
      <w:r>
        <w:rPr>
          <w:sz w:val="20"/>
        </w:rPr>
        <w:t>Fecha límite de recepción de las solicitudes de</w:t>
      </w:r>
      <w:r>
        <w:rPr>
          <w:spacing w:val="-8"/>
          <w:sz w:val="20"/>
        </w:rPr>
        <w:t> </w:t>
      </w:r>
      <w:r>
        <w:rPr>
          <w:sz w:val="20"/>
        </w:rPr>
        <w:t>participación.</w:t>
      </w:r>
    </w:p>
    <w:p>
      <w:pPr>
        <w:pStyle w:val="ListParagraph"/>
        <w:numPr>
          <w:ilvl w:val="0"/>
          <w:numId w:val="493"/>
        </w:numPr>
        <w:tabs>
          <w:tab w:pos="1648" w:val="left" w:leader="none"/>
        </w:tabs>
        <w:spacing w:line="240" w:lineRule="auto" w:before="10" w:after="0"/>
        <w:ind w:left="1647" w:right="0" w:hanging="234"/>
        <w:jc w:val="left"/>
        <w:rPr>
          <w:sz w:val="20"/>
        </w:rPr>
      </w:pPr>
      <w:r>
        <w:rPr>
          <w:sz w:val="20"/>
        </w:rPr>
        <w:t>Dirección a la que deben</w:t>
      </w:r>
      <w:r>
        <w:rPr>
          <w:spacing w:val="-6"/>
          <w:sz w:val="20"/>
        </w:rPr>
        <w:t> </w:t>
      </w:r>
      <w:r>
        <w:rPr>
          <w:sz w:val="20"/>
        </w:rPr>
        <w:t>transmitirse.</w:t>
      </w:r>
    </w:p>
    <w:p>
      <w:pPr>
        <w:pStyle w:val="ListParagraph"/>
        <w:numPr>
          <w:ilvl w:val="0"/>
          <w:numId w:val="493"/>
        </w:numPr>
        <w:tabs>
          <w:tab w:pos="1637" w:val="left" w:leader="none"/>
        </w:tabs>
        <w:spacing w:line="240" w:lineRule="auto" w:before="10" w:after="0"/>
        <w:ind w:left="1636" w:right="0" w:hanging="223"/>
        <w:jc w:val="left"/>
        <w:rPr>
          <w:sz w:val="20"/>
        </w:rPr>
      </w:pPr>
      <w:r>
        <w:rPr>
          <w:sz w:val="20"/>
        </w:rPr>
        <w:t>Lengua o lenguas en que deben</w:t>
      </w:r>
      <w:r>
        <w:rPr>
          <w:spacing w:val="-24"/>
          <w:sz w:val="20"/>
        </w:rPr>
        <w:t> </w:t>
      </w:r>
      <w:r>
        <w:rPr>
          <w:sz w:val="20"/>
        </w:rPr>
        <w:t>redactarse.</w:t>
      </w:r>
    </w:p>
    <w:p>
      <w:pPr>
        <w:pStyle w:val="ListParagraph"/>
        <w:numPr>
          <w:ilvl w:val="0"/>
          <w:numId w:val="490"/>
        </w:numPr>
        <w:tabs>
          <w:tab w:pos="1748" w:val="left" w:leader="none"/>
        </w:tabs>
        <w:spacing w:line="240" w:lineRule="auto" w:before="130" w:after="0"/>
        <w:ind w:left="1747" w:right="0" w:hanging="334"/>
        <w:jc w:val="both"/>
        <w:rPr>
          <w:sz w:val="20"/>
        </w:rPr>
      </w:pPr>
      <w:r>
        <w:rPr>
          <w:sz w:val="20"/>
        </w:rPr>
        <w:t>Fecha límite de envío de las invitaciones a</w:t>
      </w:r>
      <w:r>
        <w:rPr>
          <w:spacing w:val="-39"/>
          <w:sz w:val="20"/>
        </w:rPr>
        <w:t> </w:t>
      </w:r>
      <w:r>
        <w:rPr>
          <w:sz w:val="20"/>
        </w:rPr>
        <w:t>licitar.</w:t>
      </w:r>
    </w:p>
    <w:p>
      <w:pPr>
        <w:pStyle w:val="ListParagraph"/>
        <w:numPr>
          <w:ilvl w:val="0"/>
          <w:numId w:val="490"/>
        </w:numPr>
        <w:tabs>
          <w:tab w:pos="1748" w:val="left" w:leader="none"/>
        </w:tabs>
        <w:spacing w:line="240" w:lineRule="auto" w:before="10" w:after="0"/>
        <w:ind w:left="1747" w:right="0" w:hanging="334"/>
        <w:jc w:val="both"/>
        <w:rPr>
          <w:sz w:val="20"/>
        </w:rPr>
      </w:pPr>
      <w:r>
        <w:rPr>
          <w:sz w:val="20"/>
        </w:rPr>
        <w:t>En su caso, depósitos y garantías</w:t>
      </w:r>
      <w:r>
        <w:rPr>
          <w:spacing w:val="-4"/>
          <w:sz w:val="20"/>
        </w:rPr>
        <w:t> </w:t>
      </w:r>
      <w:r>
        <w:rPr>
          <w:sz w:val="20"/>
        </w:rPr>
        <w:t>exigidos.</w:t>
      </w:r>
    </w:p>
    <w:p>
      <w:pPr>
        <w:pStyle w:val="ListParagraph"/>
        <w:numPr>
          <w:ilvl w:val="0"/>
          <w:numId w:val="490"/>
        </w:numPr>
        <w:tabs>
          <w:tab w:pos="1787" w:val="left" w:leader="none"/>
        </w:tabs>
        <w:spacing w:line="249" w:lineRule="auto" w:before="10" w:after="0"/>
        <w:ind w:left="1074" w:right="1273" w:firstLine="340"/>
        <w:jc w:val="both"/>
        <w:rPr>
          <w:sz w:val="20"/>
        </w:rPr>
      </w:pPr>
      <w:r>
        <w:rPr>
          <w:sz w:val="20"/>
        </w:rPr>
        <w:t>Modalidades básicas de financiación y de pago o referencias a las disposiciones pertinentes.</w:t>
      </w:r>
    </w:p>
    <w:p>
      <w:pPr>
        <w:pStyle w:val="ListParagraph"/>
        <w:numPr>
          <w:ilvl w:val="0"/>
          <w:numId w:val="490"/>
        </w:numPr>
        <w:tabs>
          <w:tab w:pos="1759" w:val="left" w:leader="none"/>
        </w:tabs>
        <w:spacing w:line="249" w:lineRule="auto" w:before="2" w:after="0"/>
        <w:ind w:left="1074" w:right="1272" w:firstLine="340"/>
        <w:jc w:val="both"/>
        <w:rPr>
          <w:sz w:val="20"/>
        </w:rPr>
      </w:pPr>
      <w:r>
        <w:rPr>
          <w:sz w:val="20"/>
        </w:rPr>
        <w:t>Información relativa a la situación del empresario y condiciones mínimas de carácter económico y técnico a las que deberá</w:t>
      </w:r>
      <w:r>
        <w:rPr>
          <w:spacing w:val="-8"/>
          <w:sz w:val="20"/>
        </w:rPr>
        <w:t> </w:t>
      </w:r>
      <w:r>
        <w:rPr>
          <w:sz w:val="20"/>
        </w:rPr>
        <w:t>ajustarse.</w:t>
      </w:r>
    </w:p>
    <w:p>
      <w:pPr>
        <w:pStyle w:val="ListParagraph"/>
        <w:numPr>
          <w:ilvl w:val="0"/>
          <w:numId w:val="490"/>
        </w:numPr>
        <w:tabs>
          <w:tab w:pos="1750" w:val="left" w:leader="none"/>
        </w:tabs>
        <w:spacing w:line="249" w:lineRule="auto" w:before="1" w:after="0"/>
        <w:ind w:left="1074" w:right="1272" w:firstLine="340"/>
        <w:jc w:val="both"/>
        <w:rPr>
          <w:sz w:val="20"/>
        </w:rPr>
      </w:pPr>
      <w:r>
        <w:rPr>
          <w:sz w:val="20"/>
        </w:rPr>
        <w:t>Criterios previstos en el artículo 66 que se utilizarán para la adjudicación del contrato. Excepto en el supuesto en que la oferta económicamente más ventajosa se determine sobre el precio exclusivamente, se mencionarán asimismo los criterios que determinen la oferta económicamente más ventajosa, así como su ponderación, o, en su caso, el orden de importancia de los mismos, cuando no figuren en el pliego de condiciones ni vayan</w:t>
      </w:r>
      <w:r>
        <w:rPr>
          <w:spacing w:val="5"/>
          <w:sz w:val="20"/>
        </w:rPr>
        <w:t> </w:t>
      </w:r>
      <w:r>
        <w:rPr>
          <w:sz w:val="20"/>
        </w:rPr>
        <w:t>a aparecer en la invitación a</w:t>
      </w:r>
      <w:r>
        <w:rPr>
          <w:spacing w:val="-7"/>
          <w:sz w:val="20"/>
        </w:rPr>
        <w:t> </w:t>
      </w:r>
      <w:r>
        <w:rPr>
          <w:sz w:val="20"/>
        </w:rPr>
        <w:t>licitar.</w:t>
      </w:r>
    </w:p>
    <w:p>
      <w:pPr>
        <w:pStyle w:val="ListParagraph"/>
        <w:numPr>
          <w:ilvl w:val="0"/>
          <w:numId w:val="490"/>
        </w:numPr>
        <w:tabs>
          <w:tab w:pos="1814" w:val="left" w:leader="none"/>
        </w:tabs>
        <w:spacing w:line="249" w:lineRule="auto" w:before="5" w:after="0"/>
        <w:ind w:left="1074" w:right="1275" w:firstLine="340"/>
        <w:jc w:val="both"/>
        <w:rPr>
          <w:sz w:val="20"/>
        </w:rPr>
      </w:pPr>
      <w:r>
        <w:rPr>
          <w:sz w:val="20"/>
        </w:rPr>
        <w:t>Si procede, condiciones particulares a las que esté sometida la ejecución del contrato.</w:t>
      </w:r>
    </w:p>
    <w:p>
      <w:pPr>
        <w:pStyle w:val="ListParagraph"/>
        <w:numPr>
          <w:ilvl w:val="0"/>
          <w:numId w:val="490"/>
        </w:numPr>
        <w:tabs>
          <w:tab w:pos="1753" w:val="left" w:leader="none"/>
        </w:tabs>
        <w:spacing w:line="249" w:lineRule="auto" w:before="2" w:after="0"/>
        <w:ind w:left="1074" w:right="1273" w:firstLine="340"/>
        <w:jc w:val="both"/>
        <w:rPr>
          <w:sz w:val="20"/>
        </w:rPr>
      </w:pPr>
      <w:r>
        <w:rPr>
          <w:sz w:val="20"/>
        </w:rPr>
        <w:t>Si procede, fecha(s) y referencia(s) de la publicación en el «Diario Oficial de la Unión Europea» del anuncio periódico indicativo o del anuncio de la publicación de este anuncio en el perfil de comprador al que se refiere el</w:t>
      </w:r>
      <w:r>
        <w:rPr>
          <w:spacing w:val="-8"/>
          <w:sz w:val="20"/>
        </w:rPr>
        <w:t> </w:t>
      </w:r>
      <w:r>
        <w:rPr>
          <w:sz w:val="20"/>
        </w:rPr>
        <w:t>contrato.</w:t>
      </w:r>
    </w:p>
    <w:p>
      <w:pPr>
        <w:pStyle w:val="ListParagraph"/>
        <w:numPr>
          <w:ilvl w:val="0"/>
          <w:numId w:val="490"/>
        </w:numPr>
        <w:tabs>
          <w:tab w:pos="1765" w:val="left" w:leader="none"/>
        </w:tabs>
        <w:spacing w:line="249" w:lineRule="auto" w:before="2" w:after="0"/>
        <w:ind w:left="1074" w:right="1274" w:firstLine="340"/>
        <w:jc w:val="both"/>
        <w:rPr>
          <w:sz w:val="20"/>
        </w:rPr>
      </w:pPr>
      <w:r>
        <w:rPr>
          <w:sz w:val="20"/>
        </w:rPr>
        <w:t>Nombre y dirección del órgano competente para los procedimientos de reclamación y, en su caso, de arbitraje. Indicación del plazo de presentación de reclamaciones, o, en caso necesario, el nombre, la dirección, los números de teléfono y de fax y la dirección electrónica del servicio del que pueda obtenerse dicha</w:t>
      </w:r>
      <w:r>
        <w:rPr>
          <w:spacing w:val="-14"/>
          <w:sz w:val="20"/>
        </w:rPr>
        <w:t> </w:t>
      </w:r>
      <w:r>
        <w:rPr>
          <w:sz w:val="20"/>
        </w:rPr>
        <w:t>información.</w:t>
      </w:r>
    </w:p>
    <w:p>
      <w:pPr>
        <w:pStyle w:val="ListParagraph"/>
        <w:numPr>
          <w:ilvl w:val="0"/>
          <w:numId w:val="490"/>
        </w:numPr>
        <w:tabs>
          <w:tab w:pos="1748" w:val="left" w:leader="none"/>
        </w:tabs>
        <w:spacing w:line="240" w:lineRule="auto" w:before="4" w:after="0"/>
        <w:ind w:left="1747" w:right="0" w:hanging="334"/>
        <w:jc w:val="both"/>
        <w:rPr>
          <w:sz w:val="20"/>
        </w:rPr>
      </w:pPr>
      <w:r>
        <w:rPr>
          <w:sz w:val="20"/>
        </w:rPr>
        <w:t>Fecha de envío del anuncio por la entidad</w:t>
      </w:r>
      <w:r>
        <w:rPr>
          <w:spacing w:val="-10"/>
          <w:sz w:val="20"/>
        </w:rPr>
        <w:t> </w:t>
      </w:r>
      <w:r>
        <w:rPr>
          <w:sz w:val="20"/>
        </w:rPr>
        <w:t>contratante.</w:t>
      </w:r>
    </w:p>
    <w:p>
      <w:pPr>
        <w:pStyle w:val="ListParagraph"/>
        <w:numPr>
          <w:ilvl w:val="0"/>
          <w:numId w:val="490"/>
        </w:numPr>
        <w:tabs>
          <w:tab w:pos="1748" w:val="left" w:leader="none"/>
        </w:tabs>
        <w:spacing w:line="240" w:lineRule="auto" w:before="10" w:after="0"/>
        <w:ind w:left="1747" w:right="0" w:hanging="334"/>
        <w:jc w:val="both"/>
        <w:rPr>
          <w:sz w:val="20"/>
        </w:rPr>
      </w:pPr>
      <w:r>
        <w:rPr>
          <w:sz w:val="20"/>
        </w:rPr>
        <w:t>Si procede, otras</w:t>
      </w:r>
      <w:r>
        <w:rPr>
          <w:spacing w:val="-3"/>
          <w:sz w:val="20"/>
        </w:rPr>
        <w:t> </w:t>
      </w:r>
      <w:r>
        <w:rPr>
          <w:sz w:val="20"/>
        </w:rPr>
        <w:t>informaciones.</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1"/>
          <w:numId w:val="484"/>
        </w:numPr>
        <w:tabs>
          <w:tab w:pos="3351" w:val="left" w:leader="none"/>
        </w:tabs>
        <w:spacing w:line="240" w:lineRule="auto" w:before="127" w:after="0"/>
        <w:ind w:left="3350" w:right="0" w:hanging="257"/>
        <w:jc w:val="left"/>
        <w:rPr>
          <w:sz w:val="20"/>
        </w:rPr>
      </w:pPr>
      <w:r>
        <w:rPr>
          <w:sz w:val="20"/>
        </w:rPr>
        <w:t>Procedimientos de licitación con</w:t>
      </w:r>
      <w:r>
        <w:rPr>
          <w:spacing w:val="-4"/>
          <w:sz w:val="20"/>
        </w:rPr>
        <w:t> </w:t>
      </w:r>
      <w:r>
        <w:rPr>
          <w:sz w:val="20"/>
        </w:rPr>
        <w:t>negociación</w:t>
      </w:r>
    </w:p>
    <w:p>
      <w:pPr>
        <w:pStyle w:val="ListParagraph"/>
        <w:numPr>
          <w:ilvl w:val="0"/>
          <w:numId w:val="494"/>
        </w:numPr>
        <w:tabs>
          <w:tab w:pos="1708" w:val="left" w:leader="none"/>
        </w:tabs>
        <w:spacing w:line="249" w:lineRule="auto" w:before="130"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94"/>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94"/>
        </w:numPr>
        <w:tabs>
          <w:tab w:pos="1642" w:val="left" w:leader="none"/>
        </w:tabs>
        <w:spacing w:line="249" w:lineRule="auto" w:before="10" w:after="0"/>
        <w:ind w:left="1074" w:right="1272" w:firstLine="340"/>
        <w:jc w:val="both"/>
        <w:rPr>
          <w:sz w:val="20"/>
        </w:rPr>
      </w:pPr>
      <w:r>
        <w:rPr>
          <w:sz w:val="20"/>
        </w:rPr>
        <w:t>Si procede, indicación de si el contrato está reservado para talleres protegidos, o si su ejecución está reservada para programas de empleo</w:t>
      </w:r>
      <w:r>
        <w:rPr>
          <w:spacing w:val="-11"/>
          <w:sz w:val="20"/>
        </w:rPr>
        <w:t> </w:t>
      </w:r>
      <w:r>
        <w:rPr>
          <w:sz w:val="20"/>
        </w:rPr>
        <w:t>protegidos.</w:t>
      </w:r>
    </w:p>
    <w:p>
      <w:pPr>
        <w:pStyle w:val="ListParagraph"/>
        <w:numPr>
          <w:ilvl w:val="0"/>
          <w:numId w:val="494"/>
        </w:numPr>
        <w:tabs>
          <w:tab w:pos="1669" w:val="left" w:leader="none"/>
        </w:tabs>
        <w:spacing w:line="249" w:lineRule="auto" w:before="2" w:after="0"/>
        <w:ind w:left="1074" w:right="1273" w:firstLine="340"/>
        <w:jc w:val="both"/>
        <w:rPr>
          <w:sz w:val="20"/>
        </w:rPr>
      </w:pPr>
      <w:r>
        <w:rPr>
          <w:sz w:val="20"/>
        </w:rPr>
        <w:t>Naturaleza del contrato (suministro, obras o servicios; indíquese, en su caso, si se trata de un acuerdo marco); descripción (códigos CPV). Deberá indicarse, cuando corresponda, si la oferta se refiere a compra, arrendamiento financiero, alquiler, o compra a plazos, o a una combinación de los</w:t>
      </w:r>
      <w:r>
        <w:rPr>
          <w:spacing w:val="-7"/>
          <w:sz w:val="20"/>
        </w:rPr>
        <w:t> </w:t>
      </w:r>
      <w:r>
        <w:rPr>
          <w:sz w:val="20"/>
        </w:rPr>
        <w:t>mismos.</w:t>
      </w:r>
    </w:p>
    <w:p>
      <w:pPr>
        <w:pStyle w:val="ListParagraph"/>
        <w:numPr>
          <w:ilvl w:val="0"/>
          <w:numId w:val="494"/>
        </w:numPr>
        <w:tabs>
          <w:tab w:pos="1639" w:val="left" w:leader="none"/>
        </w:tabs>
        <w:spacing w:line="249" w:lineRule="auto" w:before="3" w:after="0"/>
        <w:ind w:left="1074" w:right="1275" w:firstLine="340"/>
        <w:jc w:val="both"/>
        <w:rPr>
          <w:sz w:val="20"/>
        </w:rPr>
      </w:pPr>
      <w:r>
        <w:rPr>
          <w:sz w:val="20"/>
        </w:rPr>
        <w:t>Código NUTS del emplazamiento principal de las obras, en el caso de los contratos de obras, o código NUTS del lugar principal de entrega o de ejecución, en los contratos de suministro y de</w:t>
      </w:r>
      <w:r>
        <w:rPr>
          <w:spacing w:val="-2"/>
          <w:sz w:val="20"/>
        </w:rPr>
        <w:t> </w:t>
      </w:r>
      <w:r>
        <w:rPr>
          <w:sz w:val="20"/>
        </w:rPr>
        <w:t>servicios.</w:t>
      </w:r>
    </w:p>
    <w:p>
      <w:pPr>
        <w:pStyle w:val="ListParagraph"/>
        <w:numPr>
          <w:ilvl w:val="0"/>
          <w:numId w:val="494"/>
        </w:numPr>
        <w:tabs>
          <w:tab w:pos="1637" w:val="left" w:leader="none"/>
        </w:tabs>
        <w:spacing w:line="240" w:lineRule="auto" w:before="2" w:after="0"/>
        <w:ind w:left="1636" w:right="0" w:hanging="223"/>
        <w:jc w:val="both"/>
        <w:rPr>
          <w:sz w:val="20"/>
        </w:rPr>
      </w:pPr>
      <w:r>
        <w:rPr>
          <w:sz w:val="20"/>
        </w:rPr>
        <w:t>Para suministros y</w:t>
      </w:r>
      <w:r>
        <w:rPr>
          <w:spacing w:val="-1"/>
          <w:sz w:val="20"/>
        </w:rPr>
        <w:t> </w:t>
      </w:r>
      <w:r>
        <w:rPr>
          <w:sz w:val="20"/>
        </w:rPr>
        <w:t>obras:</w:t>
      </w:r>
    </w:p>
    <w:p>
      <w:pPr>
        <w:pStyle w:val="ListParagraph"/>
        <w:numPr>
          <w:ilvl w:val="0"/>
          <w:numId w:val="495"/>
        </w:numPr>
        <w:tabs>
          <w:tab w:pos="1671" w:val="left" w:leader="none"/>
        </w:tabs>
        <w:spacing w:line="249" w:lineRule="auto" w:before="131" w:after="0"/>
        <w:ind w:left="1074" w:right="1272" w:firstLine="340"/>
        <w:jc w:val="both"/>
        <w:rPr>
          <w:sz w:val="20"/>
        </w:rPr>
      </w:pPr>
      <w:r>
        <w:rPr>
          <w:sz w:val="20"/>
        </w:rPr>
        <w:t>Características y cantidad de los productos solicitados (códigos CPV). Indicación de las opciones para contrataciones complementarias y, cuando sea posible, del plazo estimado previsto para ejercer dichas opciones, así como el número de prórrogas posibles. En el caso de una serie de contratos renovables también se precisará, de ser posible, el calendario provisional de las convocatorias de licitación posteriores para los productos que se vayan a contratar o la naturaleza y el alcance de las prestaciones, y las características generales de la obra (códigos</w:t>
      </w:r>
      <w:r>
        <w:rPr>
          <w:spacing w:val="-3"/>
          <w:sz w:val="20"/>
        </w:rPr>
        <w:t> </w:t>
      </w:r>
      <w:r>
        <w:rPr>
          <w:sz w:val="20"/>
        </w:rPr>
        <w:t>CPV).</w:t>
      </w:r>
    </w:p>
    <w:p>
      <w:pPr>
        <w:pStyle w:val="ListParagraph"/>
        <w:numPr>
          <w:ilvl w:val="0"/>
          <w:numId w:val="495"/>
        </w:numPr>
        <w:tabs>
          <w:tab w:pos="1653" w:val="left" w:leader="none"/>
        </w:tabs>
        <w:spacing w:line="249" w:lineRule="auto" w:before="5" w:after="0"/>
        <w:ind w:left="1074" w:right="1272" w:firstLine="340"/>
        <w:jc w:val="both"/>
        <w:rPr>
          <w:sz w:val="20"/>
        </w:rPr>
      </w:pPr>
      <w:r>
        <w:rPr>
          <w:sz w:val="20"/>
        </w:rPr>
        <w:t>Indicación de si los proveedores pueden licitar por parte de los productos solicitados o por su</w:t>
      </w:r>
      <w:r>
        <w:rPr>
          <w:spacing w:val="-2"/>
          <w:sz w:val="20"/>
        </w:rPr>
        <w:t> </w:t>
      </w:r>
      <w:r>
        <w:rPr>
          <w:sz w:val="20"/>
        </w:rPr>
        <w:t>totalidad.</w:t>
      </w:r>
    </w:p>
    <w:p>
      <w:pPr>
        <w:pStyle w:val="BodyText"/>
        <w:spacing w:line="249" w:lineRule="auto"/>
        <w:ind w:right="1274"/>
      </w:pPr>
      <w:r>
        <w:rPr/>
        <w:t>En caso de que, para los contratos de obras, la obra o el contrato esté dividido en varios lotes, magnitud de los distintos lotes y posibilidad de licitar por uno, varios o todos ellos.</w:t>
      </w:r>
    </w:p>
    <w:p>
      <w:pPr>
        <w:pStyle w:val="ListParagraph"/>
        <w:numPr>
          <w:ilvl w:val="0"/>
          <w:numId w:val="495"/>
        </w:numPr>
        <w:tabs>
          <w:tab w:pos="1655" w:val="left" w:leader="none"/>
        </w:tabs>
        <w:spacing w:line="249" w:lineRule="auto" w:before="2" w:after="0"/>
        <w:ind w:left="1074" w:right="1275" w:firstLine="340"/>
        <w:jc w:val="both"/>
        <w:rPr>
          <w:sz w:val="20"/>
        </w:rPr>
      </w:pPr>
      <w:r>
        <w:rPr>
          <w:sz w:val="20"/>
        </w:rPr>
        <w:t>Para los contratos de obras: indicaciones sobre el objetivo de la obra o del contrato, cuando en este último se incluya también la elaboración de</w:t>
      </w:r>
      <w:r>
        <w:rPr>
          <w:spacing w:val="-15"/>
          <w:sz w:val="20"/>
        </w:rPr>
        <w:t> </w:t>
      </w:r>
      <w:r>
        <w:rPr>
          <w:sz w:val="20"/>
        </w:rPr>
        <w:t>proyectos.</w:t>
      </w:r>
    </w:p>
    <w:p>
      <w:pPr>
        <w:pStyle w:val="ListParagraph"/>
        <w:numPr>
          <w:ilvl w:val="0"/>
          <w:numId w:val="494"/>
        </w:numPr>
        <w:tabs>
          <w:tab w:pos="1637" w:val="left" w:leader="none"/>
        </w:tabs>
        <w:spacing w:line="240" w:lineRule="auto" w:before="121" w:after="0"/>
        <w:ind w:left="1636" w:right="0" w:hanging="223"/>
        <w:jc w:val="both"/>
        <w:rPr>
          <w:sz w:val="20"/>
        </w:rPr>
      </w:pPr>
      <w:r>
        <w:rPr>
          <w:sz w:val="20"/>
        </w:rPr>
        <w:t>Para servicios:</w:t>
      </w:r>
    </w:p>
    <w:p>
      <w:pPr>
        <w:pStyle w:val="ListParagraph"/>
        <w:numPr>
          <w:ilvl w:val="0"/>
          <w:numId w:val="496"/>
        </w:numPr>
        <w:tabs>
          <w:tab w:pos="1654" w:val="left" w:leader="none"/>
        </w:tabs>
        <w:spacing w:line="249" w:lineRule="auto" w:before="130" w:after="0"/>
        <w:ind w:left="1074" w:right="1273" w:firstLine="340"/>
        <w:jc w:val="both"/>
        <w:rPr>
          <w:sz w:val="20"/>
        </w:rPr>
      </w:pPr>
      <w:r>
        <w:rPr>
          <w:sz w:val="20"/>
        </w:rPr>
        <w:t>Características y cantidad de los servicios solicitados. Indicación de las opciones para contrataciones complementarias y, cuando sea posible, del plazo estimado previsto para ejercer dichas opciones, así como el número de prórrogas posibles. En el caso de una serie de contratos renovables también se precisará, de ser posible, el calendario provisional de las convocatorias de licitación posteriores para los servicios que se vayan a</w:t>
      </w:r>
      <w:r>
        <w:rPr>
          <w:spacing w:val="-19"/>
          <w:sz w:val="20"/>
        </w:rPr>
        <w:t> </w:t>
      </w:r>
      <w:r>
        <w:rPr>
          <w:sz w:val="20"/>
        </w:rPr>
        <w:t>prestar.</w:t>
      </w:r>
    </w:p>
    <w:p>
      <w:pPr>
        <w:pStyle w:val="ListParagraph"/>
        <w:numPr>
          <w:ilvl w:val="0"/>
          <w:numId w:val="496"/>
        </w:numPr>
        <w:tabs>
          <w:tab w:pos="1774" w:val="left" w:leader="none"/>
        </w:tabs>
        <w:spacing w:line="249" w:lineRule="auto" w:before="4" w:after="0"/>
        <w:ind w:left="1074" w:right="1273" w:firstLine="340"/>
        <w:jc w:val="both"/>
        <w:rPr>
          <w:sz w:val="20"/>
        </w:rPr>
      </w:pPr>
      <w:r>
        <w:rPr>
          <w:sz w:val="20"/>
        </w:rPr>
        <w:t>Posibilidad de que, con arreglo a disposiciones legales, reglamentarias y administrativas, se reserve la ejecución del servicio a una determinada</w:t>
      </w:r>
      <w:r>
        <w:rPr>
          <w:spacing w:val="-23"/>
          <w:sz w:val="20"/>
        </w:rPr>
        <w:t> </w:t>
      </w:r>
      <w:r>
        <w:rPr>
          <w:sz w:val="20"/>
        </w:rPr>
        <w:t>profesión.</w:t>
      </w:r>
    </w:p>
    <w:p>
      <w:pPr>
        <w:pStyle w:val="ListParagraph"/>
        <w:numPr>
          <w:ilvl w:val="0"/>
          <w:numId w:val="496"/>
        </w:numPr>
        <w:tabs>
          <w:tab w:pos="1637" w:val="left" w:leader="none"/>
        </w:tabs>
        <w:spacing w:line="240" w:lineRule="auto" w:before="2" w:after="0"/>
        <w:ind w:left="1636" w:right="0" w:hanging="223"/>
        <w:jc w:val="both"/>
        <w:rPr>
          <w:sz w:val="20"/>
        </w:rPr>
      </w:pPr>
      <w:r>
        <w:rPr>
          <w:sz w:val="20"/>
        </w:rPr>
        <w:t>Referencia a dicha norma legal, reglamentaria o</w:t>
      </w:r>
      <w:r>
        <w:rPr>
          <w:spacing w:val="-10"/>
          <w:sz w:val="20"/>
        </w:rPr>
        <w:t> </w:t>
      </w:r>
      <w:r>
        <w:rPr>
          <w:sz w:val="20"/>
        </w:rPr>
        <w:t>administrativa.</w:t>
      </w:r>
    </w:p>
    <w:p>
      <w:pPr>
        <w:pStyle w:val="ListParagraph"/>
        <w:numPr>
          <w:ilvl w:val="0"/>
          <w:numId w:val="496"/>
        </w:numPr>
        <w:tabs>
          <w:tab w:pos="1654" w:val="left" w:leader="none"/>
        </w:tabs>
        <w:spacing w:line="249" w:lineRule="auto" w:before="10" w:after="0"/>
        <w:ind w:left="1074" w:right="1273" w:firstLine="340"/>
        <w:jc w:val="both"/>
        <w:rPr>
          <w:sz w:val="20"/>
        </w:rPr>
      </w:pPr>
      <w:r>
        <w:rPr>
          <w:sz w:val="20"/>
        </w:rPr>
        <w:t>Indicación de si las personas jurídicas deben mencionar los nombres y la cualificación profesional del personal responsable de la ejecución del</w:t>
      </w:r>
      <w:r>
        <w:rPr>
          <w:spacing w:val="-12"/>
          <w:sz w:val="20"/>
        </w:rPr>
        <w:t> </w:t>
      </w:r>
      <w:r>
        <w:rPr>
          <w:sz w:val="20"/>
        </w:rPr>
        <w:t>servicio.</w:t>
      </w:r>
    </w:p>
    <w:p>
      <w:pPr>
        <w:pStyle w:val="ListParagraph"/>
        <w:numPr>
          <w:ilvl w:val="0"/>
          <w:numId w:val="496"/>
        </w:numPr>
        <w:tabs>
          <w:tab w:pos="1699" w:val="left" w:leader="none"/>
        </w:tabs>
        <w:spacing w:line="249" w:lineRule="auto" w:before="2" w:after="0"/>
        <w:ind w:left="1074" w:right="1273" w:firstLine="340"/>
        <w:jc w:val="both"/>
        <w:rPr>
          <w:sz w:val="20"/>
        </w:rPr>
      </w:pPr>
      <w:r>
        <w:rPr>
          <w:sz w:val="20"/>
        </w:rPr>
        <w:t>Indicación de si los prestadores de servicios pueden licitar por una parte de los servicios.</w:t>
      </w:r>
    </w:p>
    <w:p>
      <w:pPr>
        <w:pStyle w:val="ListParagraph"/>
        <w:numPr>
          <w:ilvl w:val="0"/>
          <w:numId w:val="494"/>
        </w:numPr>
        <w:tabs>
          <w:tab w:pos="1637" w:val="left" w:leader="none"/>
        </w:tabs>
        <w:spacing w:line="240" w:lineRule="auto" w:before="121" w:after="0"/>
        <w:ind w:left="1636" w:right="0" w:hanging="223"/>
        <w:jc w:val="left"/>
        <w:rPr>
          <w:sz w:val="20"/>
        </w:rPr>
      </w:pPr>
      <w:r>
        <w:rPr>
          <w:sz w:val="20"/>
        </w:rPr>
        <w:t>Si se sabe, indicación de si está autorizada o no la presentación de</w:t>
      </w:r>
      <w:r>
        <w:rPr>
          <w:spacing w:val="-18"/>
          <w:sz w:val="20"/>
        </w:rPr>
        <w:t> </w:t>
      </w:r>
      <w:r>
        <w:rPr>
          <w:sz w:val="20"/>
        </w:rPr>
        <w:t>variantes.</w:t>
      </w:r>
    </w:p>
    <w:p>
      <w:pPr>
        <w:pStyle w:val="ListParagraph"/>
        <w:numPr>
          <w:ilvl w:val="0"/>
          <w:numId w:val="494"/>
        </w:numPr>
        <w:tabs>
          <w:tab w:pos="1648" w:val="left" w:leader="none"/>
        </w:tabs>
        <w:spacing w:line="249" w:lineRule="auto" w:before="10" w:after="0"/>
        <w:ind w:left="1074" w:right="1275" w:firstLine="340"/>
        <w:jc w:val="left"/>
        <w:rPr>
          <w:sz w:val="20"/>
        </w:rPr>
      </w:pPr>
      <w:r>
        <w:rPr>
          <w:sz w:val="20"/>
        </w:rPr>
        <w:t>Plazo de entrega o ejecución o duración del contrato y, en la medida de lo posible, la fecha de</w:t>
      </w:r>
      <w:r>
        <w:rPr>
          <w:spacing w:val="-2"/>
          <w:sz w:val="20"/>
        </w:rPr>
        <w:t> </w:t>
      </w:r>
      <w:r>
        <w:rPr>
          <w:sz w:val="20"/>
        </w:rPr>
        <w:t>inicio.</w:t>
      </w:r>
    </w:p>
    <w:p>
      <w:pPr>
        <w:pStyle w:val="ListParagraph"/>
        <w:numPr>
          <w:ilvl w:val="0"/>
          <w:numId w:val="494"/>
        </w:numPr>
        <w:tabs>
          <w:tab w:pos="1815" w:val="left" w:leader="none"/>
        </w:tabs>
        <w:spacing w:line="249" w:lineRule="auto" w:before="2" w:after="0"/>
        <w:ind w:left="1074" w:right="1274" w:firstLine="340"/>
        <w:jc w:val="left"/>
        <w:rPr>
          <w:sz w:val="20"/>
        </w:rPr>
      </w:pPr>
      <w:r>
        <w:rPr>
          <w:sz w:val="20"/>
        </w:rPr>
        <w:t>En su caso, forma jurídica que deberá adoptar la agrupación de empresarios adjudicataria del</w:t>
      </w:r>
      <w:r>
        <w:rPr>
          <w:spacing w:val="-3"/>
          <w:sz w:val="20"/>
        </w:rPr>
        <w:t> </w:t>
      </w:r>
      <w:r>
        <w:rPr>
          <w:sz w:val="20"/>
        </w:rPr>
        <w:t>contrato.</w:t>
      </w:r>
    </w:p>
    <w:p>
      <w:pPr>
        <w:pStyle w:val="BodyText"/>
        <w:ind w:left="1414" w:firstLine="0"/>
        <w:jc w:val="left"/>
      </w:pPr>
      <w:r>
        <w:rPr/>
        <w:t>11.a) Fecha límite de recepción de las solicitudes de participación.</w:t>
      </w:r>
    </w:p>
    <w:p>
      <w:pPr>
        <w:pStyle w:val="ListParagraph"/>
        <w:numPr>
          <w:ilvl w:val="0"/>
          <w:numId w:val="497"/>
        </w:numPr>
        <w:tabs>
          <w:tab w:pos="1648" w:val="left" w:leader="none"/>
        </w:tabs>
        <w:spacing w:line="240" w:lineRule="auto" w:before="10" w:after="0"/>
        <w:ind w:left="1647" w:right="0" w:hanging="234"/>
        <w:jc w:val="left"/>
        <w:rPr>
          <w:sz w:val="20"/>
        </w:rPr>
      </w:pPr>
      <w:r>
        <w:rPr>
          <w:sz w:val="20"/>
        </w:rPr>
        <w:t>Dirección a la que deben</w:t>
      </w:r>
      <w:r>
        <w:rPr>
          <w:spacing w:val="-6"/>
          <w:sz w:val="20"/>
        </w:rPr>
        <w:t> </w:t>
      </w:r>
      <w:r>
        <w:rPr>
          <w:sz w:val="20"/>
        </w:rPr>
        <w:t>transmitirse.</w:t>
      </w:r>
    </w:p>
    <w:p>
      <w:pPr>
        <w:pStyle w:val="ListParagraph"/>
        <w:numPr>
          <w:ilvl w:val="0"/>
          <w:numId w:val="497"/>
        </w:numPr>
        <w:tabs>
          <w:tab w:pos="1637" w:val="left" w:leader="none"/>
        </w:tabs>
        <w:spacing w:line="240" w:lineRule="auto" w:before="10" w:after="0"/>
        <w:ind w:left="1636" w:right="0" w:hanging="223"/>
        <w:jc w:val="left"/>
        <w:rPr>
          <w:sz w:val="20"/>
        </w:rPr>
      </w:pPr>
      <w:r>
        <w:rPr>
          <w:sz w:val="20"/>
        </w:rPr>
        <w:t>Lengua o lenguas en que deben</w:t>
      </w:r>
      <w:r>
        <w:rPr>
          <w:spacing w:val="-8"/>
          <w:sz w:val="20"/>
        </w:rPr>
        <w:t> </w:t>
      </w:r>
      <w:r>
        <w:rPr>
          <w:sz w:val="20"/>
        </w:rPr>
        <w:t>redactarse.</w:t>
      </w:r>
    </w:p>
    <w:p>
      <w:pPr>
        <w:pStyle w:val="ListParagraph"/>
        <w:numPr>
          <w:ilvl w:val="0"/>
          <w:numId w:val="498"/>
        </w:numPr>
        <w:tabs>
          <w:tab w:pos="1748" w:val="left" w:leader="none"/>
        </w:tabs>
        <w:spacing w:line="240" w:lineRule="auto" w:before="10" w:after="0"/>
        <w:ind w:left="1747" w:right="0" w:hanging="334"/>
        <w:jc w:val="left"/>
        <w:rPr>
          <w:sz w:val="20"/>
        </w:rPr>
      </w:pPr>
      <w:r>
        <w:rPr>
          <w:sz w:val="20"/>
        </w:rPr>
        <w:t>En su caso, depósitos y garantías</w:t>
      </w:r>
      <w:r>
        <w:rPr>
          <w:spacing w:val="-4"/>
          <w:sz w:val="20"/>
        </w:rPr>
        <w:t> </w:t>
      </w:r>
      <w:r>
        <w:rPr>
          <w:sz w:val="20"/>
        </w:rPr>
        <w:t>exigidos.</w:t>
      </w:r>
    </w:p>
    <w:p>
      <w:pPr>
        <w:pStyle w:val="ListParagraph"/>
        <w:numPr>
          <w:ilvl w:val="0"/>
          <w:numId w:val="498"/>
        </w:numPr>
        <w:tabs>
          <w:tab w:pos="1787" w:val="left" w:leader="none"/>
        </w:tabs>
        <w:spacing w:line="249" w:lineRule="auto" w:before="10" w:after="0"/>
        <w:ind w:left="1074" w:right="1273" w:firstLine="340"/>
        <w:jc w:val="left"/>
        <w:rPr>
          <w:sz w:val="20"/>
        </w:rPr>
      </w:pPr>
      <w:r>
        <w:rPr>
          <w:sz w:val="20"/>
        </w:rPr>
        <w:t>Modalidades básicas de financiación y de pago o referencias a las disposiciones pertinentes.</w:t>
      </w:r>
    </w:p>
    <w:p>
      <w:pPr>
        <w:pStyle w:val="ListParagraph"/>
        <w:numPr>
          <w:ilvl w:val="0"/>
          <w:numId w:val="498"/>
        </w:numPr>
        <w:tabs>
          <w:tab w:pos="1755" w:val="left" w:leader="none"/>
        </w:tabs>
        <w:spacing w:line="249" w:lineRule="auto" w:before="1" w:after="0"/>
        <w:ind w:left="1074" w:right="1273" w:firstLine="340"/>
        <w:jc w:val="left"/>
        <w:rPr>
          <w:sz w:val="20"/>
        </w:rPr>
      </w:pPr>
      <w:r>
        <w:rPr>
          <w:sz w:val="20"/>
        </w:rPr>
        <w:t>Información relativa a la situación del operador económico y condiciones mínimas de carácter económico y técnico a las que deberá</w:t>
      </w:r>
      <w:r>
        <w:rPr>
          <w:spacing w:val="-9"/>
          <w:sz w:val="20"/>
        </w:rPr>
        <w:t> </w:t>
      </w:r>
      <w:r>
        <w:rPr>
          <w:sz w:val="20"/>
        </w:rPr>
        <w:t>ajustarse.</w:t>
      </w:r>
    </w:p>
    <w:p>
      <w:pPr>
        <w:spacing w:after="0" w:line="249"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498"/>
        </w:numPr>
        <w:tabs>
          <w:tab w:pos="1750" w:val="left" w:leader="none"/>
        </w:tabs>
        <w:spacing w:line="249" w:lineRule="auto" w:before="127" w:after="0"/>
        <w:ind w:left="1074" w:right="1272" w:firstLine="340"/>
        <w:jc w:val="both"/>
        <w:rPr>
          <w:sz w:val="20"/>
        </w:rPr>
      </w:pPr>
      <w:r>
        <w:rPr>
          <w:sz w:val="20"/>
        </w:rPr>
        <w:t>Criterios previstos en el artículo 66 que se utilizarán para la adjudicación del contrato. Excepto en el supuesto en que la oferta económicamente más ventajosa se determine sobre el precio exclusivamente, se mencionarán asimismo los criterios que determinen la oferta económicamente más ventajosa, así como su ponderación, o, en su caso, el orden de importancia de los mismos, cuando no figuren en el pliego de condiciones ni vayan</w:t>
      </w:r>
      <w:r>
        <w:rPr>
          <w:spacing w:val="5"/>
          <w:sz w:val="20"/>
        </w:rPr>
        <w:t> </w:t>
      </w:r>
      <w:r>
        <w:rPr>
          <w:sz w:val="20"/>
        </w:rPr>
        <w:t>a aparecer en la invitación a</w:t>
      </w:r>
      <w:r>
        <w:rPr>
          <w:spacing w:val="-7"/>
          <w:sz w:val="20"/>
        </w:rPr>
        <w:t> </w:t>
      </w:r>
      <w:r>
        <w:rPr>
          <w:sz w:val="20"/>
        </w:rPr>
        <w:t>negociar.</w:t>
      </w:r>
    </w:p>
    <w:p>
      <w:pPr>
        <w:pStyle w:val="ListParagraph"/>
        <w:numPr>
          <w:ilvl w:val="0"/>
          <w:numId w:val="498"/>
        </w:numPr>
        <w:tabs>
          <w:tab w:pos="1802" w:val="left" w:leader="none"/>
        </w:tabs>
        <w:spacing w:line="249" w:lineRule="auto" w:before="5" w:after="0"/>
        <w:ind w:left="1074" w:right="1276" w:firstLine="340"/>
        <w:jc w:val="both"/>
        <w:rPr>
          <w:sz w:val="20"/>
        </w:rPr>
      </w:pPr>
      <w:r>
        <w:rPr>
          <w:sz w:val="20"/>
        </w:rPr>
        <w:t>Si procede, nombres y direcciones de los empresarios ya seleccionados por la entidad</w:t>
      </w:r>
      <w:r>
        <w:rPr>
          <w:spacing w:val="-2"/>
          <w:sz w:val="20"/>
        </w:rPr>
        <w:t> </w:t>
      </w:r>
      <w:r>
        <w:rPr>
          <w:sz w:val="20"/>
        </w:rPr>
        <w:t>contratante.</w:t>
      </w:r>
    </w:p>
    <w:p>
      <w:pPr>
        <w:pStyle w:val="ListParagraph"/>
        <w:numPr>
          <w:ilvl w:val="0"/>
          <w:numId w:val="498"/>
        </w:numPr>
        <w:tabs>
          <w:tab w:pos="1814" w:val="left" w:leader="none"/>
        </w:tabs>
        <w:spacing w:line="249" w:lineRule="auto" w:before="1" w:after="0"/>
        <w:ind w:left="1074" w:right="1275" w:firstLine="340"/>
        <w:jc w:val="both"/>
        <w:rPr>
          <w:sz w:val="20"/>
        </w:rPr>
      </w:pPr>
      <w:r>
        <w:rPr>
          <w:sz w:val="20"/>
        </w:rPr>
        <w:t>Si procede, condiciones particulares a las que está sometida la ejecución del contrato.</w:t>
      </w:r>
    </w:p>
    <w:p>
      <w:pPr>
        <w:pStyle w:val="ListParagraph"/>
        <w:numPr>
          <w:ilvl w:val="0"/>
          <w:numId w:val="498"/>
        </w:numPr>
        <w:tabs>
          <w:tab w:pos="1753" w:val="left" w:leader="none"/>
        </w:tabs>
        <w:spacing w:line="249" w:lineRule="auto" w:before="2" w:after="0"/>
        <w:ind w:left="1074" w:right="1273" w:firstLine="340"/>
        <w:jc w:val="both"/>
        <w:rPr>
          <w:sz w:val="20"/>
        </w:rPr>
      </w:pPr>
      <w:r>
        <w:rPr>
          <w:sz w:val="20"/>
        </w:rPr>
        <w:t>Si procede, fecha(s) y referencia(s) de la publicación en el «Diario Oficial de la Unión Europea» del anuncio periódico indicativo o del anuncio de la publicación de este anuncio en el perfil de contratante al que se refiere el</w:t>
      </w:r>
      <w:r>
        <w:rPr>
          <w:spacing w:val="-8"/>
          <w:sz w:val="20"/>
        </w:rPr>
        <w:t> </w:t>
      </w:r>
      <w:r>
        <w:rPr>
          <w:sz w:val="20"/>
        </w:rPr>
        <w:t>contrato.</w:t>
      </w:r>
    </w:p>
    <w:p>
      <w:pPr>
        <w:pStyle w:val="ListParagraph"/>
        <w:numPr>
          <w:ilvl w:val="0"/>
          <w:numId w:val="498"/>
        </w:numPr>
        <w:tabs>
          <w:tab w:pos="1765" w:val="left" w:leader="none"/>
        </w:tabs>
        <w:spacing w:line="249" w:lineRule="auto" w:before="2" w:after="0"/>
        <w:ind w:left="1074" w:right="1272" w:firstLine="340"/>
        <w:jc w:val="both"/>
        <w:rPr>
          <w:sz w:val="20"/>
        </w:rPr>
      </w:pPr>
      <w:r>
        <w:rPr>
          <w:sz w:val="20"/>
        </w:rPr>
        <w:t>Nombre y dirección del órgano competente para los procedimientos de reclamación y, en su caso, de arbitraje. Indicación del plazo de presentación de reclamaciones, o, en caso necesario, el nombre, la dirección, los números de teléfono y de fax y la dirección electrónica del servicio del que pueda obtenerse dicha</w:t>
      </w:r>
      <w:r>
        <w:rPr>
          <w:spacing w:val="-14"/>
          <w:sz w:val="20"/>
        </w:rPr>
        <w:t> </w:t>
      </w:r>
      <w:r>
        <w:rPr>
          <w:sz w:val="20"/>
        </w:rPr>
        <w:t>información.</w:t>
      </w:r>
    </w:p>
    <w:p>
      <w:pPr>
        <w:pStyle w:val="ListParagraph"/>
        <w:numPr>
          <w:ilvl w:val="0"/>
          <w:numId w:val="498"/>
        </w:numPr>
        <w:tabs>
          <w:tab w:pos="1748" w:val="left" w:leader="none"/>
        </w:tabs>
        <w:spacing w:line="240" w:lineRule="auto" w:before="4" w:after="0"/>
        <w:ind w:left="1747" w:right="0" w:hanging="334"/>
        <w:jc w:val="both"/>
        <w:rPr>
          <w:sz w:val="20"/>
        </w:rPr>
      </w:pPr>
      <w:r>
        <w:rPr>
          <w:sz w:val="20"/>
        </w:rPr>
        <w:t>Fecha de envío del anuncio por la entidad</w:t>
      </w:r>
      <w:r>
        <w:rPr>
          <w:spacing w:val="-10"/>
          <w:sz w:val="20"/>
        </w:rPr>
        <w:t> </w:t>
      </w:r>
      <w:r>
        <w:rPr>
          <w:sz w:val="20"/>
        </w:rPr>
        <w:t>contratante.</w:t>
      </w:r>
    </w:p>
    <w:p>
      <w:pPr>
        <w:pStyle w:val="ListParagraph"/>
        <w:numPr>
          <w:ilvl w:val="0"/>
          <w:numId w:val="498"/>
        </w:numPr>
        <w:tabs>
          <w:tab w:pos="1748" w:val="left" w:leader="none"/>
        </w:tabs>
        <w:spacing w:line="240" w:lineRule="auto" w:before="10" w:after="0"/>
        <w:ind w:left="1747" w:right="0" w:hanging="334"/>
        <w:jc w:val="both"/>
        <w:rPr>
          <w:sz w:val="20"/>
        </w:rPr>
      </w:pPr>
      <w:r>
        <w:rPr>
          <w:sz w:val="20"/>
        </w:rPr>
        <w:t>Si procede, otras</w:t>
      </w:r>
      <w:r>
        <w:rPr>
          <w:spacing w:val="-3"/>
          <w:sz w:val="20"/>
        </w:rPr>
        <w:t> </w:t>
      </w:r>
      <w:r>
        <w:rPr>
          <w:sz w:val="20"/>
        </w:rPr>
        <w:t>informaciones.</w:t>
      </w:r>
    </w:p>
    <w:p>
      <w:pPr>
        <w:pStyle w:val="BodyText"/>
        <w:spacing w:before="0"/>
        <w:ind w:left="0" w:firstLine="0"/>
        <w:jc w:val="left"/>
        <w:rPr>
          <w:sz w:val="21"/>
        </w:rPr>
      </w:pPr>
    </w:p>
    <w:p>
      <w:pPr>
        <w:pStyle w:val="Heading2"/>
        <w:spacing w:before="1"/>
        <w:ind w:right="1612"/>
        <w:rPr>
          <w:i/>
        </w:rPr>
      </w:pPr>
      <w:r>
        <w:rPr>
          <w:i/>
        </w:rPr>
        <w:t>Sección 2. Anuncios de licitación sobre contratos de servicios del anexo I</w:t>
      </w:r>
    </w:p>
    <w:p>
      <w:pPr>
        <w:pStyle w:val="ListParagraph"/>
        <w:numPr>
          <w:ilvl w:val="0"/>
          <w:numId w:val="499"/>
        </w:numPr>
        <w:tabs>
          <w:tab w:pos="1708" w:val="left" w:leader="none"/>
        </w:tabs>
        <w:spacing w:line="249" w:lineRule="auto" w:before="124"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499"/>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499"/>
        </w:numPr>
        <w:tabs>
          <w:tab w:pos="1677" w:val="left" w:leader="none"/>
        </w:tabs>
        <w:spacing w:line="249" w:lineRule="auto" w:before="10" w:after="0"/>
        <w:ind w:left="1074" w:right="1272" w:firstLine="340"/>
        <w:jc w:val="both"/>
        <w:rPr>
          <w:sz w:val="20"/>
        </w:rPr>
      </w:pPr>
      <w:r>
        <w:rPr>
          <w:sz w:val="20"/>
        </w:rPr>
        <w:t>Descripción de los servicios o categorías de servicios y, cuando proceda, obras y suministros conexos que deban contratarse, incluida una indicación de las cantidades o valores de que se trate, códigos</w:t>
      </w:r>
      <w:r>
        <w:rPr>
          <w:spacing w:val="-3"/>
          <w:sz w:val="20"/>
        </w:rPr>
        <w:t> </w:t>
      </w:r>
      <w:r>
        <w:rPr>
          <w:sz w:val="20"/>
        </w:rPr>
        <w:t>CPV.</w:t>
      </w:r>
    </w:p>
    <w:p>
      <w:pPr>
        <w:pStyle w:val="ListParagraph"/>
        <w:numPr>
          <w:ilvl w:val="0"/>
          <w:numId w:val="499"/>
        </w:numPr>
        <w:tabs>
          <w:tab w:pos="1637" w:val="left" w:leader="none"/>
        </w:tabs>
        <w:spacing w:line="240" w:lineRule="auto" w:before="3" w:after="0"/>
        <w:ind w:left="1636" w:right="0" w:hanging="223"/>
        <w:jc w:val="both"/>
        <w:rPr>
          <w:sz w:val="20"/>
        </w:rPr>
      </w:pPr>
      <w:r>
        <w:rPr>
          <w:sz w:val="20"/>
        </w:rPr>
        <w:t>Código NUTS del emplazamiento principal de ejecución de las</w:t>
      </w:r>
      <w:r>
        <w:rPr>
          <w:spacing w:val="-19"/>
          <w:sz w:val="20"/>
        </w:rPr>
        <w:t> </w:t>
      </w:r>
      <w:r>
        <w:rPr>
          <w:sz w:val="20"/>
        </w:rPr>
        <w:t>prestaciones.</w:t>
      </w:r>
    </w:p>
    <w:p>
      <w:pPr>
        <w:pStyle w:val="ListParagraph"/>
        <w:numPr>
          <w:ilvl w:val="0"/>
          <w:numId w:val="499"/>
        </w:numPr>
        <w:tabs>
          <w:tab w:pos="1642" w:val="left" w:leader="none"/>
        </w:tabs>
        <w:spacing w:line="249" w:lineRule="auto" w:before="10" w:after="0"/>
        <w:ind w:left="1074" w:right="1272" w:firstLine="340"/>
        <w:jc w:val="both"/>
        <w:rPr>
          <w:sz w:val="20"/>
        </w:rPr>
      </w:pPr>
      <w:r>
        <w:rPr>
          <w:sz w:val="20"/>
        </w:rPr>
        <w:t>Si procede, indicación de si el contrato está reservado para talleres protegidos, o si su ejecución está reservada para programas de empleo</w:t>
      </w:r>
      <w:r>
        <w:rPr>
          <w:spacing w:val="-11"/>
          <w:sz w:val="20"/>
        </w:rPr>
        <w:t> </w:t>
      </w:r>
      <w:r>
        <w:rPr>
          <w:sz w:val="20"/>
        </w:rPr>
        <w:t>protegidos.</w:t>
      </w:r>
    </w:p>
    <w:p>
      <w:pPr>
        <w:pStyle w:val="ListParagraph"/>
        <w:numPr>
          <w:ilvl w:val="0"/>
          <w:numId w:val="499"/>
        </w:numPr>
        <w:tabs>
          <w:tab w:pos="1735" w:val="left" w:leader="none"/>
        </w:tabs>
        <w:spacing w:line="249" w:lineRule="auto" w:before="1" w:after="0"/>
        <w:ind w:left="1074" w:right="1273" w:firstLine="340"/>
        <w:jc w:val="both"/>
        <w:rPr>
          <w:sz w:val="20"/>
        </w:rPr>
      </w:pPr>
      <w:r>
        <w:rPr>
          <w:sz w:val="20"/>
        </w:rPr>
        <w:t>Principales condiciones que deben cumplir los empresarios con vistas a su participación, o, en su caso, dirección electrónica en la que puede obtenerse información detallada.</w:t>
      </w:r>
    </w:p>
    <w:p>
      <w:pPr>
        <w:pStyle w:val="ListParagraph"/>
        <w:numPr>
          <w:ilvl w:val="0"/>
          <w:numId w:val="499"/>
        </w:numPr>
        <w:tabs>
          <w:tab w:pos="1637" w:val="left" w:leader="none"/>
        </w:tabs>
        <w:spacing w:line="240" w:lineRule="auto" w:before="3" w:after="0"/>
        <w:ind w:left="1636" w:right="0" w:hanging="223"/>
        <w:jc w:val="both"/>
        <w:rPr>
          <w:sz w:val="20"/>
        </w:rPr>
      </w:pPr>
      <w:r>
        <w:rPr>
          <w:sz w:val="20"/>
        </w:rPr>
        <w:t>Plazo(s) para ponerse en contacto con la entidad contratante, con vistas a</w:t>
      </w:r>
      <w:r>
        <w:rPr>
          <w:spacing w:val="-15"/>
          <w:sz w:val="20"/>
        </w:rPr>
        <w:t> </w:t>
      </w:r>
      <w:r>
        <w:rPr>
          <w:sz w:val="20"/>
        </w:rPr>
        <w:t>participar.</w:t>
      </w:r>
    </w:p>
    <w:p>
      <w:pPr>
        <w:pStyle w:val="ListParagraph"/>
        <w:numPr>
          <w:ilvl w:val="0"/>
          <w:numId w:val="499"/>
        </w:numPr>
        <w:tabs>
          <w:tab w:pos="1637" w:val="left" w:leader="none"/>
        </w:tabs>
        <w:spacing w:line="240" w:lineRule="auto" w:before="10" w:after="0"/>
        <w:ind w:left="1636" w:right="0" w:hanging="223"/>
        <w:jc w:val="both"/>
        <w:rPr>
          <w:sz w:val="20"/>
        </w:rPr>
      </w:pPr>
      <w:r>
        <w:rPr>
          <w:sz w:val="20"/>
        </w:rPr>
        <w:t>Si procede, otras</w:t>
      </w:r>
      <w:r>
        <w:rPr>
          <w:spacing w:val="-3"/>
          <w:sz w:val="20"/>
        </w:rPr>
        <w:t> </w:t>
      </w:r>
      <w:r>
        <w:rPr>
          <w:sz w:val="20"/>
        </w:rPr>
        <w:t>informaciones.</w:t>
      </w:r>
    </w:p>
    <w:p>
      <w:pPr>
        <w:pStyle w:val="BodyText"/>
        <w:spacing w:before="1"/>
        <w:ind w:left="0" w:firstLine="0"/>
        <w:jc w:val="left"/>
        <w:rPr>
          <w:sz w:val="21"/>
        </w:rPr>
      </w:pPr>
    </w:p>
    <w:p>
      <w:pPr>
        <w:pStyle w:val="Heading2"/>
        <w:spacing w:line="249" w:lineRule="auto"/>
        <w:ind w:left="4084" w:right="1611" w:hanging="2671"/>
        <w:jc w:val="both"/>
      </w:pPr>
      <w:r>
        <w:rPr>
          <w:i/>
        </w:rPr>
        <w:t>Sección 3. Anuncios de licitación de los contratos de concesión de obras y de </w:t>
      </w:r>
      <w:r>
        <w:rPr/>
        <w:t>concesión de servicios.</w:t>
      </w:r>
    </w:p>
    <w:p>
      <w:pPr>
        <w:pStyle w:val="ListParagraph"/>
        <w:numPr>
          <w:ilvl w:val="0"/>
          <w:numId w:val="500"/>
        </w:numPr>
        <w:tabs>
          <w:tab w:pos="1675" w:val="left" w:leader="none"/>
        </w:tabs>
        <w:spacing w:line="249" w:lineRule="auto" w:before="116" w:after="0"/>
        <w:ind w:left="1074" w:right="1273" w:firstLine="340"/>
        <w:jc w:val="both"/>
        <w:rPr>
          <w:sz w:val="20"/>
        </w:rPr>
      </w:pPr>
      <w:r>
        <w:rPr>
          <w:sz w:val="20"/>
        </w:rPr>
        <w:t>Nombre, número de identificación, dirección (incluido el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500"/>
        </w:numPr>
        <w:tabs>
          <w:tab w:pos="1637" w:val="left" w:leader="none"/>
        </w:tabs>
        <w:spacing w:line="240" w:lineRule="auto" w:before="2" w:after="0"/>
        <w:ind w:left="1636" w:right="0" w:hanging="223"/>
        <w:jc w:val="both"/>
        <w:rPr>
          <w:sz w:val="20"/>
        </w:rPr>
      </w:pPr>
      <w:r>
        <w:rPr>
          <w:sz w:val="20"/>
        </w:rPr>
        <w:t>Tipo de entidad contratante y principal actividad</w:t>
      </w:r>
      <w:r>
        <w:rPr>
          <w:spacing w:val="-8"/>
          <w:sz w:val="20"/>
        </w:rPr>
        <w:t> </w:t>
      </w:r>
      <w:r>
        <w:rPr>
          <w:sz w:val="20"/>
        </w:rPr>
        <w:t>desarrollada.</w:t>
      </w:r>
    </w:p>
    <w:p>
      <w:pPr>
        <w:pStyle w:val="ListParagraph"/>
        <w:numPr>
          <w:ilvl w:val="0"/>
          <w:numId w:val="500"/>
        </w:numPr>
        <w:tabs>
          <w:tab w:pos="1650" w:val="left" w:leader="none"/>
        </w:tabs>
        <w:spacing w:line="249" w:lineRule="auto" w:before="10" w:after="0"/>
        <w:ind w:left="1074" w:right="1273" w:firstLine="340"/>
        <w:jc w:val="both"/>
        <w:rPr>
          <w:sz w:val="20"/>
        </w:rPr>
      </w:pPr>
      <w:r>
        <w:rPr>
          <w:sz w:val="20"/>
        </w:rPr>
        <w:t>Si las solicitudes van a ir acompañadas de ofertas, dirección electrónica y de internet donde pueden consultarse con un acceso directo, completo, gratuito y sin restricciones, los documentos de concesión. Cuando no se disponga de un acceso directo, completo, gratuito y sin restricciones en los casos contemplados en el artículo 43, una indicación sobre el modo de consulta de la documentación de la</w:t>
      </w:r>
      <w:r>
        <w:rPr>
          <w:spacing w:val="-8"/>
          <w:sz w:val="20"/>
        </w:rPr>
        <w:t> </w:t>
      </w:r>
      <w:r>
        <w:rPr>
          <w:sz w:val="20"/>
        </w:rPr>
        <w:t>contratación.</w:t>
      </w:r>
    </w:p>
    <w:p>
      <w:pPr>
        <w:pStyle w:val="ListParagraph"/>
        <w:numPr>
          <w:ilvl w:val="0"/>
          <w:numId w:val="500"/>
        </w:numPr>
        <w:tabs>
          <w:tab w:pos="1642" w:val="left" w:leader="none"/>
        </w:tabs>
        <w:spacing w:line="249" w:lineRule="auto" w:before="5" w:after="0"/>
        <w:ind w:left="1074" w:right="1274" w:firstLine="340"/>
        <w:jc w:val="both"/>
        <w:rPr>
          <w:sz w:val="20"/>
        </w:rPr>
      </w:pPr>
      <w:r>
        <w:rPr>
          <w:sz w:val="20"/>
        </w:rPr>
        <w:t>Descripción del contrato de concesión: naturaleza y magnitud de las obras, naturaleza y magnitud de los servicios, orden de magnitud o valor indicativo y, si es posible, duración del contrato. Cuando el mismo esté dividido en lotes, esta información se facilitará para cada lote. Si procede, descripción de posibles</w:t>
      </w:r>
      <w:r>
        <w:rPr>
          <w:spacing w:val="-8"/>
          <w:sz w:val="20"/>
        </w:rPr>
        <w:t> </w:t>
      </w:r>
      <w:r>
        <w:rPr>
          <w:sz w:val="20"/>
        </w:rPr>
        <w:t>variantes.</w:t>
      </w:r>
    </w:p>
    <w:p>
      <w:pPr>
        <w:pStyle w:val="ListParagraph"/>
        <w:numPr>
          <w:ilvl w:val="0"/>
          <w:numId w:val="500"/>
        </w:numPr>
        <w:tabs>
          <w:tab w:pos="1686" w:val="left" w:leader="none"/>
        </w:tabs>
        <w:spacing w:line="249" w:lineRule="auto" w:before="3" w:after="0"/>
        <w:ind w:left="1074" w:right="1275" w:firstLine="340"/>
        <w:jc w:val="both"/>
        <w:rPr>
          <w:sz w:val="20"/>
        </w:rPr>
      </w:pPr>
      <w:r>
        <w:rPr>
          <w:sz w:val="20"/>
        </w:rPr>
        <w:t>Número(s) de referencia de la nomenclatura del CPV. Cuando la concesión esté dividida en lotes, esta información se facilitará para cada</w:t>
      </w:r>
      <w:r>
        <w:rPr>
          <w:spacing w:val="-11"/>
          <w:sz w:val="20"/>
        </w:rPr>
        <w:t> </w:t>
      </w:r>
      <w:r>
        <w:rPr>
          <w:sz w:val="20"/>
        </w:rPr>
        <w:t>lote.</w:t>
      </w:r>
    </w:p>
    <w:p>
      <w:pPr>
        <w:pStyle w:val="ListParagraph"/>
        <w:numPr>
          <w:ilvl w:val="0"/>
          <w:numId w:val="500"/>
        </w:numPr>
        <w:tabs>
          <w:tab w:pos="1662" w:val="left" w:leader="none"/>
        </w:tabs>
        <w:spacing w:line="249" w:lineRule="auto" w:before="1" w:after="0"/>
        <w:ind w:left="1074" w:right="1273" w:firstLine="340"/>
        <w:jc w:val="both"/>
        <w:rPr>
          <w:sz w:val="20"/>
        </w:rPr>
      </w:pPr>
      <w:r>
        <w:rPr>
          <w:sz w:val="20"/>
        </w:rPr>
        <w:t>Código NUTS del emplazamiento principal de las obras, en el caso de contratos de concesión</w:t>
      </w:r>
      <w:r>
        <w:rPr>
          <w:spacing w:val="20"/>
          <w:sz w:val="20"/>
        </w:rPr>
        <w:t> </w:t>
      </w:r>
      <w:r>
        <w:rPr>
          <w:sz w:val="20"/>
        </w:rPr>
        <w:t>de</w:t>
      </w:r>
      <w:r>
        <w:rPr>
          <w:spacing w:val="20"/>
          <w:sz w:val="20"/>
        </w:rPr>
        <w:t> </w:t>
      </w:r>
      <w:r>
        <w:rPr>
          <w:sz w:val="20"/>
        </w:rPr>
        <w:t>obras,</w:t>
      </w:r>
      <w:r>
        <w:rPr>
          <w:spacing w:val="20"/>
          <w:sz w:val="20"/>
        </w:rPr>
        <w:t> </w:t>
      </w:r>
      <w:r>
        <w:rPr>
          <w:sz w:val="20"/>
        </w:rPr>
        <w:t>o</w:t>
      </w:r>
      <w:r>
        <w:rPr>
          <w:spacing w:val="21"/>
          <w:sz w:val="20"/>
        </w:rPr>
        <w:t> </w:t>
      </w:r>
      <w:r>
        <w:rPr>
          <w:sz w:val="20"/>
        </w:rPr>
        <w:t>del</w:t>
      </w:r>
      <w:r>
        <w:rPr>
          <w:spacing w:val="20"/>
          <w:sz w:val="20"/>
        </w:rPr>
        <w:t> </w:t>
      </w:r>
      <w:r>
        <w:rPr>
          <w:sz w:val="20"/>
        </w:rPr>
        <w:t>lugar</w:t>
      </w:r>
      <w:r>
        <w:rPr>
          <w:spacing w:val="20"/>
          <w:sz w:val="20"/>
        </w:rPr>
        <w:t> </w:t>
      </w:r>
      <w:r>
        <w:rPr>
          <w:sz w:val="20"/>
        </w:rPr>
        <w:t>principal</w:t>
      </w:r>
      <w:r>
        <w:rPr>
          <w:spacing w:val="20"/>
          <w:sz w:val="20"/>
        </w:rPr>
        <w:t> </w:t>
      </w:r>
      <w:r>
        <w:rPr>
          <w:sz w:val="20"/>
        </w:rPr>
        <w:t>de</w:t>
      </w:r>
      <w:r>
        <w:rPr>
          <w:spacing w:val="20"/>
          <w:sz w:val="20"/>
        </w:rPr>
        <w:t> </w:t>
      </w:r>
      <w:r>
        <w:rPr>
          <w:sz w:val="20"/>
        </w:rPr>
        <w:t>prestación,</w:t>
      </w:r>
      <w:r>
        <w:rPr>
          <w:spacing w:val="21"/>
          <w:sz w:val="20"/>
        </w:rPr>
        <w:t> </w:t>
      </w:r>
      <w:r>
        <w:rPr>
          <w:sz w:val="20"/>
        </w:rPr>
        <w:t>tratándose</w:t>
      </w:r>
      <w:r>
        <w:rPr>
          <w:spacing w:val="20"/>
          <w:sz w:val="20"/>
        </w:rPr>
        <w:t> </w:t>
      </w:r>
      <w:r>
        <w:rPr>
          <w:sz w:val="20"/>
        </w:rPr>
        <w:t>de</w:t>
      </w:r>
      <w:r>
        <w:rPr>
          <w:spacing w:val="20"/>
          <w:sz w:val="20"/>
        </w:rPr>
        <w:t> </w:t>
      </w:r>
      <w:r>
        <w:rPr>
          <w:sz w:val="20"/>
        </w:rPr>
        <w:t>contratos</w:t>
      </w:r>
      <w:r>
        <w:rPr>
          <w:spacing w:val="20"/>
          <w:sz w:val="20"/>
        </w:rPr>
        <w:t> </w:t>
      </w:r>
      <w:r>
        <w:rPr>
          <w:sz w:val="20"/>
        </w:rPr>
        <w:t>de</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BodyText"/>
        <w:spacing w:line="249" w:lineRule="auto" w:before="127"/>
        <w:ind w:right="1278" w:hanging="1"/>
        <w:jc w:val="left"/>
      </w:pPr>
      <w:r>
        <w:rPr/>
        <w:t>concesión de servicios; cuando la concesión esté dividida en lotes, esta información se facilitará para cada lote.</w:t>
      </w:r>
    </w:p>
    <w:p>
      <w:pPr>
        <w:pStyle w:val="ListParagraph"/>
        <w:numPr>
          <w:ilvl w:val="0"/>
          <w:numId w:val="500"/>
        </w:numPr>
        <w:tabs>
          <w:tab w:pos="1637" w:val="left" w:leader="none"/>
        </w:tabs>
        <w:spacing w:line="240" w:lineRule="auto" w:before="1" w:after="0"/>
        <w:ind w:left="1636" w:right="0" w:hanging="223"/>
        <w:jc w:val="both"/>
        <w:rPr>
          <w:sz w:val="20"/>
        </w:rPr>
      </w:pPr>
      <w:r>
        <w:rPr>
          <w:sz w:val="20"/>
        </w:rPr>
        <w:t>Condiciones de participación, entre</w:t>
      </w:r>
      <w:r>
        <w:rPr>
          <w:spacing w:val="-6"/>
          <w:sz w:val="20"/>
        </w:rPr>
        <w:t> </w:t>
      </w:r>
      <w:r>
        <w:rPr>
          <w:sz w:val="20"/>
        </w:rPr>
        <w:t>ellas:</w:t>
      </w:r>
    </w:p>
    <w:p>
      <w:pPr>
        <w:pStyle w:val="ListParagraph"/>
        <w:numPr>
          <w:ilvl w:val="0"/>
          <w:numId w:val="501"/>
        </w:numPr>
        <w:tabs>
          <w:tab w:pos="1709" w:val="left" w:leader="none"/>
        </w:tabs>
        <w:spacing w:line="249" w:lineRule="auto" w:before="130" w:after="0"/>
        <w:ind w:left="1074" w:right="1273" w:firstLine="340"/>
        <w:jc w:val="both"/>
        <w:rPr>
          <w:sz w:val="20"/>
        </w:rPr>
      </w:pPr>
      <w:r>
        <w:rPr>
          <w:sz w:val="20"/>
        </w:rPr>
        <w:t>si procede, indicación de si el contrato de concesión está restringido a talleres protegidos o si su ejecución está restringido al marco de programas de protección de empleo;</w:t>
      </w:r>
    </w:p>
    <w:p>
      <w:pPr>
        <w:pStyle w:val="ListParagraph"/>
        <w:numPr>
          <w:ilvl w:val="0"/>
          <w:numId w:val="501"/>
        </w:numPr>
        <w:tabs>
          <w:tab w:pos="1677" w:val="left" w:leader="none"/>
        </w:tabs>
        <w:spacing w:line="249" w:lineRule="auto" w:before="3" w:after="0"/>
        <w:ind w:left="1074" w:right="1274" w:firstLine="340"/>
        <w:jc w:val="both"/>
        <w:rPr>
          <w:sz w:val="20"/>
        </w:rPr>
      </w:pPr>
      <w:r>
        <w:rPr>
          <w:sz w:val="20"/>
        </w:rPr>
        <w:t>si procede, indicación de si la prestación del servicio está reservada, con arreglo a disposiciones legales, reglamentarias y administrativas, a una determinada profesión; referencia de dicha disposición legal, reglamentaria o</w:t>
      </w:r>
      <w:r>
        <w:rPr>
          <w:spacing w:val="-11"/>
          <w:sz w:val="20"/>
        </w:rPr>
        <w:t> </w:t>
      </w:r>
      <w:r>
        <w:rPr>
          <w:sz w:val="20"/>
        </w:rPr>
        <w:t>administrativa;</w:t>
      </w:r>
    </w:p>
    <w:p>
      <w:pPr>
        <w:pStyle w:val="ListParagraph"/>
        <w:numPr>
          <w:ilvl w:val="0"/>
          <w:numId w:val="501"/>
        </w:numPr>
        <w:tabs>
          <w:tab w:pos="1685" w:val="left" w:leader="none"/>
        </w:tabs>
        <w:spacing w:line="249" w:lineRule="auto" w:before="2" w:after="0"/>
        <w:ind w:left="1074" w:right="1274" w:firstLine="340"/>
        <w:jc w:val="both"/>
        <w:rPr>
          <w:sz w:val="20"/>
        </w:rPr>
      </w:pPr>
      <w:r>
        <w:rPr>
          <w:sz w:val="20"/>
        </w:rPr>
        <w:t>lista y descripción breve de los criterios de selección, si procede; nivel o niveles mínimos que pueden exigirse; indicación de la información exigida (declaraciones de los interesados,</w:t>
      </w:r>
      <w:r>
        <w:rPr>
          <w:spacing w:val="-2"/>
          <w:sz w:val="20"/>
        </w:rPr>
        <w:t> </w:t>
      </w:r>
      <w:r>
        <w:rPr>
          <w:sz w:val="20"/>
        </w:rPr>
        <w:t>documentación).</w:t>
      </w:r>
    </w:p>
    <w:p>
      <w:pPr>
        <w:pStyle w:val="ListParagraph"/>
        <w:numPr>
          <w:ilvl w:val="0"/>
          <w:numId w:val="500"/>
        </w:numPr>
        <w:tabs>
          <w:tab w:pos="1637" w:val="left" w:leader="none"/>
        </w:tabs>
        <w:spacing w:line="240" w:lineRule="auto" w:before="123" w:after="0"/>
        <w:ind w:left="1636" w:right="0" w:hanging="223"/>
        <w:jc w:val="both"/>
        <w:rPr>
          <w:sz w:val="20"/>
        </w:rPr>
      </w:pPr>
      <w:r>
        <w:rPr>
          <w:sz w:val="20"/>
        </w:rPr>
        <w:t>Fecha límite de presentación de las solicitudes o de recepción de las</w:t>
      </w:r>
      <w:r>
        <w:rPr>
          <w:spacing w:val="-17"/>
          <w:sz w:val="20"/>
        </w:rPr>
        <w:t> </w:t>
      </w:r>
      <w:r>
        <w:rPr>
          <w:sz w:val="20"/>
        </w:rPr>
        <w:t>ofertas.</w:t>
      </w:r>
    </w:p>
    <w:p>
      <w:pPr>
        <w:pStyle w:val="ListParagraph"/>
        <w:numPr>
          <w:ilvl w:val="0"/>
          <w:numId w:val="500"/>
        </w:numPr>
        <w:tabs>
          <w:tab w:pos="1639" w:val="left" w:leader="none"/>
        </w:tabs>
        <w:spacing w:line="249" w:lineRule="auto" w:before="10" w:after="0"/>
        <w:ind w:left="1074" w:right="1276" w:firstLine="340"/>
        <w:jc w:val="both"/>
        <w:rPr>
          <w:sz w:val="20"/>
        </w:rPr>
      </w:pPr>
      <w:r>
        <w:rPr>
          <w:sz w:val="20"/>
        </w:rPr>
        <w:t>Criterios que se aplicarán en la adjudicación de la concesión, cuando no aparezcan en otros documentos relativos a la</w:t>
      </w:r>
      <w:r>
        <w:rPr>
          <w:spacing w:val="-5"/>
          <w:sz w:val="20"/>
        </w:rPr>
        <w:t> </w:t>
      </w:r>
      <w:r>
        <w:rPr>
          <w:sz w:val="20"/>
        </w:rPr>
        <w:t>concesión.</w:t>
      </w:r>
    </w:p>
    <w:p>
      <w:pPr>
        <w:pStyle w:val="ListParagraph"/>
        <w:numPr>
          <w:ilvl w:val="0"/>
          <w:numId w:val="500"/>
        </w:numPr>
        <w:tabs>
          <w:tab w:pos="1748" w:val="left" w:leader="none"/>
        </w:tabs>
        <w:spacing w:line="240" w:lineRule="auto" w:before="1" w:after="0"/>
        <w:ind w:left="1747" w:right="0" w:hanging="334"/>
        <w:jc w:val="both"/>
        <w:rPr>
          <w:sz w:val="20"/>
        </w:rPr>
      </w:pPr>
      <w:r>
        <w:rPr>
          <w:sz w:val="20"/>
        </w:rPr>
        <w:t>Fecha de envío del</w:t>
      </w:r>
      <w:r>
        <w:rPr>
          <w:spacing w:val="-4"/>
          <w:sz w:val="20"/>
        </w:rPr>
        <w:t> </w:t>
      </w:r>
      <w:r>
        <w:rPr>
          <w:sz w:val="20"/>
        </w:rPr>
        <w:t>anuncio.</w:t>
      </w:r>
    </w:p>
    <w:p>
      <w:pPr>
        <w:pStyle w:val="ListParagraph"/>
        <w:numPr>
          <w:ilvl w:val="0"/>
          <w:numId w:val="500"/>
        </w:numPr>
        <w:tabs>
          <w:tab w:pos="1765" w:val="left" w:leader="none"/>
        </w:tabs>
        <w:spacing w:line="249" w:lineRule="auto" w:before="10" w:after="0"/>
        <w:ind w:left="1074" w:right="1273" w:firstLine="340"/>
        <w:jc w:val="both"/>
        <w:rPr>
          <w:sz w:val="20"/>
        </w:rPr>
      </w:pPr>
      <w:r>
        <w:rPr>
          <w:sz w:val="20"/>
        </w:rPr>
        <w:t>Nombre y dirección del órgano competente para los procedimientos de reclamación y, si procede, de arbitraje. Indicación precisa del plazo de presentación de reclamaciones o, en caso necesario, el nombre, dirección, números de teléfono y de fax y dirección electrónica del servicio del que pueda obtenerse dicha</w:t>
      </w:r>
      <w:r>
        <w:rPr>
          <w:spacing w:val="-10"/>
          <w:sz w:val="20"/>
        </w:rPr>
        <w:t> </w:t>
      </w:r>
      <w:r>
        <w:rPr>
          <w:sz w:val="20"/>
        </w:rPr>
        <w:t>información.</w:t>
      </w:r>
    </w:p>
    <w:p>
      <w:pPr>
        <w:pStyle w:val="ListParagraph"/>
        <w:numPr>
          <w:ilvl w:val="0"/>
          <w:numId w:val="500"/>
        </w:numPr>
        <w:tabs>
          <w:tab w:pos="1749" w:val="left" w:leader="none"/>
        </w:tabs>
        <w:spacing w:line="249" w:lineRule="auto" w:before="4" w:after="0"/>
        <w:ind w:left="1074" w:right="1274" w:firstLine="340"/>
        <w:jc w:val="both"/>
        <w:rPr>
          <w:sz w:val="20"/>
        </w:rPr>
      </w:pPr>
      <w:r>
        <w:rPr>
          <w:sz w:val="20"/>
        </w:rPr>
        <w:t>Si procede, condiciones particulares a las que está sometida la ejecución del contrato de</w:t>
      </w:r>
      <w:r>
        <w:rPr>
          <w:spacing w:val="-1"/>
          <w:sz w:val="20"/>
        </w:rPr>
        <w:t> </w:t>
      </w:r>
      <w:r>
        <w:rPr>
          <w:sz w:val="20"/>
        </w:rPr>
        <w:t>concesión.</w:t>
      </w:r>
    </w:p>
    <w:p>
      <w:pPr>
        <w:pStyle w:val="ListParagraph"/>
        <w:numPr>
          <w:ilvl w:val="0"/>
          <w:numId w:val="500"/>
        </w:numPr>
        <w:tabs>
          <w:tab w:pos="1748" w:val="left" w:leader="none"/>
        </w:tabs>
        <w:spacing w:line="240" w:lineRule="auto" w:before="1" w:after="0"/>
        <w:ind w:left="1747" w:right="0" w:hanging="334"/>
        <w:jc w:val="both"/>
        <w:rPr>
          <w:sz w:val="20"/>
        </w:rPr>
      </w:pPr>
      <w:r>
        <w:rPr>
          <w:sz w:val="20"/>
        </w:rPr>
        <w:t>Dirección a la que deban enviarse las solicitudes de participación o las</w:t>
      </w:r>
      <w:r>
        <w:rPr>
          <w:spacing w:val="-23"/>
          <w:sz w:val="20"/>
        </w:rPr>
        <w:t> </w:t>
      </w:r>
      <w:r>
        <w:rPr>
          <w:sz w:val="20"/>
        </w:rPr>
        <w:t>ofertas.</w:t>
      </w:r>
    </w:p>
    <w:p>
      <w:pPr>
        <w:pStyle w:val="ListParagraph"/>
        <w:numPr>
          <w:ilvl w:val="0"/>
          <w:numId w:val="500"/>
        </w:numPr>
        <w:tabs>
          <w:tab w:pos="1788" w:val="left" w:leader="none"/>
        </w:tabs>
        <w:spacing w:line="249" w:lineRule="auto" w:before="10" w:after="0"/>
        <w:ind w:left="1074" w:right="1274" w:firstLine="340"/>
        <w:jc w:val="left"/>
        <w:rPr>
          <w:sz w:val="20"/>
        </w:rPr>
      </w:pPr>
      <w:r>
        <w:rPr>
          <w:sz w:val="20"/>
        </w:rPr>
        <w:t>Si procede, indicación de las condiciones y requisitos relativos al uso de medios electrónicos de</w:t>
      </w:r>
      <w:r>
        <w:rPr>
          <w:spacing w:val="-3"/>
          <w:sz w:val="20"/>
        </w:rPr>
        <w:t> </w:t>
      </w:r>
      <w:r>
        <w:rPr>
          <w:sz w:val="20"/>
        </w:rPr>
        <w:t>comunicación.</w:t>
      </w:r>
    </w:p>
    <w:p>
      <w:pPr>
        <w:pStyle w:val="ListParagraph"/>
        <w:numPr>
          <w:ilvl w:val="0"/>
          <w:numId w:val="500"/>
        </w:numPr>
        <w:tabs>
          <w:tab w:pos="1825" w:val="left" w:leader="none"/>
        </w:tabs>
        <w:spacing w:line="249" w:lineRule="auto" w:before="2" w:after="0"/>
        <w:ind w:left="1074" w:right="1273" w:firstLine="340"/>
        <w:jc w:val="left"/>
        <w:rPr>
          <w:sz w:val="20"/>
        </w:rPr>
      </w:pPr>
      <w:r>
        <w:rPr>
          <w:sz w:val="20"/>
        </w:rPr>
        <w:t>Información de si la concesión guarda relación con un proyecto o programa financiado por la Unión</w:t>
      </w:r>
      <w:r>
        <w:rPr>
          <w:spacing w:val="-4"/>
          <w:sz w:val="20"/>
        </w:rPr>
        <w:t> </w:t>
      </w:r>
      <w:r>
        <w:rPr>
          <w:sz w:val="20"/>
        </w:rPr>
        <w:t>Europea.</w:t>
      </w:r>
    </w:p>
    <w:p>
      <w:pPr>
        <w:pStyle w:val="ListParagraph"/>
        <w:numPr>
          <w:ilvl w:val="0"/>
          <w:numId w:val="500"/>
        </w:numPr>
        <w:tabs>
          <w:tab w:pos="1755" w:val="left" w:leader="none"/>
        </w:tabs>
        <w:spacing w:line="249" w:lineRule="auto" w:before="2" w:after="0"/>
        <w:ind w:left="1074" w:right="1274" w:firstLine="340"/>
        <w:jc w:val="left"/>
        <w:rPr>
          <w:sz w:val="20"/>
        </w:rPr>
      </w:pPr>
      <w:r>
        <w:rPr>
          <w:sz w:val="20"/>
        </w:rPr>
        <w:t>Para los contratos de concesión de obras, indicar si la concesión está cubierta por el ACP.</w:t>
      </w:r>
    </w:p>
    <w:p>
      <w:pPr>
        <w:pStyle w:val="BodyText"/>
        <w:spacing w:before="0"/>
        <w:ind w:left="0" w:firstLine="0"/>
        <w:jc w:val="left"/>
        <w:rPr>
          <w:sz w:val="26"/>
        </w:rPr>
      </w:pPr>
    </w:p>
    <w:p>
      <w:pPr>
        <w:pStyle w:val="Heading1"/>
        <w:spacing w:before="162"/>
        <w:ind w:left="2929"/>
      </w:pPr>
      <w:bookmarkStart w:name="ANEXO VIII. Información que debe figurar" w:id="441"/>
      <w:bookmarkEnd w:id="441"/>
      <w:r>
        <w:rPr>
          <w:b w:val="0"/>
        </w:rPr>
      </w:r>
      <w:bookmarkStart w:name="_bookmark89" w:id="442"/>
      <w:bookmarkEnd w:id="442"/>
      <w:r>
        <w:rPr>
          <w:b w:val="0"/>
        </w:rPr>
      </w:r>
      <w:r>
        <w:rPr/>
        <w:t>ANEXO VIII</w:t>
      </w:r>
    </w:p>
    <w:p>
      <w:pPr>
        <w:spacing w:before="123"/>
        <w:ind w:left="1414" w:right="1610" w:firstLine="0"/>
        <w:jc w:val="center"/>
        <w:rPr>
          <w:b/>
          <w:sz w:val="20"/>
        </w:rPr>
      </w:pPr>
      <w:r>
        <w:rPr>
          <w:b/>
          <w:sz w:val="20"/>
        </w:rPr>
        <w:t>Información que debe figurar en los anuncios de formalización</w:t>
      </w:r>
    </w:p>
    <w:p>
      <w:pPr>
        <w:pStyle w:val="BodyText"/>
        <w:spacing w:before="7"/>
        <w:ind w:left="0" w:firstLine="0"/>
        <w:jc w:val="left"/>
        <w:rPr>
          <w:b/>
        </w:rPr>
      </w:pPr>
    </w:p>
    <w:p>
      <w:pPr>
        <w:pStyle w:val="Heading2"/>
        <w:spacing w:line="249" w:lineRule="auto"/>
        <w:ind w:right="1612"/>
      </w:pPr>
      <w:r>
        <w:rPr>
          <w:i/>
        </w:rPr>
        <w:t>Sección A. Anuncios de formalización de contratos de obras, suministros y </w:t>
      </w:r>
      <w:r>
        <w:rPr/>
        <w:t>servicios cuando no proceda la aplicación de la sección B</w:t>
      </w:r>
    </w:p>
    <w:p>
      <w:pPr>
        <w:pStyle w:val="BodyText"/>
        <w:spacing w:before="9"/>
        <w:ind w:left="0" w:firstLine="0"/>
        <w:jc w:val="left"/>
        <w:rPr>
          <w:b/>
          <w:i/>
          <w:sz w:val="24"/>
        </w:rPr>
      </w:pPr>
    </w:p>
    <w:p>
      <w:pPr>
        <w:pStyle w:val="ListParagraph"/>
        <w:numPr>
          <w:ilvl w:val="0"/>
          <w:numId w:val="502"/>
        </w:numPr>
        <w:tabs>
          <w:tab w:pos="1286" w:val="left" w:leader="none"/>
        </w:tabs>
        <w:spacing w:line="249" w:lineRule="auto" w:before="0" w:after="0"/>
        <w:ind w:left="3578" w:right="1272" w:hanging="2505"/>
        <w:jc w:val="left"/>
        <w:rPr>
          <w:sz w:val="20"/>
        </w:rPr>
      </w:pPr>
      <w:r>
        <w:rPr>
          <w:sz w:val="20"/>
        </w:rPr>
        <w:t>Información que se publicará en el «Diario Oficial de la Unión Europea»</w:t>
      </w:r>
      <w:r>
        <w:rPr>
          <w:position w:val="7"/>
          <w:sz w:val="12"/>
        </w:rPr>
        <w:t>(1) </w:t>
      </w:r>
      <w:r>
        <w:rPr>
          <w:sz w:val="20"/>
        </w:rPr>
        <w:t>cuando no proceda la aplicación del apartado</w:t>
      </w:r>
      <w:r>
        <w:rPr>
          <w:spacing w:val="-8"/>
          <w:sz w:val="20"/>
        </w:rPr>
        <w:t> </w:t>
      </w:r>
      <w:r>
        <w:rPr>
          <w:sz w:val="20"/>
        </w:rPr>
        <w:t>III</w:t>
      </w:r>
    </w:p>
    <w:p>
      <w:pPr>
        <w:pStyle w:val="BodyText"/>
        <w:spacing w:before="5"/>
        <w:ind w:left="0" w:firstLine="0"/>
        <w:jc w:val="left"/>
        <w:rPr>
          <w:sz w:val="27"/>
        </w:rPr>
      </w:pPr>
      <w:r>
        <w:rPr/>
        <w:pict>
          <v:line style="position:absolute;mso-position-horizontal-relative:page;mso-position-vertical-relative:paragraph;z-index:-251655168;mso-wrap-distance-left:0;mso-wrap-distance-right:0" from="90.708672pt,17.983137pt" to="152.787422pt,17.983137pt" stroked="true" strokeweight=".5pt" strokecolor="#000000">
            <v:stroke dashstyle="solid"/>
            <w10:wrap type="topAndBottom"/>
          </v:line>
        </w:pict>
      </w:r>
    </w:p>
    <w:p>
      <w:pPr>
        <w:pStyle w:val="ListParagraph"/>
        <w:numPr>
          <w:ilvl w:val="1"/>
          <w:numId w:val="502"/>
        </w:numPr>
        <w:tabs>
          <w:tab w:pos="1657" w:val="left" w:leader="none"/>
        </w:tabs>
        <w:spacing w:line="249" w:lineRule="auto" w:before="106" w:after="0"/>
        <w:ind w:left="1074" w:right="1275" w:firstLine="340"/>
        <w:jc w:val="both"/>
        <w:rPr>
          <w:sz w:val="16"/>
        </w:rPr>
      </w:pPr>
      <w:r>
        <w:rPr>
          <w:sz w:val="16"/>
        </w:rPr>
        <w:t>La información de los puntos 6, 9 y 11 se considerará información no destinada a ser publicada si la entidad contratante considera que su publicación puede perjudicar un interés comercial</w:t>
      </w:r>
      <w:r>
        <w:rPr>
          <w:spacing w:val="-12"/>
          <w:sz w:val="16"/>
        </w:rPr>
        <w:t> </w:t>
      </w:r>
      <w:r>
        <w:rPr>
          <w:sz w:val="16"/>
        </w:rPr>
        <w:t>sensible.</w:t>
      </w:r>
    </w:p>
    <w:p>
      <w:pPr>
        <w:pStyle w:val="ListParagraph"/>
        <w:numPr>
          <w:ilvl w:val="0"/>
          <w:numId w:val="503"/>
        </w:numPr>
        <w:tabs>
          <w:tab w:pos="1708" w:val="left" w:leader="none"/>
        </w:tabs>
        <w:spacing w:line="249" w:lineRule="auto" w:before="118"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503"/>
        </w:numPr>
        <w:tabs>
          <w:tab w:pos="1637" w:val="left" w:leader="none"/>
        </w:tabs>
        <w:spacing w:line="240" w:lineRule="auto" w:before="3"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503"/>
        </w:numPr>
        <w:tabs>
          <w:tab w:pos="1656" w:val="left" w:leader="none"/>
        </w:tabs>
        <w:spacing w:line="249" w:lineRule="auto" w:before="10" w:after="0"/>
        <w:ind w:left="1074" w:right="1273" w:firstLine="340"/>
        <w:jc w:val="both"/>
        <w:rPr>
          <w:sz w:val="20"/>
        </w:rPr>
      </w:pPr>
      <w:r>
        <w:rPr>
          <w:sz w:val="20"/>
        </w:rPr>
        <w:t>Naturaleza del contrato (suministros, obras o servicios y códigos CPV; indíquese, en su caso, si se trata de un acuerdo</w:t>
      </w:r>
      <w:r>
        <w:rPr>
          <w:spacing w:val="-4"/>
          <w:sz w:val="20"/>
        </w:rPr>
        <w:t> </w:t>
      </w:r>
      <w:r>
        <w:rPr>
          <w:sz w:val="20"/>
        </w:rPr>
        <w:t>marco).</w:t>
      </w:r>
    </w:p>
    <w:p>
      <w:pPr>
        <w:pStyle w:val="ListParagraph"/>
        <w:numPr>
          <w:ilvl w:val="0"/>
          <w:numId w:val="503"/>
        </w:numPr>
        <w:tabs>
          <w:tab w:pos="1657" w:val="left" w:leader="none"/>
        </w:tabs>
        <w:spacing w:line="249" w:lineRule="auto" w:before="2" w:after="0"/>
        <w:ind w:left="1074" w:right="1273" w:firstLine="340"/>
        <w:jc w:val="both"/>
        <w:rPr>
          <w:sz w:val="20"/>
        </w:rPr>
      </w:pPr>
      <w:r>
        <w:rPr>
          <w:sz w:val="20"/>
        </w:rPr>
        <w:t>Al menos, un resumen de las características y la cantidad de los productos, obras o servicios suministrados.</w:t>
      </w:r>
    </w:p>
    <w:p>
      <w:pPr>
        <w:pStyle w:val="ListParagraph"/>
        <w:numPr>
          <w:ilvl w:val="0"/>
          <w:numId w:val="503"/>
        </w:numPr>
        <w:tabs>
          <w:tab w:pos="1637" w:val="left" w:leader="none"/>
        </w:tabs>
        <w:spacing w:line="240" w:lineRule="auto" w:before="1" w:after="0"/>
        <w:ind w:left="1636" w:right="0" w:hanging="223"/>
        <w:jc w:val="both"/>
        <w:rPr>
          <w:sz w:val="20"/>
        </w:rPr>
      </w:pPr>
      <w:r>
        <w:rPr>
          <w:sz w:val="20"/>
        </w:rPr>
        <w:t>Adicionalmente:</w:t>
      </w:r>
    </w:p>
    <w:p>
      <w:pPr>
        <w:pStyle w:val="ListParagraph"/>
        <w:numPr>
          <w:ilvl w:val="0"/>
          <w:numId w:val="504"/>
        </w:numPr>
        <w:tabs>
          <w:tab w:pos="1648" w:val="left" w:leader="none"/>
        </w:tabs>
        <w:spacing w:line="240" w:lineRule="auto" w:before="130" w:after="0"/>
        <w:ind w:left="1647" w:right="0" w:hanging="234"/>
        <w:jc w:val="left"/>
        <w:rPr>
          <w:sz w:val="20"/>
        </w:rPr>
      </w:pPr>
      <w:r>
        <w:rPr>
          <w:sz w:val="20"/>
        </w:rPr>
        <w:t>Forma de la convocatoria de</w:t>
      </w:r>
      <w:r>
        <w:rPr>
          <w:spacing w:val="-4"/>
          <w:sz w:val="20"/>
        </w:rPr>
        <w:t> </w:t>
      </w:r>
      <w:r>
        <w:rPr>
          <w:sz w:val="20"/>
        </w:rPr>
        <w:t>licitación.</w:t>
      </w:r>
    </w:p>
    <w:p>
      <w:pPr>
        <w:pStyle w:val="ListParagraph"/>
        <w:numPr>
          <w:ilvl w:val="0"/>
          <w:numId w:val="504"/>
        </w:numPr>
        <w:tabs>
          <w:tab w:pos="1655" w:val="left" w:leader="none"/>
        </w:tabs>
        <w:spacing w:line="249" w:lineRule="auto" w:before="10" w:after="0"/>
        <w:ind w:left="1074" w:right="1274" w:firstLine="340"/>
        <w:jc w:val="both"/>
        <w:rPr>
          <w:sz w:val="20"/>
        </w:rPr>
      </w:pPr>
      <w:r>
        <w:rPr>
          <w:sz w:val="20"/>
        </w:rPr>
        <w:t>Fecha(s) y referencia(s) de la publicación del anuncio en el «Diario Oficial de la Unión Europea».</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504"/>
        </w:numPr>
        <w:tabs>
          <w:tab w:pos="1639" w:val="left" w:leader="none"/>
        </w:tabs>
        <w:spacing w:line="249" w:lineRule="auto" w:before="127" w:after="0"/>
        <w:ind w:left="1074" w:right="1275" w:firstLine="340"/>
        <w:jc w:val="left"/>
        <w:rPr>
          <w:sz w:val="20"/>
        </w:rPr>
      </w:pPr>
      <w:r>
        <w:rPr>
          <w:sz w:val="20"/>
        </w:rPr>
        <w:t>En el caso de contratos adjudicados sin convocatoria de licitación previa, indicación de la disposición pertinente del artículo</w:t>
      </w:r>
      <w:r>
        <w:rPr>
          <w:spacing w:val="-7"/>
          <w:sz w:val="20"/>
        </w:rPr>
        <w:t> </w:t>
      </w:r>
      <w:r>
        <w:rPr>
          <w:sz w:val="20"/>
        </w:rPr>
        <w:t>85.</w:t>
      </w:r>
    </w:p>
    <w:p>
      <w:pPr>
        <w:pStyle w:val="ListParagraph"/>
        <w:numPr>
          <w:ilvl w:val="0"/>
          <w:numId w:val="503"/>
        </w:numPr>
        <w:tabs>
          <w:tab w:pos="1665" w:val="left" w:leader="none"/>
        </w:tabs>
        <w:spacing w:line="249" w:lineRule="auto" w:before="7" w:after="0"/>
        <w:ind w:left="1074" w:right="1272" w:firstLine="340"/>
        <w:jc w:val="left"/>
        <w:rPr>
          <w:sz w:val="20"/>
        </w:rPr>
      </w:pPr>
      <w:r>
        <w:rPr>
          <w:sz w:val="20"/>
        </w:rPr>
        <w:t>Procedimiento de contratación (procedimiento abierto, restringido o de licitación con negociación).</w:t>
      </w:r>
    </w:p>
    <w:p>
      <w:pPr>
        <w:pStyle w:val="ListParagraph"/>
        <w:numPr>
          <w:ilvl w:val="0"/>
          <w:numId w:val="503"/>
        </w:numPr>
        <w:tabs>
          <w:tab w:pos="1637" w:val="left" w:leader="none"/>
        </w:tabs>
        <w:spacing w:line="240" w:lineRule="auto" w:before="2" w:after="0"/>
        <w:ind w:left="1636" w:right="0" w:hanging="223"/>
        <w:jc w:val="left"/>
        <w:rPr>
          <w:sz w:val="20"/>
        </w:rPr>
      </w:pPr>
      <w:r>
        <w:rPr>
          <w:sz w:val="20"/>
        </w:rPr>
        <w:t>Número de ofertas recibidas,</w:t>
      </w:r>
      <w:r>
        <w:rPr>
          <w:spacing w:val="-5"/>
          <w:sz w:val="20"/>
        </w:rPr>
        <w:t> </w:t>
      </w:r>
      <w:r>
        <w:rPr>
          <w:sz w:val="20"/>
        </w:rPr>
        <w:t>especificando:</w:t>
      </w:r>
    </w:p>
    <w:p>
      <w:pPr>
        <w:pStyle w:val="ListParagraph"/>
        <w:numPr>
          <w:ilvl w:val="0"/>
          <w:numId w:val="505"/>
        </w:numPr>
        <w:tabs>
          <w:tab w:pos="1648" w:val="left" w:leader="none"/>
        </w:tabs>
        <w:spacing w:line="240" w:lineRule="auto" w:before="130" w:after="0"/>
        <w:ind w:left="1647" w:right="0" w:hanging="234"/>
        <w:jc w:val="left"/>
        <w:rPr>
          <w:sz w:val="20"/>
        </w:rPr>
      </w:pPr>
      <w:r>
        <w:rPr>
          <w:sz w:val="20"/>
        </w:rPr>
        <w:t>El número de ofertas recibidas de operadores económicos que son</w:t>
      </w:r>
      <w:r>
        <w:rPr>
          <w:spacing w:val="-14"/>
          <w:sz w:val="20"/>
        </w:rPr>
        <w:t> </w:t>
      </w:r>
      <w:r>
        <w:rPr>
          <w:sz w:val="20"/>
        </w:rPr>
        <w:t>PYME;</w:t>
      </w:r>
    </w:p>
    <w:p>
      <w:pPr>
        <w:pStyle w:val="ListParagraph"/>
        <w:numPr>
          <w:ilvl w:val="0"/>
          <w:numId w:val="505"/>
        </w:numPr>
        <w:tabs>
          <w:tab w:pos="1648" w:val="left" w:leader="none"/>
        </w:tabs>
        <w:spacing w:line="240" w:lineRule="auto" w:before="10" w:after="0"/>
        <w:ind w:left="1647" w:right="0" w:hanging="234"/>
        <w:jc w:val="left"/>
        <w:rPr>
          <w:sz w:val="20"/>
        </w:rPr>
      </w:pPr>
      <w:r>
        <w:rPr>
          <w:sz w:val="20"/>
        </w:rPr>
        <w:t>El número de ofertas recibidas del</w:t>
      </w:r>
      <w:r>
        <w:rPr>
          <w:spacing w:val="-6"/>
          <w:sz w:val="20"/>
        </w:rPr>
        <w:t> </w:t>
      </w:r>
      <w:r>
        <w:rPr>
          <w:sz w:val="20"/>
        </w:rPr>
        <w:t>extranjero;</w:t>
      </w:r>
    </w:p>
    <w:p>
      <w:pPr>
        <w:pStyle w:val="ListParagraph"/>
        <w:numPr>
          <w:ilvl w:val="0"/>
          <w:numId w:val="505"/>
        </w:numPr>
        <w:tabs>
          <w:tab w:pos="1639" w:val="left" w:leader="none"/>
        </w:tabs>
        <w:spacing w:line="249" w:lineRule="auto" w:before="10" w:after="0"/>
        <w:ind w:left="1074" w:right="1274" w:firstLine="340"/>
        <w:jc w:val="left"/>
        <w:rPr>
          <w:sz w:val="20"/>
        </w:rPr>
      </w:pPr>
      <w:r>
        <w:rPr>
          <w:sz w:val="20"/>
        </w:rPr>
        <w:t>El número de ofertas recibidas por vía electrónica. En el caso de varias adjudicaciones (lotes, acuerdos marco múltiples), esta información se facilitará para cada</w:t>
      </w:r>
      <w:r>
        <w:rPr>
          <w:spacing w:val="-22"/>
          <w:sz w:val="20"/>
        </w:rPr>
        <w:t> </w:t>
      </w:r>
      <w:r>
        <w:rPr>
          <w:sz w:val="20"/>
        </w:rPr>
        <w:t>adjudicación.</w:t>
      </w:r>
    </w:p>
    <w:p>
      <w:pPr>
        <w:pStyle w:val="ListParagraph"/>
        <w:numPr>
          <w:ilvl w:val="0"/>
          <w:numId w:val="503"/>
        </w:numPr>
        <w:tabs>
          <w:tab w:pos="1646" w:val="left" w:leader="none"/>
        </w:tabs>
        <w:spacing w:line="249" w:lineRule="auto" w:before="121" w:after="0"/>
        <w:ind w:left="1074" w:right="1273" w:firstLine="340"/>
        <w:jc w:val="both"/>
        <w:rPr>
          <w:sz w:val="20"/>
        </w:rPr>
      </w:pPr>
      <w:r>
        <w:rPr>
          <w:sz w:val="20"/>
        </w:rPr>
        <w:t>Fecha de la celebración del contrato o contratos o del acuerdo o acuerdos marco tras la decisión de</w:t>
      </w:r>
      <w:r>
        <w:rPr>
          <w:spacing w:val="-4"/>
          <w:sz w:val="20"/>
        </w:rPr>
        <w:t> </w:t>
      </w:r>
      <w:r>
        <w:rPr>
          <w:sz w:val="20"/>
        </w:rPr>
        <w:t>adjudicación.</w:t>
      </w:r>
    </w:p>
    <w:p>
      <w:pPr>
        <w:pStyle w:val="ListParagraph"/>
        <w:numPr>
          <w:ilvl w:val="0"/>
          <w:numId w:val="503"/>
        </w:numPr>
        <w:tabs>
          <w:tab w:pos="1637" w:val="left" w:leader="none"/>
        </w:tabs>
        <w:spacing w:line="240" w:lineRule="auto" w:before="2" w:after="0"/>
        <w:ind w:left="1636" w:right="0" w:hanging="223"/>
        <w:jc w:val="both"/>
        <w:rPr>
          <w:sz w:val="20"/>
        </w:rPr>
      </w:pPr>
      <w:r>
        <w:rPr>
          <w:sz w:val="20"/>
        </w:rPr>
        <w:t>Precio pagado por las compras de ocasión realizadas en virtud del artículo</w:t>
      </w:r>
      <w:r>
        <w:rPr>
          <w:spacing w:val="-18"/>
          <w:sz w:val="20"/>
        </w:rPr>
        <w:t> </w:t>
      </w:r>
      <w:r>
        <w:rPr>
          <w:sz w:val="20"/>
        </w:rPr>
        <w:t>85.1.h).</w:t>
      </w:r>
    </w:p>
    <w:p>
      <w:pPr>
        <w:pStyle w:val="ListParagraph"/>
        <w:numPr>
          <w:ilvl w:val="0"/>
          <w:numId w:val="503"/>
        </w:numPr>
        <w:tabs>
          <w:tab w:pos="1821" w:val="left" w:leader="none"/>
        </w:tabs>
        <w:spacing w:line="249" w:lineRule="auto" w:before="10" w:after="0"/>
        <w:ind w:left="1074" w:right="1274" w:firstLine="340"/>
        <w:jc w:val="both"/>
        <w:rPr>
          <w:sz w:val="20"/>
        </w:rPr>
      </w:pPr>
      <w:r>
        <w:rPr>
          <w:sz w:val="20"/>
        </w:rPr>
        <w:t>Para cada adjudicación, nombre, dirección, incluido código NUTS, número de teléfono y de fax, dirección electrónica y de internet del licitador o licitadores seleccionados, especificando:</w:t>
      </w:r>
    </w:p>
    <w:p>
      <w:pPr>
        <w:pStyle w:val="ListParagraph"/>
        <w:numPr>
          <w:ilvl w:val="0"/>
          <w:numId w:val="506"/>
        </w:numPr>
        <w:tabs>
          <w:tab w:pos="1648" w:val="left" w:leader="none"/>
        </w:tabs>
        <w:spacing w:line="240" w:lineRule="auto" w:before="123" w:after="0"/>
        <w:ind w:left="1647" w:right="0" w:hanging="234"/>
        <w:jc w:val="both"/>
        <w:rPr>
          <w:sz w:val="20"/>
        </w:rPr>
      </w:pPr>
      <w:r>
        <w:rPr>
          <w:sz w:val="20"/>
        </w:rPr>
        <w:t>si el licitador adjudicatario es una</w:t>
      </w:r>
      <w:r>
        <w:rPr>
          <w:spacing w:val="-7"/>
          <w:sz w:val="20"/>
        </w:rPr>
        <w:t> </w:t>
      </w:r>
      <w:r>
        <w:rPr>
          <w:sz w:val="20"/>
        </w:rPr>
        <w:t>PYME;</w:t>
      </w:r>
    </w:p>
    <w:p>
      <w:pPr>
        <w:pStyle w:val="ListParagraph"/>
        <w:numPr>
          <w:ilvl w:val="0"/>
          <w:numId w:val="506"/>
        </w:numPr>
        <w:tabs>
          <w:tab w:pos="1648" w:val="left" w:leader="none"/>
        </w:tabs>
        <w:spacing w:line="240" w:lineRule="auto" w:before="10" w:after="0"/>
        <w:ind w:left="1647" w:right="0" w:hanging="234"/>
        <w:jc w:val="both"/>
        <w:rPr>
          <w:sz w:val="20"/>
        </w:rPr>
      </w:pPr>
      <w:r>
        <w:rPr>
          <w:sz w:val="20"/>
        </w:rPr>
        <w:t>si el contrato se ha adjudicado a un</w:t>
      </w:r>
      <w:r>
        <w:rPr>
          <w:spacing w:val="-6"/>
          <w:sz w:val="20"/>
        </w:rPr>
        <w:t> </w:t>
      </w:r>
      <w:r>
        <w:rPr>
          <w:sz w:val="20"/>
        </w:rPr>
        <w:t>consorcio.</w:t>
      </w:r>
    </w:p>
    <w:p>
      <w:pPr>
        <w:pStyle w:val="ListParagraph"/>
        <w:numPr>
          <w:ilvl w:val="0"/>
          <w:numId w:val="503"/>
        </w:numPr>
        <w:tabs>
          <w:tab w:pos="1748" w:val="left" w:leader="none"/>
        </w:tabs>
        <w:spacing w:line="240" w:lineRule="auto" w:before="130" w:after="0"/>
        <w:ind w:left="1747" w:right="0" w:hanging="334"/>
        <w:jc w:val="both"/>
        <w:rPr>
          <w:sz w:val="20"/>
        </w:rPr>
      </w:pPr>
      <w:r>
        <w:rPr>
          <w:sz w:val="20"/>
        </w:rPr>
        <w:t>Indicación, en su caso, de si el contrato se ha subcontratado o puede</w:t>
      </w:r>
      <w:r>
        <w:rPr>
          <w:spacing w:val="-9"/>
          <w:sz w:val="20"/>
        </w:rPr>
        <w:t> </w:t>
      </w:r>
      <w:r>
        <w:rPr>
          <w:sz w:val="20"/>
        </w:rPr>
        <w:t>subcontratarse.</w:t>
      </w:r>
    </w:p>
    <w:p>
      <w:pPr>
        <w:pStyle w:val="ListParagraph"/>
        <w:numPr>
          <w:ilvl w:val="0"/>
          <w:numId w:val="503"/>
        </w:numPr>
        <w:tabs>
          <w:tab w:pos="1774" w:val="left" w:leader="none"/>
        </w:tabs>
        <w:spacing w:line="249" w:lineRule="auto" w:before="10" w:after="0"/>
        <w:ind w:left="1074" w:right="1275" w:firstLine="340"/>
        <w:jc w:val="both"/>
        <w:rPr>
          <w:sz w:val="20"/>
        </w:rPr>
      </w:pPr>
      <w:r>
        <w:rPr>
          <w:sz w:val="20"/>
        </w:rPr>
        <w:t>Precio pagado o precios de la oferta más elevada y de la más baja que se hayan tenido en cuenta en la adjudicación del</w:t>
      </w:r>
      <w:r>
        <w:rPr>
          <w:spacing w:val="-7"/>
          <w:sz w:val="20"/>
        </w:rPr>
        <w:t> </w:t>
      </w:r>
      <w:r>
        <w:rPr>
          <w:sz w:val="20"/>
        </w:rPr>
        <w:t>contrato.</w:t>
      </w:r>
    </w:p>
    <w:p>
      <w:pPr>
        <w:pStyle w:val="ListParagraph"/>
        <w:numPr>
          <w:ilvl w:val="0"/>
          <w:numId w:val="503"/>
        </w:numPr>
        <w:tabs>
          <w:tab w:pos="1765" w:val="left" w:leader="none"/>
        </w:tabs>
        <w:spacing w:line="249" w:lineRule="auto" w:before="1" w:after="0"/>
        <w:ind w:left="1074" w:right="1273" w:firstLine="340"/>
        <w:jc w:val="both"/>
        <w:rPr>
          <w:sz w:val="20"/>
        </w:rPr>
      </w:pPr>
      <w:r>
        <w:rPr>
          <w:sz w:val="20"/>
        </w:rPr>
        <w:t>Nombre y dirección del órgano competente para los procedimientos de reclamación y, en su caso, de arbitraje. Información precisa acerca del plazo de presentación de reclamaciones, o en caso necesario el nombre, la dirección, los números de teléfono y de fax y la dirección electrónica del servicio del que pueda obtenerse dicha</w:t>
      </w:r>
      <w:r>
        <w:rPr>
          <w:spacing w:val="-28"/>
          <w:sz w:val="20"/>
        </w:rPr>
        <w:t> </w:t>
      </w:r>
      <w:r>
        <w:rPr>
          <w:sz w:val="20"/>
        </w:rPr>
        <w:t>información.</w:t>
      </w:r>
    </w:p>
    <w:p>
      <w:pPr>
        <w:pStyle w:val="ListParagraph"/>
        <w:numPr>
          <w:ilvl w:val="0"/>
          <w:numId w:val="503"/>
        </w:numPr>
        <w:tabs>
          <w:tab w:pos="1748" w:val="left" w:leader="none"/>
        </w:tabs>
        <w:spacing w:line="240" w:lineRule="auto" w:before="3" w:after="0"/>
        <w:ind w:left="1747" w:right="0" w:hanging="334"/>
        <w:jc w:val="both"/>
        <w:rPr>
          <w:sz w:val="20"/>
        </w:rPr>
      </w:pPr>
      <w:r>
        <w:rPr>
          <w:sz w:val="20"/>
        </w:rPr>
        <w:t>Información facultativa:</w:t>
      </w:r>
    </w:p>
    <w:p>
      <w:pPr>
        <w:pStyle w:val="ListParagraph"/>
        <w:numPr>
          <w:ilvl w:val="0"/>
          <w:numId w:val="507"/>
        </w:numPr>
        <w:tabs>
          <w:tab w:pos="1656" w:val="left" w:leader="none"/>
        </w:tabs>
        <w:spacing w:line="249" w:lineRule="auto" w:before="131" w:after="0"/>
        <w:ind w:left="1074" w:right="1273" w:firstLine="340"/>
        <w:jc w:val="both"/>
        <w:rPr>
          <w:sz w:val="20"/>
        </w:rPr>
      </w:pPr>
      <w:r>
        <w:rPr>
          <w:sz w:val="20"/>
        </w:rPr>
        <w:t>porcentaje del contrato que se haya subcontratado o pueda subcontratarse a terceros e importe del</w:t>
      </w:r>
      <w:r>
        <w:rPr>
          <w:spacing w:val="-4"/>
          <w:sz w:val="20"/>
        </w:rPr>
        <w:t> </w:t>
      </w:r>
      <w:r>
        <w:rPr>
          <w:sz w:val="20"/>
        </w:rPr>
        <w:t>mismo;</w:t>
      </w:r>
    </w:p>
    <w:p>
      <w:pPr>
        <w:pStyle w:val="ListParagraph"/>
        <w:numPr>
          <w:ilvl w:val="0"/>
          <w:numId w:val="507"/>
        </w:numPr>
        <w:tabs>
          <w:tab w:pos="1648" w:val="left" w:leader="none"/>
        </w:tabs>
        <w:spacing w:line="240" w:lineRule="auto" w:before="1" w:after="0"/>
        <w:ind w:left="1647" w:right="0" w:hanging="234"/>
        <w:jc w:val="both"/>
        <w:rPr>
          <w:sz w:val="20"/>
        </w:rPr>
      </w:pPr>
      <w:r>
        <w:rPr>
          <w:sz w:val="20"/>
        </w:rPr>
        <w:t>criterios de adjudicación del</w:t>
      </w:r>
      <w:r>
        <w:rPr>
          <w:spacing w:val="-4"/>
          <w:sz w:val="20"/>
        </w:rPr>
        <w:t> </w:t>
      </w:r>
      <w:r>
        <w:rPr>
          <w:sz w:val="20"/>
        </w:rPr>
        <w:t>contrato.</w:t>
      </w:r>
    </w:p>
    <w:p>
      <w:pPr>
        <w:pStyle w:val="BodyText"/>
        <w:spacing w:before="6"/>
        <w:ind w:left="0" w:firstLine="0"/>
        <w:jc w:val="left"/>
        <w:rPr>
          <w:sz w:val="25"/>
        </w:rPr>
      </w:pPr>
    </w:p>
    <w:p>
      <w:pPr>
        <w:pStyle w:val="ListParagraph"/>
        <w:numPr>
          <w:ilvl w:val="0"/>
          <w:numId w:val="502"/>
        </w:numPr>
        <w:tabs>
          <w:tab w:pos="3590" w:val="left" w:leader="none"/>
        </w:tabs>
        <w:spacing w:line="240" w:lineRule="auto" w:before="0" w:after="0"/>
        <w:ind w:left="3589" w:right="0" w:hanging="223"/>
        <w:jc w:val="left"/>
        <w:rPr>
          <w:sz w:val="20"/>
        </w:rPr>
      </w:pPr>
      <w:r>
        <w:rPr>
          <w:sz w:val="20"/>
        </w:rPr>
        <w:t>Información no destinada a</w:t>
      </w:r>
      <w:r>
        <w:rPr>
          <w:spacing w:val="-5"/>
          <w:sz w:val="20"/>
        </w:rPr>
        <w:t> </w:t>
      </w:r>
      <w:r>
        <w:rPr>
          <w:sz w:val="20"/>
        </w:rPr>
        <w:t>publicación</w:t>
      </w:r>
    </w:p>
    <w:p>
      <w:pPr>
        <w:pStyle w:val="ListParagraph"/>
        <w:numPr>
          <w:ilvl w:val="0"/>
          <w:numId w:val="503"/>
        </w:numPr>
        <w:tabs>
          <w:tab w:pos="1770" w:val="left" w:leader="none"/>
        </w:tabs>
        <w:spacing w:line="249" w:lineRule="auto" w:before="130" w:after="0"/>
        <w:ind w:left="1074" w:right="1274" w:firstLine="340"/>
        <w:jc w:val="left"/>
        <w:rPr>
          <w:sz w:val="20"/>
        </w:rPr>
      </w:pPr>
      <w:r>
        <w:rPr>
          <w:sz w:val="20"/>
        </w:rPr>
        <w:t>Número de contratos adjudicados (cuando se haya dividido el contrato entre varios proveedores).</w:t>
      </w:r>
    </w:p>
    <w:p>
      <w:pPr>
        <w:pStyle w:val="ListParagraph"/>
        <w:numPr>
          <w:ilvl w:val="0"/>
          <w:numId w:val="503"/>
        </w:numPr>
        <w:tabs>
          <w:tab w:pos="1748" w:val="left" w:leader="none"/>
        </w:tabs>
        <w:spacing w:line="240" w:lineRule="auto" w:before="2" w:after="0"/>
        <w:ind w:left="1747" w:right="0" w:hanging="334"/>
        <w:jc w:val="left"/>
        <w:rPr>
          <w:sz w:val="20"/>
        </w:rPr>
      </w:pPr>
      <w:r>
        <w:rPr>
          <w:sz w:val="20"/>
        </w:rPr>
        <w:t>Valor de cada contrato</w:t>
      </w:r>
      <w:r>
        <w:rPr>
          <w:spacing w:val="-2"/>
          <w:sz w:val="20"/>
        </w:rPr>
        <w:t> </w:t>
      </w:r>
      <w:r>
        <w:rPr>
          <w:sz w:val="20"/>
        </w:rPr>
        <w:t>adjudicado.</w:t>
      </w:r>
    </w:p>
    <w:p>
      <w:pPr>
        <w:pStyle w:val="ListParagraph"/>
        <w:numPr>
          <w:ilvl w:val="0"/>
          <w:numId w:val="503"/>
        </w:numPr>
        <w:tabs>
          <w:tab w:pos="1793" w:val="left" w:leader="none"/>
        </w:tabs>
        <w:spacing w:line="249" w:lineRule="auto" w:before="10" w:after="0"/>
        <w:ind w:left="1074" w:right="1273" w:firstLine="340"/>
        <w:jc w:val="left"/>
        <w:rPr>
          <w:sz w:val="20"/>
        </w:rPr>
      </w:pPr>
      <w:r>
        <w:rPr>
          <w:sz w:val="20"/>
        </w:rPr>
        <w:t>País de origen del producto o del servicio (origen comunitario o no comunitario, desglosado, en este último caso, por terceros</w:t>
      </w:r>
      <w:r>
        <w:rPr>
          <w:spacing w:val="-8"/>
          <w:sz w:val="20"/>
        </w:rPr>
        <w:t> </w:t>
      </w:r>
      <w:r>
        <w:rPr>
          <w:sz w:val="20"/>
        </w:rPr>
        <w:t>países).</w:t>
      </w:r>
    </w:p>
    <w:p>
      <w:pPr>
        <w:pStyle w:val="ListParagraph"/>
        <w:numPr>
          <w:ilvl w:val="0"/>
          <w:numId w:val="503"/>
        </w:numPr>
        <w:tabs>
          <w:tab w:pos="1748" w:val="left" w:leader="none"/>
        </w:tabs>
        <w:spacing w:line="240" w:lineRule="auto" w:before="1" w:after="0"/>
        <w:ind w:left="1747" w:right="0" w:hanging="334"/>
        <w:jc w:val="left"/>
        <w:rPr>
          <w:sz w:val="20"/>
        </w:rPr>
      </w:pPr>
      <w:r>
        <w:rPr>
          <w:sz w:val="20"/>
        </w:rPr>
        <w:t>Indicar los criterios de adjudicación</w:t>
      </w:r>
      <w:r>
        <w:rPr>
          <w:spacing w:val="-5"/>
          <w:sz w:val="20"/>
        </w:rPr>
        <w:t> </w:t>
      </w:r>
      <w:r>
        <w:rPr>
          <w:sz w:val="20"/>
        </w:rPr>
        <w:t>empleados.</w:t>
      </w:r>
    </w:p>
    <w:p>
      <w:pPr>
        <w:pStyle w:val="ListParagraph"/>
        <w:numPr>
          <w:ilvl w:val="0"/>
          <w:numId w:val="503"/>
        </w:numPr>
        <w:tabs>
          <w:tab w:pos="1759" w:val="left" w:leader="none"/>
        </w:tabs>
        <w:spacing w:line="249" w:lineRule="auto" w:before="11" w:after="0"/>
        <w:ind w:left="1074" w:right="1274" w:firstLine="340"/>
        <w:jc w:val="left"/>
        <w:rPr>
          <w:sz w:val="20"/>
        </w:rPr>
      </w:pPr>
      <w:r>
        <w:rPr>
          <w:sz w:val="20"/>
        </w:rPr>
        <w:t>Indicación de si se ha adjudicado el contrato a un licitador que, en virtud del artículo 68 ofreció una</w:t>
      </w:r>
      <w:r>
        <w:rPr>
          <w:spacing w:val="-4"/>
          <w:sz w:val="20"/>
        </w:rPr>
        <w:t> </w:t>
      </w:r>
      <w:r>
        <w:rPr>
          <w:sz w:val="20"/>
        </w:rPr>
        <w:t>variante.</w:t>
      </w:r>
    </w:p>
    <w:p>
      <w:pPr>
        <w:pStyle w:val="ListParagraph"/>
        <w:numPr>
          <w:ilvl w:val="0"/>
          <w:numId w:val="503"/>
        </w:numPr>
        <w:tabs>
          <w:tab w:pos="1754" w:val="left" w:leader="none"/>
        </w:tabs>
        <w:spacing w:line="249" w:lineRule="auto" w:before="1" w:after="0"/>
        <w:ind w:left="1074" w:right="1272" w:firstLine="340"/>
        <w:jc w:val="left"/>
        <w:rPr>
          <w:sz w:val="20"/>
        </w:rPr>
      </w:pPr>
      <w:r>
        <w:rPr>
          <w:sz w:val="20"/>
        </w:rPr>
        <w:t>Indicación de si se han excluido ofertas por ser anormalmente bajas, de conformidad con el artículo</w:t>
      </w:r>
      <w:r>
        <w:rPr>
          <w:spacing w:val="-3"/>
          <w:sz w:val="20"/>
        </w:rPr>
        <w:t> </w:t>
      </w:r>
      <w:r>
        <w:rPr>
          <w:sz w:val="20"/>
        </w:rPr>
        <w:t>69.</w:t>
      </w:r>
    </w:p>
    <w:p>
      <w:pPr>
        <w:pStyle w:val="ListParagraph"/>
        <w:numPr>
          <w:ilvl w:val="0"/>
          <w:numId w:val="503"/>
        </w:numPr>
        <w:tabs>
          <w:tab w:pos="1748" w:val="left" w:leader="none"/>
        </w:tabs>
        <w:spacing w:line="240" w:lineRule="auto" w:before="2" w:after="0"/>
        <w:ind w:left="1747" w:right="0" w:hanging="334"/>
        <w:jc w:val="left"/>
        <w:rPr>
          <w:sz w:val="20"/>
        </w:rPr>
      </w:pPr>
      <w:r>
        <w:rPr>
          <w:sz w:val="20"/>
        </w:rPr>
        <w:t>Fecha de envío del anuncio por la entidad</w:t>
      </w:r>
      <w:r>
        <w:rPr>
          <w:spacing w:val="-10"/>
          <w:sz w:val="20"/>
        </w:rPr>
        <w:t> </w:t>
      </w:r>
      <w:r>
        <w:rPr>
          <w:sz w:val="20"/>
        </w:rPr>
        <w:t>contratante.</w:t>
      </w:r>
    </w:p>
    <w:p>
      <w:pPr>
        <w:pStyle w:val="BodyText"/>
        <w:spacing w:before="1"/>
        <w:ind w:left="0" w:firstLine="0"/>
        <w:jc w:val="left"/>
        <w:rPr>
          <w:sz w:val="21"/>
        </w:rPr>
      </w:pPr>
    </w:p>
    <w:p>
      <w:pPr>
        <w:pStyle w:val="Heading2"/>
        <w:spacing w:line="249" w:lineRule="auto"/>
        <w:ind w:left="4868" w:right="1613" w:hanging="3454"/>
        <w:jc w:val="both"/>
      </w:pPr>
      <w:r>
        <w:rPr>
          <w:i/>
        </w:rPr>
        <w:t>Sección B. Anuncios de formalización relativos a contratos de servicios del </w:t>
      </w:r>
      <w:r>
        <w:rPr/>
        <w:t>anexo I</w:t>
      </w:r>
    </w:p>
    <w:p>
      <w:pPr>
        <w:pStyle w:val="ListParagraph"/>
        <w:numPr>
          <w:ilvl w:val="0"/>
          <w:numId w:val="508"/>
        </w:numPr>
        <w:tabs>
          <w:tab w:pos="1708" w:val="left" w:leader="none"/>
        </w:tabs>
        <w:spacing w:line="249" w:lineRule="auto" w:before="116"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508"/>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508"/>
        </w:numPr>
        <w:tabs>
          <w:tab w:pos="1650" w:val="left" w:leader="none"/>
        </w:tabs>
        <w:spacing w:line="249" w:lineRule="auto" w:before="10" w:after="0"/>
        <w:ind w:left="1074" w:right="1274" w:firstLine="340"/>
        <w:jc w:val="both"/>
        <w:rPr>
          <w:sz w:val="20"/>
        </w:rPr>
      </w:pPr>
      <w:r>
        <w:rPr>
          <w:sz w:val="20"/>
        </w:rPr>
        <w:t>Al menos, un resumen de las características y la cantidad de los servicios prestados, y, cuando proceda, obras y suministros</w:t>
      </w:r>
      <w:r>
        <w:rPr>
          <w:spacing w:val="-3"/>
          <w:sz w:val="20"/>
        </w:rPr>
        <w:t> </w:t>
      </w:r>
      <w:r>
        <w:rPr>
          <w:sz w:val="20"/>
        </w:rPr>
        <w:t>conexos.</w:t>
      </w:r>
    </w:p>
    <w:p>
      <w:pPr>
        <w:pStyle w:val="ListParagraph"/>
        <w:numPr>
          <w:ilvl w:val="0"/>
          <w:numId w:val="508"/>
        </w:numPr>
        <w:tabs>
          <w:tab w:pos="1637" w:val="left" w:leader="none"/>
        </w:tabs>
        <w:spacing w:line="240" w:lineRule="auto" w:before="2" w:after="0"/>
        <w:ind w:left="1636" w:right="0" w:hanging="223"/>
        <w:jc w:val="left"/>
        <w:rPr>
          <w:sz w:val="20"/>
        </w:rPr>
      </w:pPr>
      <w:r>
        <w:rPr>
          <w:sz w:val="20"/>
        </w:rPr>
        <w:t>Referencia de la publicación del anuncio en el «Diario Oficial de la Unión</w:t>
      </w:r>
      <w:r>
        <w:rPr>
          <w:spacing w:val="-26"/>
          <w:sz w:val="20"/>
        </w:rPr>
        <w:t> </w:t>
      </w:r>
      <w:r>
        <w:rPr>
          <w:sz w:val="20"/>
        </w:rPr>
        <w:t>Europea».</w:t>
      </w:r>
    </w:p>
    <w:p>
      <w:pPr>
        <w:pStyle w:val="ListParagraph"/>
        <w:numPr>
          <w:ilvl w:val="0"/>
          <w:numId w:val="508"/>
        </w:numPr>
        <w:tabs>
          <w:tab w:pos="1637" w:val="left" w:leader="none"/>
        </w:tabs>
        <w:spacing w:line="240" w:lineRule="auto" w:before="10" w:after="0"/>
        <w:ind w:left="1636" w:right="0" w:hanging="223"/>
        <w:jc w:val="left"/>
        <w:rPr>
          <w:sz w:val="20"/>
        </w:rPr>
      </w:pPr>
      <w:r>
        <w:rPr>
          <w:sz w:val="20"/>
        </w:rPr>
        <w:t>Número de ofertas</w:t>
      </w:r>
      <w:r>
        <w:rPr>
          <w:spacing w:val="-4"/>
          <w:sz w:val="20"/>
        </w:rPr>
        <w:t> </w:t>
      </w:r>
      <w:r>
        <w:rPr>
          <w:sz w:val="20"/>
        </w:rPr>
        <w:t>recibidas.</w:t>
      </w:r>
    </w:p>
    <w:p>
      <w:pPr>
        <w:pStyle w:val="ListParagraph"/>
        <w:numPr>
          <w:ilvl w:val="0"/>
          <w:numId w:val="508"/>
        </w:numPr>
        <w:tabs>
          <w:tab w:pos="1637" w:val="left" w:leader="none"/>
        </w:tabs>
        <w:spacing w:line="240" w:lineRule="auto" w:before="10" w:after="0"/>
        <w:ind w:left="1636" w:right="0" w:hanging="223"/>
        <w:jc w:val="left"/>
        <w:rPr>
          <w:sz w:val="20"/>
        </w:rPr>
      </w:pPr>
      <w:r>
        <w:rPr>
          <w:sz w:val="20"/>
        </w:rPr>
        <w:t>Nombre y dirección del empresario u empresarios</w:t>
      </w:r>
      <w:r>
        <w:rPr>
          <w:spacing w:val="-10"/>
          <w:sz w:val="20"/>
        </w:rPr>
        <w:t> </w:t>
      </w:r>
      <w:r>
        <w:rPr>
          <w:sz w:val="20"/>
        </w:rPr>
        <w:t>seleccionados.</w:t>
      </w:r>
    </w:p>
    <w:p>
      <w:pPr>
        <w:pStyle w:val="ListParagraph"/>
        <w:numPr>
          <w:ilvl w:val="0"/>
          <w:numId w:val="508"/>
        </w:numPr>
        <w:tabs>
          <w:tab w:pos="1637" w:val="left" w:leader="none"/>
        </w:tabs>
        <w:spacing w:line="240" w:lineRule="auto" w:before="10" w:after="0"/>
        <w:ind w:left="1636" w:right="0" w:hanging="223"/>
        <w:jc w:val="left"/>
        <w:rPr>
          <w:sz w:val="20"/>
        </w:rPr>
      </w:pPr>
      <w:r>
        <w:rPr>
          <w:sz w:val="20"/>
        </w:rPr>
        <w:t>Si procede, otras</w:t>
      </w:r>
      <w:r>
        <w:rPr>
          <w:spacing w:val="-3"/>
          <w:sz w:val="20"/>
        </w:rPr>
        <w:t> </w:t>
      </w:r>
      <w:r>
        <w:rPr>
          <w:sz w:val="20"/>
        </w:rPr>
        <w:t>informaciones.</w:t>
      </w:r>
    </w:p>
    <w:p>
      <w:pPr>
        <w:spacing w:after="0" w:line="240" w:lineRule="auto"/>
        <w:jc w:val="left"/>
        <w:rPr>
          <w:sz w:val="20"/>
        </w:rPr>
        <w:sectPr>
          <w:pgSz w:w="11910" w:h="16840"/>
          <w:pgMar w:header="529" w:footer="570" w:top="1200" w:bottom="760" w:left="740" w:right="540"/>
        </w:sectPr>
      </w:pPr>
    </w:p>
    <w:p>
      <w:pPr>
        <w:pStyle w:val="BodyText"/>
        <w:spacing w:before="0"/>
        <w:ind w:left="0" w:firstLine="0"/>
        <w:jc w:val="left"/>
      </w:pPr>
    </w:p>
    <w:p>
      <w:pPr>
        <w:pStyle w:val="BodyText"/>
        <w:spacing w:before="3"/>
        <w:ind w:left="0" w:firstLine="0"/>
        <w:jc w:val="left"/>
        <w:rPr>
          <w:sz w:val="21"/>
        </w:rPr>
      </w:pPr>
    </w:p>
    <w:p>
      <w:pPr>
        <w:pStyle w:val="Heading2"/>
        <w:spacing w:line="249" w:lineRule="auto"/>
        <w:ind w:left="4112" w:right="1278" w:hanging="2699"/>
        <w:jc w:val="left"/>
      </w:pPr>
      <w:r>
        <w:rPr>
          <w:i/>
        </w:rPr>
        <w:t>Sección C. Anuncios de formalización de contratos de concesión de obras y de </w:t>
      </w:r>
      <w:r>
        <w:rPr/>
        <w:t>concesión de servicios</w:t>
      </w:r>
    </w:p>
    <w:p>
      <w:pPr>
        <w:pStyle w:val="BodyText"/>
        <w:spacing w:before="4"/>
        <w:ind w:left="0" w:firstLine="0"/>
        <w:jc w:val="left"/>
        <w:rPr>
          <w:b/>
          <w:i/>
          <w:sz w:val="24"/>
        </w:rPr>
      </w:pPr>
    </w:p>
    <w:p>
      <w:pPr>
        <w:pStyle w:val="ListParagraph"/>
        <w:numPr>
          <w:ilvl w:val="0"/>
          <w:numId w:val="509"/>
        </w:numPr>
        <w:tabs>
          <w:tab w:pos="1257" w:val="left" w:leader="none"/>
        </w:tabs>
        <w:spacing w:line="249" w:lineRule="auto" w:before="0" w:after="0"/>
        <w:ind w:left="1288" w:right="1271" w:hanging="215"/>
        <w:jc w:val="left"/>
        <w:rPr>
          <w:sz w:val="20"/>
        </w:rPr>
      </w:pPr>
      <w:r>
        <w:rPr>
          <w:sz w:val="20"/>
        </w:rPr>
        <w:t>Información que debe figurar en los anuncios de formalización de contratos de concesión de obras y de concesión de servicios distintos de los referidos en el apartado II</w:t>
      </w:r>
      <w:r>
        <w:rPr>
          <w:spacing w:val="-31"/>
          <w:sz w:val="20"/>
        </w:rPr>
        <w:t> </w:t>
      </w:r>
      <w:r>
        <w:rPr>
          <w:sz w:val="20"/>
        </w:rPr>
        <w:t>siguiente</w:t>
      </w:r>
    </w:p>
    <w:p>
      <w:pPr>
        <w:pStyle w:val="ListParagraph"/>
        <w:numPr>
          <w:ilvl w:val="1"/>
          <w:numId w:val="509"/>
        </w:numPr>
        <w:tabs>
          <w:tab w:pos="1657" w:val="left" w:leader="none"/>
        </w:tabs>
        <w:spacing w:line="249" w:lineRule="auto" w:before="121" w:after="0"/>
        <w:ind w:left="1074" w:right="1274" w:firstLine="340"/>
        <w:jc w:val="both"/>
        <w:rPr>
          <w:sz w:val="20"/>
        </w:rPr>
      </w:pPr>
      <w:r>
        <w:rPr>
          <w:sz w:val="20"/>
        </w:rPr>
        <w:t>Nombre, número de identificación, dirección (incluido el código NUTS) y, si procede, número de teléfono y de fax, y dirección electrónica y de internet de la entidad contratante y, en caso de ser diferente, del servicio del que pueda obtenerse información</w:t>
      </w:r>
      <w:r>
        <w:rPr>
          <w:spacing w:val="-40"/>
          <w:sz w:val="20"/>
        </w:rPr>
        <w:t> </w:t>
      </w:r>
      <w:r>
        <w:rPr>
          <w:sz w:val="20"/>
        </w:rPr>
        <w:t>complementaria.</w:t>
      </w:r>
    </w:p>
    <w:p>
      <w:pPr>
        <w:pStyle w:val="ListParagraph"/>
        <w:numPr>
          <w:ilvl w:val="1"/>
          <w:numId w:val="509"/>
        </w:numPr>
        <w:tabs>
          <w:tab w:pos="1637" w:val="left" w:leader="none"/>
        </w:tabs>
        <w:spacing w:line="240" w:lineRule="auto" w:before="3" w:after="0"/>
        <w:ind w:left="1636" w:right="0" w:hanging="223"/>
        <w:jc w:val="both"/>
        <w:rPr>
          <w:sz w:val="20"/>
        </w:rPr>
      </w:pPr>
      <w:r>
        <w:rPr>
          <w:sz w:val="20"/>
        </w:rPr>
        <w:t>Tipo de entidad contratante y principal actividad</w:t>
      </w:r>
      <w:r>
        <w:rPr>
          <w:spacing w:val="-8"/>
          <w:sz w:val="20"/>
        </w:rPr>
        <w:t> </w:t>
      </w:r>
      <w:r>
        <w:rPr>
          <w:sz w:val="20"/>
        </w:rPr>
        <w:t>desarrollada.</w:t>
      </w:r>
    </w:p>
    <w:p>
      <w:pPr>
        <w:pStyle w:val="ListParagraph"/>
        <w:numPr>
          <w:ilvl w:val="1"/>
          <w:numId w:val="509"/>
        </w:numPr>
        <w:tabs>
          <w:tab w:pos="1637" w:val="left" w:leader="none"/>
        </w:tabs>
        <w:spacing w:line="240" w:lineRule="auto" w:before="10" w:after="0"/>
        <w:ind w:left="1636" w:right="0" w:hanging="223"/>
        <w:jc w:val="both"/>
        <w:rPr>
          <w:sz w:val="20"/>
        </w:rPr>
      </w:pPr>
      <w:r>
        <w:rPr>
          <w:sz w:val="20"/>
        </w:rPr>
        <w:t>Códigos</w:t>
      </w:r>
      <w:r>
        <w:rPr>
          <w:spacing w:val="-2"/>
          <w:sz w:val="20"/>
        </w:rPr>
        <w:t> </w:t>
      </w:r>
      <w:r>
        <w:rPr>
          <w:sz w:val="20"/>
        </w:rPr>
        <w:t>CPV.</w:t>
      </w:r>
    </w:p>
    <w:p>
      <w:pPr>
        <w:pStyle w:val="ListParagraph"/>
        <w:numPr>
          <w:ilvl w:val="1"/>
          <w:numId w:val="509"/>
        </w:numPr>
        <w:tabs>
          <w:tab w:pos="1662" w:val="left" w:leader="none"/>
        </w:tabs>
        <w:spacing w:line="249" w:lineRule="auto" w:before="10" w:after="0"/>
        <w:ind w:left="1074" w:right="1273" w:firstLine="340"/>
        <w:jc w:val="both"/>
        <w:rPr>
          <w:sz w:val="20"/>
        </w:rPr>
      </w:pPr>
      <w:r>
        <w:rPr>
          <w:sz w:val="20"/>
        </w:rPr>
        <w:t>Código NUTS del emplazamiento principal de las obras, en el caso de contratos de concesión de obras, o del lugar principal de prestación, tratándose de contratos de  concesión de</w:t>
      </w:r>
      <w:r>
        <w:rPr>
          <w:spacing w:val="-2"/>
          <w:sz w:val="20"/>
        </w:rPr>
        <w:t> </w:t>
      </w:r>
      <w:r>
        <w:rPr>
          <w:sz w:val="20"/>
        </w:rPr>
        <w:t>servicios.</w:t>
      </w:r>
    </w:p>
    <w:p>
      <w:pPr>
        <w:pStyle w:val="ListParagraph"/>
        <w:numPr>
          <w:ilvl w:val="1"/>
          <w:numId w:val="509"/>
        </w:numPr>
        <w:tabs>
          <w:tab w:pos="1642" w:val="left" w:leader="none"/>
        </w:tabs>
        <w:spacing w:line="249" w:lineRule="auto" w:before="2" w:after="0"/>
        <w:ind w:left="1074" w:right="1273" w:firstLine="340"/>
        <w:jc w:val="both"/>
        <w:rPr>
          <w:sz w:val="20"/>
        </w:rPr>
      </w:pPr>
      <w:r>
        <w:rPr>
          <w:sz w:val="20"/>
        </w:rPr>
        <w:t>Descripción del contrato de concesión: naturaleza y magnitud de las obras, naturaleza y magnitud de los servicios, duración del contrato. Cuando el mismo esté dividido en lotes, esta información se facilitará para cada lote. Si procede, descripción de posibles</w:t>
      </w:r>
      <w:r>
        <w:rPr>
          <w:spacing w:val="-39"/>
          <w:sz w:val="20"/>
        </w:rPr>
        <w:t> </w:t>
      </w:r>
      <w:r>
        <w:rPr>
          <w:sz w:val="20"/>
        </w:rPr>
        <w:t>variantes.</w:t>
      </w:r>
    </w:p>
    <w:p>
      <w:pPr>
        <w:pStyle w:val="ListParagraph"/>
        <w:numPr>
          <w:ilvl w:val="1"/>
          <w:numId w:val="509"/>
        </w:numPr>
        <w:tabs>
          <w:tab w:pos="1658" w:val="left" w:leader="none"/>
        </w:tabs>
        <w:spacing w:line="249" w:lineRule="auto" w:before="3" w:after="0"/>
        <w:ind w:left="1074" w:right="1275" w:firstLine="340"/>
        <w:jc w:val="both"/>
        <w:rPr>
          <w:sz w:val="20"/>
        </w:rPr>
      </w:pPr>
      <w:r>
        <w:rPr>
          <w:sz w:val="20"/>
        </w:rPr>
        <w:t>Descripción del procedimiento de adjudicación utilizado; en caso de adjudicación sin publicación previa, justificación de la</w:t>
      </w:r>
      <w:r>
        <w:rPr>
          <w:spacing w:val="-7"/>
          <w:sz w:val="20"/>
        </w:rPr>
        <w:t> </w:t>
      </w:r>
      <w:r>
        <w:rPr>
          <w:sz w:val="20"/>
        </w:rPr>
        <w:t>misma.</w:t>
      </w:r>
    </w:p>
    <w:p>
      <w:pPr>
        <w:pStyle w:val="ListParagraph"/>
        <w:numPr>
          <w:ilvl w:val="1"/>
          <w:numId w:val="509"/>
        </w:numPr>
        <w:tabs>
          <w:tab w:pos="1637" w:val="left" w:leader="none"/>
        </w:tabs>
        <w:spacing w:line="240" w:lineRule="auto" w:before="1" w:after="0"/>
        <w:ind w:left="1636" w:right="0" w:hanging="223"/>
        <w:jc w:val="left"/>
        <w:rPr>
          <w:sz w:val="20"/>
        </w:rPr>
      </w:pPr>
      <w:r>
        <w:rPr>
          <w:sz w:val="20"/>
        </w:rPr>
        <w:t>Criterios previstos en el artículo 66 que se utilizarán para la adjudicación del</w:t>
      </w:r>
      <w:r>
        <w:rPr>
          <w:spacing w:val="-30"/>
          <w:sz w:val="20"/>
        </w:rPr>
        <w:t> </w:t>
      </w:r>
      <w:r>
        <w:rPr>
          <w:sz w:val="20"/>
        </w:rPr>
        <w:t>contrato.</w:t>
      </w:r>
    </w:p>
    <w:p>
      <w:pPr>
        <w:pStyle w:val="ListParagraph"/>
        <w:numPr>
          <w:ilvl w:val="1"/>
          <w:numId w:val="509"/>
        </w:numPr>
        <w:tabs>
          <w:tab w:pos="1637" w:val="left" w:leader="none"/>
        </w:tabs>
        <w:spacing w:line="240" w:lineRule="auto" w:before="10" w:after="0"/>
        <w:ind w:left="1636" w:right="0" w:hanging="223"/>
        <w:jc w:val="left"/>
        <w:rPr>
          <w:sz w:val="20"/>
        </w:rPr>
      </w:pPr>
      <w:r>
        <w:rPr>
          <w:sz w:val="20"/>
        </w:rPr>
        <w:t>Fecha de la decisión o decisiones de adjudicación del</w:t>
      </w:r>
      <w:r>
        <w:rPr>
          <w:spacing w:val="-13"/>
          <w:sz w:val="20"/>
        </w:rPr>
        <w:t> </w:t>
      </w:r>
      <w:r>
        <w:rPr>
          <w:sz w:val="20"/>
        </w:rPr>
        <w:t>contrato.</w:t>
      </w:r>
    </w:p>
    <w:p>
      <w:pPr>
        <w:pStyle w:val="ListParagraph"/>
        <w:numPr>
          <w:ilvl w:val="1"/>
          <w:numId w:val="509"/>
        </w:numPr>
        <w:tabs>
          <w:tab w:pos="1637" w:val="left" w:leader="none"/>
        </w:tabs>
        <w:spacing w:line="240" w:lineRule="auto" w:before="10" w:after="0"/>
        <w:ind w:left="1636" w:right="0" w:hanging="223"/>
        <w:jc w:val="left"/>
        <w:rPr>
          <w:sz w:val="20"/>
        </w:rPr>
      </w:pPr>
      <w:r>
        <w:rPr>
          <w:sz w:val="20"/>
        </w:rPr>
        <w:t>Número de ofertas recibidas para cada adjudicación,</w:t>
      </w:r>
      <w:r>
        <w:rPr>
          <w:spacing w:val="-10"/>
          <w:sz w:val="20"/>
        </w:rPr>
        <w:t> </w:t>
      </w:r>
      <w:r>
        <w:rPr>
          <w:sz w:val="20"/>
        </w:rPr>
        <w:t>especificando:</w:t>
      </w:r>
    </w:p>
    <w:p>
      <w:pPr>
        <w:pStyle w:val="ListParagraph"/>
        <w:numPr>
          <w:ilvl w:val="0"/>
          <w:numId w:val="510"/>
        </w:numPr>
        <w:tabs>
          <w:tab w:pos="1706" w:val="left" w:leader="none"/>
        </w:tabs>
        <w:spacing w:line="249" w:lineRule="auto" w:before="131" w:after="0"/>
        <w:ind w:left="1074" w:right="1274" w:firstLine="340"/>
        <w:jc w:val="left"/>
        <w:rPr>
          <w:sz w:val="20"/>
        </w:rPr>
      </w:pPr>
      <w:r>
        <w:rPr>
          <w:sz w:val="20"/>
        </w:rPr>
        <w:t>el número de ofertas recibidas de operadores económicos que son pequeñas y medianas</w:t>
      </w:r>
      <w:r>
        <w:rPr>
          <w:spacing w:val="-1"/>
          <w:sz w:val="20"/>
        </w:rPr>
        <w:t> </w:t>
      </w:r>
      <w:r>
        <w:rPr>
          <w:sz w:val="20"/>
        </w:rPr>
        <w:t>empresas;</w:t>
      </w:r>
    </w:p>
    <w:p>
      <w:pPr>
        <w:pStyle w:val="ListParagraph"/>
        <w:numPr>
          <w:ilvl w:val="0"/>
          <w:numId w:val="510"/>
        </w:numPr>
        <w:tabs>
          <w:tab w:pos="1648" w:val="left" w:leader="none"/>
        </w:tabs>
        <w:spacing w:line="240" w:lineRule="auto" w:before="1" w:after="0"/>
        <w:ind w:left="1647" w:right="0" w:hanging="234"/>
        <w:jc w:val="left"/>
        <w:rPr>
          <w:sz w:val="20"/>
        </w:rPr>
      </w:pPr>
      <w:r>
        <w:rPr>
          <w:sz w:val="20"/>
        </w:rPr>
        <w:t>el número de ofertas recibidas del</w:t>
      </w:r>
      <w:r>
        <w:rPr>
          <w:spacing w:val="-7"/>
          <w:sz w:val="20"/>
        </w:rPr>
        <w:t> </w:t>
      </w:r>
      <w:r>
        <w:rPr>
          <w:sz w:val="20"/>
        </w:rPr>
        <w:t>extranjero;</w:t>
      </w:r>
    </w:p>
    <w:p>
      <w:pPr>
        <w:pStyle w:val="ListParagraph"/>
        <w:numPr>
          <w:ilvl w:val="0"/>
          <w:numId w:val="510"/>
        </w:numPr>
        <w:tabs>
          <w:tab w:pos="1637" w:val="left" w:leader="none"/>
        </w:tabs>
        <w:spacing w:line="240" w:lineRule="auto" w:before="10" w:after="0"/>
        <w:ind w:left="1636" w:right="0" w:hanging="223"/>
        <w:jc w:val="left"/>
        <w:rPr>
          <w:sz w:val="20"/>
        </w:rPr>
      </w:pPr>
      <w:r>
        <w:rPr>
          <w:sz w:val="20"/>
        </w:rPr>
        <w:t>el número de ofertas recibidas por vía</w:t>
      </w:r>
      <w:r>
        <w:rPr>
          <w:spacing w:val="-8"/>
          <w:sz w:val="20"/>
        </w:rPr>
        <w:t> </w:t>
      </w:r>
      <w:r>
        <w:rPr>
          <w:sz w:val="20"/>
        </w:rPr>
        <w:t>electrónica.</w:t>
      </w:r>
    </w:p>
    <w:p>
      <w:pPr>
        <w:pStyle w:val="ListParagraph"/>
        <w:numPr>
          <w:ilvl w:val="1"/>
          <w:numId w:val="509"/>
        </w:numPr>
        <w:tabs>
          <w:tab w:pos="1770" w:val="left" w:leader="none"/>
        </w:tabs>
        <w:spacing w:line="249" w:lineRule="auto" w:before="130" w:after="0"/>
        <w:ind w:left="1074" w:right="1273" w:firstLine="340"/>
        <w:jc w:val="both"/>
        <w:rPr>
          <w:sz w:val="20"/>
        </w:rPr>
      </w:pPr>
      <w:r>
        <w:rPr>
          <w:sz w:val="20"/>
        </w:rPr>
        <w:t>Para cada adjudicación, nombre, dirección (incluido el código NUTS) y, si procede, número de teléfono y de fax, y dirección electrónica y de internet del licitador o licitadores seleccionados,</w:t>
      </w:r>
      <w:r>
        <w:rPr>
          <w:spacing w:val="-1"/>
          <w:sz w:val="20"/>
        </w:rPr>
        <w:t> </w:t>
      </w:r>
      <w:r>
        <w:rPr>
          <w:sz w:val="20"/>
        </w:rPr>
        <w:t>especificando:</w:t>
      </w:r>
    </w:p>
    <w:p>
      <w:pPr>
        <w:pStyle w:val="ListParagraph"/>
        <w:numPr>
          <w:ilvl w:val="0"/>
          <w:numId w:val="511"/>
        </w:numPr>
        <w:tabs>
          <w:tab w:pos="1648" w:val="left" w:leader="none"/>
        </w:tabs>
        <w:spacing w:line="240" w:lineRule="auto" w:before="123" w:after="0"/>
        <w:ind w:left="1647" w:right="0" w:hanging="234"/>
        <w:jc w:val="left"/>
        <w:rPr>
          <w:sz w:val="20"/>
        </w:rPr>
      </w:pPr>
      <w:r>
        <w:rPr>
          <w:sz w:val="20"/>
        </w:rPr>
        <w:t>si el licitador adjudicatario es una pequeña y mediana</w:t>
      </w:r>
      <w:r>
        <w:rPr>
          <w:spacing w:val="-11"/>
          <w:sz w:val="20"/>
        </w:rPr>
        <w:t> </w:t>
      </w:r>
      <w:r>
        <w:rPr>
          <w:sz w:val="20"/>
        </w:rPr>
        <w:t>empresa;</w:t>
      </w:r>
    </w:p>
    <w:p>
      <w:pPr>
        <w:pStyle w:val="ListParagraph"/>
        <w:numPr>
          <w:ilvl w:val="0"/>
          <w:numId w:val="511"/>
        </w:numPr>
        <w:tabs>
          <w:tab w:pos="1648" w:val="left" w:leader="none"/>
        </w:tabs>
        <w:spacing w:line="240" w:lineRule="auto" w:before="10" w:after="0"/>
        <w:ind w:left="1647" w:right="0" w:hanging="234"/>
        <w:jc w:val="left"/>
        <w:rPr>
          <w:sz w:val="20"/>
        </w:rPr>
      </w:pPr>
      <w:r>
        <w:rPr>
          <w:sz w:val="20"/>
        </w:rPr>
        <w:t>si el contrato de concesión se ha adjudicado a un</w:t>
      </w:r>
      <w:r>
        <w:rPr>
          <w:spacing w:val="-8"/>
          <w:sz w:val="20"/>
        </w:rPr>
        <w:t> </w:t>
      </w:r>
      <w:r>
        <w:rPr>
          <w:sz w:val="20"/>
        </w:rPr>
        <w:t>consorcio.</w:t>
      </w:r>
    </w:p>
    <w:p>
      <w:pPr>
        <w:pStyle w:val="ListParagraph"/>
        <w:numPr>
          <w:ilvl w:val="1"/>
          <w:numId w:val="509"/>
        </w:numPr>
        <w:tabs>
          <w:tab w:pos="1752" w:val="left" w:leader="none"/>
        </w:tabs>
        <w:spacing w:line="249" w:lineRule="auto" w:before="130" w:after="0"/>
        <w:ind w:left="1074" w:right="1273" w:firstLine="340"/>
        <w:jc w:val="left"/>
        <w:rPr>
          <w:sz w:val="20"/>
        </w:rPr>
      </w:pPr>
      <w:r>
        <w:rPr>
          <w:sz w:val="20"/>
        </w:rPr>
        <w:t>Valor y principales condiciones económicas del contrato de concesión adjudicado, en particular:</w:t>
      </w:r>
    </w:p>
    <w:p>
      <w:pPr>
        <w:pStyle w:val="ListParagraph"/>
        <w:numPr>
          <w:ilvl w:val="0"/>
          <w:numId w:val="512"/>
        </w:numPr>
        <w:tabs>
          <w:tab w:pos="1648" w:val="left" w:leader="none"/>
        </w:tabs>
        <w:spacing w:line="240" w:lineRule="auto" w:before="121" w:after="0"/>
        <w:ind w:left="1647" w:right="0" w:hanging="234"/>
        <w:jc w:val="left"/>
        <w:rPr>
          <w:sz w:val="20"/>
        </w:rPr>
      </w:pPr>
      <w:r>
        <w:rPr>
          <w:sz w:val="20"/>
        </w:rPr>
        <w:t>honorarios, precios y multas de</w:t>
      </w:r>
      <w:r>
        <w:rPr>
          <w:spacing w:val="-5"/>
          <w:sz w:val="20"/>
        </w:rPr>
        <w:t> </w:t>
      </w:r>
      <w:r>
        <w:rPr>
          <w:sz w:val="20"/>
        </w:rPr>
        <w:t>haberlas;</w:t>
      </w:r>
    </w:p>
    <w:p>
      <w:pPr>
        <w:pStyle w:val="ListParagraph"/>
        <w:numPr>
          <w:ilvl w:val="0"/>
          <w:numId w:val="512"/>
        </w:numPr>
        <w:tabs>
          <w:tab w:pos="1648" w:val="left" w:leader="none"/>
        </w:tabs>
        <w:spacing w:line="240" w:lineRule="auto" w:before="10" w:after="0"/>
        <w:ind w:left="1647" w:right="0" w:hanging="234"/>
        <w:jc w:val="left"/>
        <w:rPr>
          <w:sz w:val="20"/>
        </w:rPr>
      </w:pPr>
      <w:r>
        <w:rPr>
          <w:sz w:val="20"/>
        </w:rPr>
        <w:t>primas y pagos de</w:t>
      </w:r>
      <w:r>
        <w:rPr>
          <w:spacing w:val="-4"/>
          <w:sz w:val="20"/>
        </w:rPr>
        <w:t> </w:t>
      </w:r>
      <w:r>
        <w:rPr>
          <w:sz w:val="20"/>
        </w:rPr>
        <w:t>haberlos;</w:t>
      </w:r>
    </w:p>
    <w:p>
      <w:pPr>
        <w:pStyle w:val="ListParagraph"/>
        <w:numPr>
          <w:ilvl w:val="0"/>
          <w:numId w:val="512"/>
        </w:numPr>
        <w:tabs>
          <w:tab w:pos="1669" w:val="left" w:leader="none"/>
        </w:tabs>
        <w:spacing w:line="249" w:lineRule="auto" w:before="10" w:after="0"/>
        <w:ind w:left="1074" w:right="1274" w:firstLine="340"/>
        <w:jc w:val="left"/>
        <w:rPr>
          <w:sz w:val="20"/>
        </w:rPr>
      </w:pPr>
      <w:r>
        <w:rPr>
          <w:sz w:val="20"/>
        </w:rPr>
        <w:t>cualesquiera otros detalles pertinentes para el valor de la concesión conforme a lo establecido en el artículo</w:t>
      </w:r>
      <w:r>
        <w:rPr>
          <w:spacing w:val="-5"/>
          <w:sz w:val="20"/>
        </w:rPr>
        <w:t> </w:t>
      </w:r>
      <w:r>
        <w:rPr>
          <w:sz w:val="20"/>
        </w:rPr>
        <w:t>4.</w:t>
      </w:r>
    </w:p>
    <w:p>
      <w:pPr>
        <w:pStyle w:val="ListParagraph"/>
        <w:numPr>
          <w:ilvl w:val="1"/>
          <w:numId w:val="509"/>
        </w:numPr>
        <w:tabs>
          <w:tab w:pos="1825" w:val="left" w:leader="none"/>
        </w:tabs>
        <w:spacing w:line="249" w:lineRule="auto" w:before="122" w:after="0"/>
        <w:ind w:left="1074" w:right="1273" w:firstLine="340"/>
        <w:jc w:val="both"/>
        <w:rPr>
          <w:sz w:val="20"/>
        </w:rPr>
      </w:pPr>
      <w:r>
        <w:rPr>
          <w:sz w:val="20"/>
        </w:rPr>
        <w:t>Información de si la concesión guarda relación con un proyecto o programa financiado por fondos de la Unión</w:t>
      </w:r>
      <w:r>
        <w:rPr>
          <w:spacing w:val="-5"/>
          <w:sz w:val="20"/>
        </w:rPr>
        <w:t> </w:t>
      </w:r>
      <w:r>
        <w:rPr>
          <w:sz w:val="20"/>
        </w:rPr>
        <w:t>Europea.</w:t>
      </w:r>
    </w:p>
    <w:p>
      <w:pPr>
        <w:pStyle w:val="ListParagraph"/>
        <w:numPr>
          <w:ilvl w:val="1"/>
          <w:numId w:val="509"/>
        </w:numPr>
        <w:tabs>
          <w:tab w:pos="1757" w:val="left" w:leader="none"/>
        </w:tabs>
        <w:spacing w:line="249" w:lineRule="auto" w:before="2" w:after="0"/>
        <w:ind w:left="1074" w:right="1274" w:firstLine="340"/>
        <w:jc w:val="both"/>
        <w:rPr>
          <w:sz w:val="20"/>
        </w:rPr>
      </w:pPr>
      <w:r>
        <w:rPr>
          <w:sz w:val="20"/>
        </w:rPr>
        <w:t>Nombre y dirección del órgano responsable de los procedimientos de reclamación y, si procede, de arbitraje. Indicación precisa del plazo de presentación de las reclamaciones o, en caso necesario, el nombre, dirección, números de teléfono y de fax y dirección electrónica del servicio del que pueda obtenerse dicha</w:t>
      </w:r>
      <w:r>
        <w:rPr>
          <w:spacing w:val="-10"/>
          <w:sz w:val="20"/>
        </w:rPr>
        <w:t> </w:t>
      </w:r>
      <w:r>
        <w:rPr>
          <w:sz w:val="20"/>
        </w:rPr>
        <w:t>información.</w:t>
      </w:r>
    </w:p>
    <w:p>
      <w:pPr>
        <w:pStyle w:val="ListParagraph"/>
        <w:numPr>
          <w:ilvl w:val="1"/>
          <w:numId w:val="509"/>
        </w:numPr>
        <w:tabs>
          <w:tab w:pos="1779" w:val="left" w:leader="none"/>
        </w:tabs>
        <w:spacing w:line="249" w:lineRule="auto" w:before="3" w:after="0"/>
        <w:ind w:left="1074" w:right="1273" w:firstLine="340"/>
        <w:jc w:val="both"/>
        <w:rPr>
          <w:sz w:val="20"/>
        </w:rPr>
      </w:pPr>
      <w:r>
        <w:rPr>
          <w:sz w:val="20"/>
        </w:rPr>
        <w:t>Fechas y referencias de anteriores publicaciones en el «Diario Oficial de la Unión Europea» que guarden relación con el contrato de concesión objeto del</w:t>
      </w:r>
      <w:r>
        <w:rPr>
          <w:spacing w:val="-15"/>
          <w:sz w:val="20"/>
        </w:rPr>
        <w:t> </w:t>
      </w:r>
      <w:r>
        <w:rPr>
          <w:sz w:val="20"/>
        </w:rPr>
        <w:t>anuncio.</w:t>
      </w:r>
    </w:p>
    <w:p>
      <w:pPr>
        <w:pStyle w:val="ListParagraph"/>
        <w:numPr>
          <w:ilvl w:val="1"/>
          <w:numId w:val="509"/>
        </w:numPr>
        <w:tabs>
          <w:tab w:pos="1748" w:val="left" w:leader="none"/>
        </w:tabs>
        <w:spacing w:line="240" w:lineRule="auto" w:before="2" w:after="0"/>
        <w:ind w:left="1747" w:right="0" w:hanging="334"/>
        <w:jc w:val="both"/>
        <w:rPr>
          <w:sz w:val="20"/>
        </w:rPr>
      </w:pPr>
      <w:r>
        <w:rPr>
          <w:sz w:val="20"/>
        </w:rPr>
        <w:t>Fecha de envío del</w:t>
      </w:r>
      <w:r>
        <w:rPr>
          <w:spacing w:val="-4"/>
          <w:sz w:val="20"/>
        </w:rPr>
        <w:t> </w:t>
      </w:r>
      <w:r>
        <w:rPr>
          <w:sz w:val="20"/>
        </w:rPr>
        <w:t>anuncio.</w:t>
      </w:r>
    </w:p>
    <w:p>
      <w:pPr>
        <w:pStyle w:val="ListParagraph"/>
        <w:numPr>
          <w:ilvl w:val="1"/>
          <w:numId w:val="509"/>
        </w:numPr>
        <w:tabs>
          <w:tab w:pos="1766" w:val="left" w:leader="none"/>
        </w:tabs>
        <w:spacing w:line="249" w:lineRule="auto" w:before="10" w:after="0"/>
        <w:ind w:left="1074" w:right="1273" w:firstLine="340"/>
        <w:jc w:val="both"/>
        <w:rPr>
          <w:sz w:val="20"/>
        </w:rPr>
      </w:pPr>
      <w:r>
        <w:rPr>
          <w:sz w:val="20"/>
        </w:rPr>
        <w:t>Método utilizado para calcular el valor estimado del contrato de concesión, si no se especifica en otros documentos relativos al mismo de conformidad con el artículo</w:t>
      </w:r>
      <w:r>
        <w:rPr>
          <w:spacing w:val="-23"/>
          <w:sz w:val="20"/>
        </w:rPr>
        <w:t> </w:t>
      </w:r>
      <w:r>
        <w:rPr>
          <w:sz w:val="20"/>
        </w:rPr>
        <w:t>4.</w:t>
      </w:r>
    </w:p>
    <w:p>
      <w:pPr>
        <w:pStyle w:val="ListParagraph"/>
        <w:numPr>
          <w:ilvl w:val="1"/>
          <w:numId w:val="509"/>
        </w:numPr>
        <w:tabs>
          <w:tab w:pos="1748" w:val="left" w:leader="none"/>
        </w:tabs>
        <w:spacing w:line="240" w:lineRule="auto" w:before="1" w:after="0"/>
        <w:ind w:left="1747" w:right="0" w:hanging="334"/>
        <w:jc w:val="both"/>
        <w:rPr>
          <w:sz w:val="20"/>
        </w:rPr>
      </w:pPr>
      <w:r>
        <w:rPr>
          <w:sz w:val="20"/>
        </w:rPr>
        <w:t>Si procede, otras</w:t>
      </w:r>
      <w:r>
        <w:rPr>
          <w:spacing w:val="-3"/>
          <w:sz w:val="20"/>
        </w:rPr>
        <w:t> </w:t>
      </w:r>
      <w:r>
        <w:rPr>
          <w:sz w:val="20"/>
        </w:rPr>
        <w:t>informaciones.</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509"/>
        </w:numPr>
        <w:tabs>
          <w:tab w:pos="1358" w:val="left" w:leader="none"/>
        </w:tabs>
        <w:spacing w:line="249" w:lineRule="auto" w:before="127" w:after="0"/>
        <w:ind w:left="3689" w:right="1270" w:hanging="2616"/>
        <w:jc w:val="left"/>
        <w:rPr>
          <w:sz w:val="20"/>
        </w:rPr>
      </w:pPr>
      <w:r>
        <w:rPr>
          <w:sz w:val="20"/>
        </w:rPr>
        <w:t>Información que debe figurar en los anuncios de formalización de los contratos de concesión de servicios del anexo</w:t>
      </w:r>
      <w:r>
        <w:rPr>
          <w:spacing w:val="-4"/>
          <w:sz w:val="20"/>
        </w:rPr>
        <w:t> </w:t>
      </w:r>
      <w:r>
        <w:rPr>
          <w:sz w:val="20"/>
        </w:rPr>
        <w:t>I</w:t>
      </w:r>
    </w:p>
    <w:p>
      <w:pPr>
        <w:pStyle w:val="ListParagraph"/>
        <w:numPr>
          <w:ilvl w:val="1"/>
          <w:numId w:val="509"/>
        </w:numPr>
        <w:tabs>
          <w:tab w:pos="1673" w:val="left" w:leader="none"/>
        </w:tabs>
        <w:spacing w:line="249" w:lineRule="auto" w:before="121" w:after="0"/>
        <w:ind w:left="1074" w:right="1274" w:firstLine="340"/>
        <w:jc w:val="both"/>
        <w:rPr>
          <w:sz w:val="20"/>
        </w:rPr>
      </w:pPr>
      <w:r>
        <w:rPr>
          <w:sz w:val="20"/>
        </w:rPr>
        <w:t>Nombre, número de identificación, dirección (incluido el código NUTS), si procede, número de teléfono y de fax, y dirección electrónica y de internet de la entidad contratante en caso de ser diferente, del servicio del que pueda obtenerse información</w:t>
      </w:r>
      <w:r>
        <w:rPr>
          <w:spacing w:val="-30"/>
          <w:sz w:val="20"/>
        </w:rPr>
        <w:t> </w:t>
      </w:r>
      <w:r>
        <w:rPr>
          <w:sz w:val="20"/>
        </w:rPr>
        <w:t>complementaria.</w:t>
      </w:r>
    </w:p>
    <w:p>
      <w:pPr>
        <w:pStyle w:val="ListParagraph"/>
        <w:numPr>
          <w:ilvl w:val="1"/>
          <w:numId w:val="509"/>
        </w:numPr>
        <w:tabs>
          <w:tab w:pos="1637" w:val="left" w:leader="none"/>
        </w:tabs>
        <w:spacing w:line="240" w:lineRule="auto" w:before="3" w:after="0"/>
        <w:ind w:left="1636" w:right="0" w:hanging="223"/>
        <w:jc w:val="both"/>
        <w:rPr>
          <w:sz w:val="20"/>
        </w:rPr>
      </w:pPr>
      <w:r>
        <w:rPr>
          <w:sz w:val="20"/>
        </w:rPr>
        <w:t>Tipo de entidad contratante y principal actividad</w:t>
      </w:r>
      <w:r>
        <w:rPr>
          <w:spacing w:val="-8"/>
          <w:sz w:val="20"/>
        </w:rPr>
        <w:t> </w:t>
      </w:r>
      <w:r>
        <w:rPr>
          <w:sz w:val="20"/>
        </w:rPr>
        <w:t>desarrollada.</w:t>
      </w:r>
    </w:p>
    <w:p>
      <w:pPr>
        <w:pStyle w:val="ListParagraph"/>
        <w:numPr>
          <w:ilvl w:val="1"/>
          <w:numId w:val="509"/>
        </w:numPr>
        <w:tabs>
          <w:tab w:pos="1638" w:val="left" w:leader="none"/>
        </w:tabs>
        <w:spacing w:line="249" w:lineRule="auto" w:before="10" w:after="0"/>
        <w:ind w:left="1074" w:right="1274" w:firstLine="340"/>
        <w:jc w:val="both"/>
        <w:rPr>
          <w:sz w:val="20"/>
        </w:rPr>
      </w:pPr>
      <w:r>
        <w:rPr>
          <w:sz w:val="20"/>
        </w:rPr>
        <w:t>Códigos CPV; cuando la concesión esté dividida en lotes, esta información se facilitará para cada</w:t>
      </w:r>
      <w:r>
        <w:rPr>
          <w:spacing w:val="-2"/>
          <w:sz w:val="20"/>
        </w:rPr>
        <w:t> </w:t>
      </w:r>
      <w:r>
        <w:rPr>
          <w:sz w:val="20"/>
        </w:rPr>
        <w:t>lote.</w:t>
      </w:r>
    </w:p>
    <w:p>
      <w:pPr>
        <w:pStyle w:val="ListParagraph"/>
        <w:numPr>
          <w:ilvl w:val="1"/>
          <w:numId w:val="509"/>
        </w:numPr>
        <w:tabs>
          <w:tab w:pos="1637" w:val="left" w:leader="none"/>
        </w:tabs>
        <w:spacing w:line="240" w:lineRule="auto" w:before="1" w:after="0"/>
        <w:ind w:left="1636" w:right="0" w:hanging="223"/>
        <w:jc w:val="left"/>
        <w:rPr>
          <w:sz w:val="20"/>
        </w:rPr>
      </w:pPr>
      <w:r>
        <w:rPr>
          <w:sz w:val="20"/>
        </w:rPr>
        <w:t>Indicación resumida del objeto de la</w:t>
      </w:r>
      <w:r>
        <w:rPr>
          <w:spacing w:val="-5"/>
          <w:sz w:val="20"/>
        </w:rPr>
        <w:t> </w:t>
      </w:r>
      <w:r>
        <w:rPr>
          <w:sz w:val="20"/>
        </w:rPr>
        <w:t>concesión.</w:t>
      </w:r>
    </w:p>
    <w:p>
      <w:pPr>
        <w:pStyle w:val="ListParagraph"/>
        <w:numPr>
          <w:ilvl w:val="1"/>
          <w:numId w:val="509"/>
        </w:numPr>
        <w:tabs>
          <w:tab w:pos="1637" w:val="left" w:leader="none"/>
        </w:tabs>
        <w:spacing w:line="240" w:lineRule="auto" w:before="10" w:after="0"/>
        <w:ind w:left="1636" w:right="0" w:hanging="223"/>
        <w:jc w:val="left"/>
        <w:rPr>
          <w:sz w:val="20"/>
        </w:rPr>
      </w:pPr>
      <w:r>
        <w:rPr>
          <w:sz w:val="20"/>
        </w:rPr>
        <w:t>Número de ofertas</w:t>
      </w:r>
      <w:r>
        <w:rPr>
          <w:spacing w:val="-4"/>
          <w:sz w:val="20"/>
        </w:rPr>
        <w:t> </w:t>
      </w:r>
      <w:r>
        <w:rPr>
          <w:sz w:val="20"/>
        </w:rPr>
        <w:t>recibidas.</w:t>
      </w:r>
    </w:p>
    <w:p>
      <w:pPr>
        <w:pStyle w:val="ListParagraph"/>
        <w:numPr>
          <w:ilvl w:val="1"/>
          <w:numId w:val="509"/>
        </w:numPr>
        <w:tabs>
          <w:tab w:pos="1637" w:val="left" w:leader="none"/>
        </w:tabs>
        <w:spacing w:line="240" w:lineRule="auto" w:before="10" w:after="0"/>
        <w:ind w:left="1636" w:right="0" w:hanging="223"/>
        <w:jc w:val="left"/>
        <w:rPr>
          <w:sz w:val="20"/>
        </w:rPr>
      </w:pPr>
      <w:r>
        <w:rPr>
          <w:sz w:val="20"/>
        </w:rPr>
        <w:t>Valor de la oferta adjudicada, incluidos honorarios y</w:t>
      </w:r>
      <w:r>
        <w:rPr>
          <w:spacing w:val="-11"/>
          <w:sz w:val="20"/>
        </w:rPr>
        <w:t> </w:t>
      </w:r>
      <w:r>
        <w:rPr>
          <w:sz w:val="20"/>
        </w:rPr>
        <w:t>precios.</w:t>
      </w:r>
    </w:p>
    <w:p>
      <w:pPr>
        <w:pStyle w:val="ListParagraph"/>
        <w:numPr>
          <w:ilvl w:val="1"/>
          <w:numId w:val="509"/>
        </w:numPr>
        <w:tabs>
          <w:tab w:pos="1649" w:val="left" w:leader="none"/>
        </w:tabs>
        <w:spacing w:line="249" w:lineRule="auto" w:before="10" w:after="0"/>
        <w:ind w:left="1074" w:right="1275" w:firstLine="340"/>
        <w:jc w:val="left"/>
        <w:rPr>
          <w:sz w:val="20"/>
        </w:rPr>
      </w:pPr>
      <w:r>
        <w:rPr>
          <w:sz w:val="20"/>
        </w:rPr>
        <w:t>Nombre y dirección (incluido el código NUTS), número de teléfono y de fax, dirección electrónica y de internet del licitador o licitadores</w:t>
      </w:r>
      <w:r>
        <w:rPr>
          <w:spacing w:val="-13"/>
          <w:sz w:val="20"/>
        </w:rPr>
        <w:t> </w:t>
      </w:r>
      <w:r>
        <w:rPr>
          <w:sz w:val="20"/>
        </w:rPr>
        <w:t>seleccionados.</w:t>
      </w:r>
    </w:p>
    <w:p>
      <w:pPr>
        <w:pStyle w:val="ListParagraph"/>
        <w:numPr>
          <w:ilvl w:val="1"/>
          <w:numId w:val="509"/>
        </w:numPr>
        <w:tabs>
          <w:tab w:pos="1637" w:val="left" w:leader="none"/>
        </w:tabs>
        <w:spacing w:line="240" w:lineRule="auto" w:before="2" w:after="0"/>
        <w:ind w:left="1636" w:right="0" w:hanging="223"/>
        <w:jc w:val="left"/>
        <w:rPr>
          <w:sz w:val="20"/>
        </w:rPr>
      </w:pPr>
      <w:r>
        <w:rPr>
          <w:sz w:val="20"/>
        </w:rPr>
        <w:t>Si procede, otras</w:t>
      </w:r>
      <w:r>
        <w:rPr>
          <w:spacing w:val="-3"/>
          <w:sz w:val="20"/>
        </w:rPr>
        <w:t> </w:t>
      </w:r>
      <w:r>
        <w:rPr>
          <w:sz w:val="20"/>
        </w:rPr>
        <w:t>informaciones.</w:t>
      </w:r>
    </w:p>
    <w:p>
      <w:pPr>
        <w:pStyle w:val="BodyText"/>
        <w:spacing w:before="0"/>
        <w:ind w:left="0" w:firstLine="0"/>
        <w:jc w:val="left"/>
        <w:rPr>
          <w:sz w:val="26"/>
        </w:rPr>
      </w:pPr>
    </w:p>
    <w:p>
      <w:pPr>
        <w:pStyle w:val="Heading1"/>
        <w:spacing w:before="170"/>
        <w:ind w:left="2929"/>
      </w:pPr>
      <w:bookmarkStart w:name="ANEXO IX. Información que debe figurar e" w:id="443"/>
      <w:bookmarkEnd w:id="443"/>
      <w:r>
        <w:rPr>
          <w:b w:val="0"/>
        </w:rPr>
      </w:r>
      <w:bookmarkStart w:name="_bookmark90" w:id="444"/>
      <w:bookmarkEnd w:id="444"/>
      <w:r>
        <w:rPr>
          <w:b w:val="0"/>
        </w:rPr>
      </w:r>
      <w:r>
        <w:rPr/>
        <w:t>ANEXO IX</w:t>
      </w:r>
    </w:p>
    <w:p>
      <w:pPr>
        <w:spacing w:before="124"/>
        <w:ind w:left="1414" w:right="1610" w:firstLine="0"/>
        <w:jc w:val="center"/>
        <w:rPr>
          <w:b/>
          <w:sz w:val="20"/>
        </w:rPr>
      </w:pPr>
      <w:r>
        <w:rPr>
          <w:b/>
          <w:sz w:val="20"/>
        </w:rPr>
        <w:t>Información que debe figurar en los anuncios de los concursos de proyectos</w:t>
      </w:r>
    </w:p>
    <w:p>
      <w:pPr>
        <w:pStyle w:val="BodyText"/>
        <w:spacing w:before="6"/>
        <w:ind w:left="0" w:firstLine="0"/>
        <w:jc w:val="left"/>
        <w:rPr>
          <w:b/>
        </w:rPr>
      </w:pPr>
    </w:p>
    <w:p>
      <w:pPr>
        <w:pStyle w:val="Heading2"/>
        <w:spacing w:line="249" w:lineRule="auto" w:before="1"/>
        <w:ind w:left="4734" w:right="1612" w:hanging="3321"/>
        <w:jc w:val="both"/>
      </w:pPr>
      <w:r>
        <w:rPr>
          <w:i/>
        </w:rPr>
        <w:t>Sección A. Información que debe figurar en los anuncios de los concursos de </w:t>
      </w:r>
      <w:r>
        <w:rPr/>
        <w:t>proyectos</w:t>
      </w:r>
    </w:p>
    <w:p>
      <w:pPr>
        <w:pStyle w:val="ListParagraph"/>
        <w:numPr>
          <w:ilvl w:val="0"/>
          <w:numId w:val="513"/>
        </w:numPr>
        <w:tabs>
          <w:tab w:pos="1708" w:val="left" w:leader="none"/>
        </w:tabs>
        <w:spacing w:line="249" w:lineRule="auto" w:before="116"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513"/>
        </w:numPr>
        <w:tabs>
          <w:tab w:pos="1637" w:val="left" w:leader="none"/>
        </w:tabs>
        <w:spacing w:line="240" w:lineRule="auto" w:before="2" w:after="0"/>
        <w:ind w:left="1636" w:right="0" w:hanging="223"/>
        <w:jc w:val="left"/>
        <w:rPr>
          <w:sz w:val="20"/>
        </w:rPr>
      </w:pPr>
      <w:r>
        <w:rPr>
          <w:sz w:val="20"/>
        </w:rPr>
        <w:t>Principal actividad</w:t>
      </w:r>
      <w:r>
        <w:rPr>
          <w:spacing w:val="-2"/>
          <w:sz w:val="20"/>
        </w:rPr>
        <w:t> </w:t>
      </w:r>
      <w:r>
        <w:rPr>
          <w:sz w:val="20"/>
        </w:rPr>
        <w:t>ejercida.</w:t>
      </w:r>
    </w:p>
    <w:p>
      <w:pPr>
        <w:pStyle w:val="ListParagraph"/>
        <w:numPr>
          <w:ilvl w:val="0"/>
          <w:numId w:val="513"/>
        </w:numPr>
        <w:tabs>
          <w:tab w:pos="1637" w:val="left" w:leader="none"/>
        </w:tabs>
        <w:spacing w:line="240" w:lineRule="auto" w:before="10" w:after="0"/>
        <w:ind w:left="1636" w:right="0" w:hanging="223"/>
        <w:jc w:val="left"/>
        <w:rPr>
          <w:sz w:val="20"/>
        </w:rPr>
      </w:pPr>
      <w:r>
        <w:rPr>
          <w:sz w:val="20"/>
        </w:rPr>
        <w:t>Descripción del proyecto (códigos</w:t>
      </w:r>
      <w:r>
        <w:rPr>
          <w:spacing w:val="-4"/>
          <w:sz w:val="20"/>
        </w:rPr>
        <w:t> </w:t>
      </w:r>
      <w:r>
        <w:rPr>
          <w:sz w:val="20"/>
        </w:rPr>
        <w:t>CPV).</w:t>
      </w:r>
    </w:p>
    <w:p>
      <w:pPr>
        <w:pStyle w:val="ListParagraph"/>
        <w:numPr>
          <w:ilvl w:val="0"/>
          <w:numId w:val="513"/>
        </w:numPr>
        <w:tabs>
          <w:tab w:pos="1637" w:val="left" w:leader="none"/>
        </w:tabs>
        <w:spacing w:line="240" w:lineRule="auto" w:before="10" w:after="0"/>
        <w:ind w:left="1636" w:right="0" w:hanging="223"/>
        <w:jc w:val="left"/>
        <w:rPr>
          <w:sz w:val="20"/>
        </w:rPr>
      </w:pPr>
      <w:r>
        <w:rPr>
          <w:sz w:val="20"/>
        </w:rPr>
        <w:t>Tipo de concurso: abierto o</w:t>
      </w:r>
      <w:r>
        <w:rPr>
          <w:spacing w:val="-4"/>
          <w:sz w:val="20"/>
        </w:rPr>
        <w:t> </w:t>
      </w:r>
      <w:r>
        <w:rPr>
          <w:sz w:val="20"/>
        </w:rPr>
        <w:t>restringido.</w:t>
      </w:r>
    </w:p>
    <w:p>
      <w:pPr>
        <w:pStyle w:val="ListParagraph"/>
        <w:numPr>
          <w:ilvl w:val="0"/>
          <w:numId w:val="513"/>
        </w:numPr>
        <w:tabs>
          <w:tab w:pos="1637" w:val="left" w:leader="none"/>
        </w:tabs>
        <w:spacing w:line="240" w:lineRule="auto" w:before="10" w:after="0"/>
        <w:ind w:left="1636" w:right="0" w:hanging="223"/>
        <w:jc w:val="left"/>
        <w:rPr>
          <w:sz w:val="20"/>
        </w:rPr>
      </w:pPr>
      <w:r>
        <w:rPr>
          <w:sz w:val="20"/>
        </w:rPr>
        <w:t>Cuando se trate de concursos abiertos: fecha límite de presentación de los</w:t>
      </w:r>
      <w:r>
        <w:rPr>
          <w:spacing w:val="-22"/>
          <w:sz w:val="20"/>
        </w:rPr>
        <w:t> </w:t>
      </w:r>
      <w:r>
        <w:rPr>
          <w:sz w:val="20"/>
        </w:rPr>
        <w:t>proyectos.</w:t>
      </w:r>
    </w:p>
    <w:p>
      <w:pPr>
        <w:pStyle w:val="ListParagraph"/>
        <w:numPr>
          <w:ilvl w:val="0"/>
          <w:numId w:val="513"/>
        </w:numPr>
        <w:tabs>
          <w:tab w:pos="1637" w:val="left" w:leader="none"/>
        </w:tabs>
        <w:spacing w:line="240" w:lineRule="auto" w:before="10" w:after="0"/>
        <w:ind w:left="1636" w:right="0" w:hanging="223"/>
        <w:jc w:val="left"/>
        <w:rPr>
          <w:sz w:val="20"/>
        </w:rPr>
      </w:pPr>
      <w:r>
        <w:rPr>
          <w:sz w:val="20"/>
        </w:rPr>
        <w:t>Cuando se trate de concursos</w:t>
      </w:r>
      <w:r>
        <w:rPr>
          <w:spacing w:val="-3"/>
          <w:sz w:val="20"/>
        </w:rPr>
        <w:t> </w:t>
      </w:r>
      <w:r>
        <w:rPr>
          <w:sz w:val="20"/>
        </w:rPr>
        <w:t>restringidos:</w:t>
      </w:r>
    </w:p>
    <w:p>
      <w:pPr>
        <w:pStyle w:val="ListParagraph"/>
        <w:numPr>
          <w:ilvl w:val="0"/>
          <w:numId w:val="514"/>
        </w:numPr>
        <w:tabs>
          <w:tab w:pos="1648" w:val="left" w:leader="none"/>
        </w:tabs>
        <w:spacing w:line="240" w:lineRule="auto" w:before="130" w:after="0"/>
        <w:ind w:left="1647" w:right="0" w:hanging="234"/>
        <w:jc w:val="left"/>
        <w:rPr>
          <w:sz w:val="20"/>
        </w:rPr>
      </w:pPr>
      <w:r>
        <w:rPr>
          <w:sz w:val="20"/>
        </w:rPr>
        <w:t>número previsto o número mínimo y máximo de</w:t>
      </w:r>
      <w:r>
        <w:rPr>
          <w:spacing w:val="-9"/>
          <w:sz w:val="20"/>
        </w:rPr>
        <w:t> </w:t>
      </w:r>
      <w:r>
        <w:rPr>
          <w:sz w:val="20"/>
        </w:rPr>
        <w:t>participantes;</w:t>
      </w:r>
    </w:p>
    <w:p>
      <w:pPr>
        <w:pStyle w:val="ListParagraph"/>
        <w:numPr>
          <w:ilvl w:val="0"/>
          <w:numId w:val="514"/>
        </w:numPr>
        <w:tabs>
          <w:tab w:pos="1648" w:val="left" w:leader="none"/>
        </w:tabs>
        <w:spacing w:line="240" w:lineRule="auto" w:before="10" w:after="0"/>
        <w:ind w:left="1647" w:right="0" w:hanging="234"/>
        <w:jc w:val="left"/>
        <w:rPr>
          <w:sz w:val="20"/>
        </w:rPr>
      </w:pPr>
      <w:r>
        <w:rPr>
          <w:sz w:val="20"/>
        </w:rPr>
        <w:t>en su caso, nombre de los participantes ya</w:t>
      </w:r>
      <w:r>
        <w:rPr>
          <w:spacing w:val="-8"/>
          <w:sz w:val="20"/>
        </w:rPr>
        <w:t> </w:t>
      </w:r>
      <w:r>
        <w:rPr>
          <w:sz w:val="20"/>
        </w:rPr>
        <w:t>seleccionados;</w:t>
      </w:r>
    </w:p>
    <w:p>
      <w:pPr>
        <w:pStyle w:val="ListParagraph"/>
        <w:numPr>
          <w:ilvl w:val="0"/>
          <w:numId w:val="514"/>
        </w:numPr>
        <w:tabs>
          <w:tab w:pos="1637" w:val="left" w:leader="none"/>
        </w:tabs>
        <w:spacing w:line="240" w:lineRule="auto" w:before="10" w:after="0"/>
        <w:ind w:left="1636" w:right="0" w:hanging="223"/>
        <w:jc w:val="left"/>
        <w:rPr>
          <w:sz w:val="20"/>
        </w:rPr>
      </w:pPr>
      <w:r>
        <w:rPr>
          <w:sz w:val="20"/>
        </w:rPr>
        <w:t>criterios de selección de los</w:t>
      </w:r>
      <w:r>
        <w:rPr>
          <w:spacing w:val="-4"/>
          <w:sz w:val="20"/>
        </w:rPr>
        <w:t> </w:t>
      </w:r>
      <w:r>
        <w:rPr>
          <w:sz w:val="20"/>
        </w:rPr>
        <w:t>participantes;</w:t>
      </w:r>
    </w:p>
    <w:p>
      <w:pPr>
        <w:pStyle w:val="ListParagraph"/>
        <w:numPr>
          <w:ilvl w:val="0"/>
          <w:numId w:val="514"/>
        </w:numPr>
        <w:tabs>
          <w:tab w:pos="1648" w:val="left" w:leader="none"/>
        </w:tabs>
        <w:spacing w:line="240" w:lineRule="auto" w:before="10" w:after="0"/>
        <w:ind w:left="1647" w:right="0" w:hanging="234"/>
        <w:jc w:val="left"/>
        <w:rPr>
          <w:sz w:val="20"/>
        </w:rPr>
      </w:pPr>
      <w:r>
        <w:rPr>
          <w:sz w:val="20"/>
        </w:rPr>
        <w:t>fecha límite de presentación de las solicitudes de</w:t>
      </w:r>
      <w:r>
        <w:rPr>
          <w:spacing w:val="-10"/>
          <w:sz w:val="20"/>
        </w:rPr>
        <w:t> </w:t>
      </w:r>
      <w:r>
        <w:rPr>
          <w:sz w:val="20"/>
        </w:rPr>
        <w:t>participación.</w:t>
      </w:r>
    </w:p>
    <w:p>
      <w:pPr>
        <w:pStyle w:val="ListParagraph"/>
        <w:numPr>
          <w:ilvl w:val="0"/>
          <w:numId w:val="513"/>
        </w:numPr>
        <w:tabs>
          <w:tab w:pos="1695" w:val="left" w:leader="none"/>
        </w:tabs>
        <w:spacing w:line="249" w:lineRule="auto" w:before="130" w:after="0"/>
        <w:ind w:left="1074" w:right="1275" w:firstLine="340"/>
        <w:jc w:val="left"/>
        <w:rPr>
          <w:sz w:val="20"/>
        </w:rPr>
      </w:pPr>
      <w:r>
        <w:rPr>
          <w:sz w:val="20"/>
        </w:rPr>
        <w:t>En su caso, indicación de si la participación está reservada a una determinada profesión.</w:t>
      </w:r>
    </w:p>
    <w:p>
      <w:pPr>
        <w:pStyle w:val="ListParagraph"/>
        <w:numPr>
          <w:ilvl w:val="0"/>
          <w:numId w:val="513"/>
        </w:numPr>
        <w:tabs>
          <w:tab w:pos="1637" w:val="left" w:leader="none"/>
        </w:tabs>
        <w:spacing w:line="240" w:lineRule="auto" w:before="2" w:after="0"/>
        <w:ind w:left="1636" w:right="0" w:hanging="223"/>
        <w:jc w:val="left"/>
        <w:rPr>
          <w:sz w:val="20"/>
        </w:rPr>
      </w:pPr>
      <w:r>
        <w:rPr>
          <w:sz w:val="20"/>
        </w:rPr>
        <w:t>Criterios que se aplicarán para valorar los</w:t>
      </w:r>
      <w:r>
        <w:rPr>
          <w:spacing w:val="-8"/>
          <w:sz w:val="20"/>
        </w:rPr>
        <w:t> </w:t>
      </w:r>
      <w:r>
        <w:rPr>
          <w:sz w:val="20"/>
        </w:rPr>
        <w:t>proyectos.</w:t>
      </w:r>
    </w:p>
    <w:p>
      <w:pPr>
        <w:pStyle w:val="ListParagraph"/>
        <w:numPr>
          <w:ilvl w:val="0"/>
          <w:numId w:val="513"/>
        </w:numPr>
        <w:tabs>
          <w:tab w:pos="1637" w:val="left" w:leader="none"/>
        </w:tabs>
        <w:spacing w:line="240" w:lineRule="auto" w:before="10" w:after="0"/>
        <w:ind w:left="1636" w:right="0" w:hanging="223"/>
        <w:jc w:val="left"/>
        <w:rPr>
          <w:sz w:val="20"/>
        </w:rPr>
      </w:pPr>
      <w:r>
        <w:rPr>
          <w:sz w:val="20"/>
        </w:rPr>
        <w:t>En su caso, nombre de los miembros del jurado que hayan sido</w:t>
      </w:r>
      <w:r>
        <w:rPr>
          <w:spacing w:val="-13"/>
          <w:sz w:val="20"/>
        </w:rPr>
        <w:t> </w:t>
      </w:r>
      <w:r>
        <w:rPr>
          <w:sz w:val="20"/>
        </w:rPr>
        <w:t>seleccionados.</w:t>
      </w:r>
    </w:p>
    <w:p>
      <w:pPr>
        <w:pStyle w:val="ListParagraph"/>
        <w:numPr>
          <w:ilvl w:val="0"/>
          <w:numId w:val="513"/>
        </w:numPr>
        <w:tabs>
          <w:tab w:pos="1748" w:val="left" w:leader="none"/>
        </w:tabs>
        <w:spacing w:line="240" w:lineRule="auto" w:before="10" w:after="0"/>
        <w:ind w:left="1747" w:right="0" w:hanging="334"/>
        <w:jc w:val="left"/>
        <w:rPr>
          <w:sz w:val="20"/>
        </w:rPr>
      </w:pPr>
      <w:r>
        <w:rPr>
          <w:sz w:val="20"/>
        </w:rPr>
        <w:t>Indicación de si la decisión del jurado es vinculante para el poder</w:t>
      </w:r>
      <w:r>
        <w:rPr>
          <w:spacing w:val="-19"/>
          <w:sz w:val="20"/>
        </w:rPr>
        <w:t> </w:t>
      </w:r>
      <w:r>
        <w:rPr>
          <w:sz w:val="20"/>
        </w:rPr>
        <w:t>adjudicador.</w:t>
      </w:r>
    </w:p>
    <w:p>
      <w:pPr>
        <w:pStyle w:val="ListParagraph"/>
        <w:numPr>
          <w:ilvl w:val="0"/>
          <w:numId w:val="513"/>
        </w:numPr>
        <w:tabs>
          <w:tab w:pos="1748" w:val="left" w:leader="none"/>
        </w:tabs>
        <w:spacing w:line="240" w:lineRule="auto" w:before="10" w:after="0"/>
        <w:ind w:left="1747" w:right="0" w:hanging="334"/>
        <w:jc w:val="left"/>
        <w:rPr>
          <w:sz w:val="20"/>
        </w:rPr>
      </w:pPr>
      <w:r>
        <w:rPr>
          <w:sz w:val="20"/>
        </w:rPr>
        <w:t>En su caso, número e importe de los</w:t>
      </w:r>
      <w:r>
        <w:rPr>
          <w:spacing w:val="-7"/>
          <w:sz w:val="20"/>
        </w:rPr>
        <w:t> </w:t>
      </w:r>
      <w:r>
        <w:rPr>
          <w:sz w:val="20"/>
        </w:rPr>
        <w:t>premios.</w:t>
      </w:r>
    </w:p>
    <w:p>
      <w:pPr>
        <w:pStyle w:val="ListParagraph"/>
        <w:numPr>
          <w:ilvl w:val="0"/>
          <w:numId w:val="513"/>
        </w:numPr>
        <w:tabs>
          <w:tab w:pos="1748" w:val="left" w:leader="none"/>
        </w:tabs>
        <w:spacing w:line="240" w:lineRule="auto" w:before="10" w:after="0"/>
        <w:ind w:left="1747" w:right="0" w:hanging="334"/>
        <w:jc w:val="left"/>
        <w:rPr>
          <w:sz w:val="20"/>
        </w:rPr>
      </w:pPr>
      <w:r>
        <w:rPr>
          <w:sz w:val="20"/>
        </w:rPr>
        <w:t>En su caso, posibles pagos a todos los</w:t>
      </w:r>
      <w:r>
        <w:rPr>
          <w:spacing w:val="-7"/>
          <w:sz w:val="20"/>
        </w:rPr>
        <w:t> </w:t>
      </w:r>
      <w:r>
        <w:rPr>
          <w:sz w:val="20"/>
        </w:rPr>
        <w:t>participantes.</w:t>
      </w:r>
    </w:p>
    <w:p>
      <w:pPr>
        <w:pStyle w:val="ListParagraph"/>
        <w:numPr>
          <w:ilvl w:val="0"/>
          <w:numId w:val="513"/>
        </w:numPr>
        <w:tabs>
          <w:tab w:pos="1789" w:val="left" w:leader="none"/>
        </w:tabs>
        <w:spacing w:line="249" w:lineRule="auto" w:before="10" w:after="0"/>
        <w:ind w:left="1074" w:right="1274" w:firstLine="340"/>
        <w:jc w:val="both"/>
        <w:rPr>
          <w:sz w:val="20"/>
        </w:rPr>
      </w:pPr>
      <w:r>
        <w:rPr>
          <w:sz w:val="20"/>
        </w:rPr>
        <w:t>Posibilidad de que se adjudiquen contratos complementarios a los ganadores de premios.</w:t>
      </w:r>
    </w:p>
    <w:p>
      <w:pPr>
        <w:pStyle w:val="ListParagraph"/>
        <w:numPr>
          <w:ilvl w:val="0"/>
          <w:numId w:val="513"/>
        </w:numPr>
        <w:tabs>
          <w:tab w:pos="1765" w:val="left" w:leader="none"/>
        </w:tabs>
        <w:spacing w:line="249" w:lineRule="auto" w:before="2" w:after="0"/>
        <w:ind w:left="1074" w:right="1273" w:firstLine="340"/>
        <w:jc w:val="both"/>
        <w:rPr>
          <w:sz w:val="20"/>
        </w:rPr>
      </w:pPr>
      <w:r>
        <w:rPr>
          <w:sz w:val="20"/>
        </w:rPr>
        <w:t>Nombre y dirección del órgano competente para los procedimientos de reclamación y, en su caso, de arbitraje. Información precisa acerca del plazo de presentación de reclamaciones, o en caso necesario el nombre, la dirección, los números de teléfono y de fax y la dirección electrónica del servicio del que pueda obtenerse dicha</w:t>
      </w:r>
      <w:r>
        <w:rPr>
          <w:spacing w:val="-28"/>
          <w:sz w:val="20"/>
        </w:rPr>
        <w:t> </w:t>
      </w:r>
      <w:r>
        <w:rPr>
          <w:sz w:val="20"/>
        </w:rPr>
        <w:t>información.</w:t>
      </w:r>
    </w:p>
    <w:p>
      <w:pPr>
        <w:pStyle w:val="ListParagraph"/>
        <w:numPr>
          <w:ilvl w:val="0"/>
          <w:numId w:val="513"/>
        </w:numPr>
        <w:tabs>
          <w:tab w:pos="1748" w:val="left" w:leader="none"/>
        </w:tabs>
        <w:spacing w:line="240" w:lineRule="auto" w:before="3" w:after="0"/>
        <w:ind w:left="1747" w:right="0" w:hanging="334"/>
        <w:jc w:val="both"/>
        <w:rPr>
          <w:sz w:val="20"/>
        </w:rPr>
      </w:pPr>
      <w:r>
        <w:rPr>
          <w:sz w:val="20"/>
        </w:rPr>
        <w:t>Fecha de envío del</w:t>
      </w:r>
      <w:r>
        <w:rPr>
          <w:spacing w:val="-4"/>
          <w:sz w:val="20"/>
        </w:rPr>
        <w:t> </w:t>
      </w:r>
      <w:r>
        <w:rPr>
          <w:sz w:val="20"/>
        </w:rPr>
        <w:t>anuncio.</w:t>
      </w:r>
    </w:p>
    <w:p>
      <w:pPr>
        <w:pStyle w:val="ListParagraph"/>
        <w:numPr>
          <w:ilvl w:val="0"/>
          <w:numId w:val="513"/>
        </w:numPr>
        <w:tabs>
          <w:tab w:pos="1748" w:val="left" w:leader="none"/>
        </w:tabs>
        <w:spacing w:line="240" w:lineRule="auto" w:before="10" w:after="0"/>
        <w:ind w:left="1747" w:right="0" w:hanging="334"/>
        <w:jc w:val="both"/>
        <w:rPr>
          <w:sz w:val="20"/>
        </w:rPr>
      </w:pPr>
      <w:r>
        <w:rPr>
          <w:sz w:val="20"/>
        </w:rPr>
        <w:t>Si procede, otras</w:t>
      </w:r>
      <w:r>
        <w:rPr>
          <w:spacing w:val="-3"/>
          <w:sz w:val="20"/>
        </w:rPr>
        <w:t> </w:t>
      </w:r>
      <w:r>
        <w:rPr>
          <w:sz w:val="20"/>
        </w:rPr>
        <w:t>informaciones.</w:t>
      </w:r>
    </w:p>
    <w:p>
      <w:pPr>
        <w:pStyle w:val="BodyText"/>
        <w:spacing w:before="1"/>
        <w:ind w:left="0" w:firstLine="0"/>
        <w:jc w:val="left"/>
        <w:rPr>
          <w:sz w:val="21"/>
        </w:rPr>
      </w:pPr>
    </w:p>
    <w:p>
      <w:pPr>
        <w:pStyle w:val="Heading2"/>
        <w:spacing w:line="249" w:lineRule="auto"/>
        <w:ind w:left="3740" w:right="1611" w:hanging="2326"/>
        <w:jc w:val="both"/>
      </w:pPr>
      <w:r>
        <w:rPr>
          <w:i/>
        </w:rPr>
        <w:t>Sección B. Información que debe figurar en los anuncios sobre los resultados </w:t>
      </w:r>
      <w:r>
        <w:rPr/>
        <w:t>de los concursos de proyectos</w:t>
      </w:r>
    </w:p>
    <w:p>
      <w:pPr>
        <w:pStyle w:val="ListParagraph"/>
        <w:numPr>
          <w:ilvl w:val="0"/>
          <w:numId w:val="515"/>
        </w:numPr>
        <w:tabs>
          <w:tab w:pos="1708" w:val="left" w:leader="none"/>
        </w:tabs>
        <w:spacing w:line="249" w:lineRule="auto" w:before="116"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515"/>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spacing w:after="0" w:line="240"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515"/>
        </w:numPr>
        <w:tabs>
          <w:tab w:pos="1637" w:val="left" w:leader="none"/>
        </w:tabs>
        <w:spacing w:line="240" w:lineRule="auto" w:before="127" w:after="0"/>
        <w:ind w:left="1636" w:right="0" w:hanging="223"/>
        <w:jc w:val="left"/>
        <w:rPr>
          <w:sz w:val="20"/>
        </w:rPr>
      </w:pPr>
      <w:r>
        <w:rPr>
          <w:sz w:val="20"/>
        </w:rPr>
        <w:t>Descripción del proyecto (códigos</w:t>
      </w:r>
      <w:r>
        <w:rPr>
          <w:spacing w:val="-4"/>
          <w:sz w:val="20"/>
        </w:rPr>
        <w:t> </w:t>
      </w:r>
      <w:r>
        <w:rPr>
          <w:sz w:val="20"/>
        </w:rPr>
        <w:t>CPV).</w:t>
      </w:r>
    </w:p>
    <w:p>
      <w:pPr>
        <w:pStyle w:val="ListParagraph"/>
        <w:numPr>
          <w:ilvl w:val="0"/>
          <w:numId w:val="515"/>
        </w:numPr>
        <w:tabs>
          <w:tab w:pos="1637" w:val="left" w:leader="none"/>
        </w:tabs>
        <w:spacing w:line="240" w:lineRule="auto" w:before="10" w:after="0"/>
        <w:ind w:left="1636" w:right="0" w:hanging="223"/>
        <w:jc w:val="left"/>
        <w:rPr>
          <w:sz w:val="20"/>
        </w:rPr>
      </w:pPr>
      <w:r>
        <w:rPr>
          <w:sz w:val="20"/>
        </w:rPr>
        <w:t>Número total de</w:t>
      </w:r>
      <w:r>
        <w:rPr>
          <w:spacing w:val="-3"/>
          <w:sz w:val="20"/>
        </w:rPr>
        <w:t> </w:t>
      </w:r>
      <w:r>
        <w:rPr>
          <w:sz w:val="20"/>
        </w:rPr>
        <w:t>participantes.</w:t>
      </w:r>
    </w:p>
    <w:p>
      <w:pPr>
        <w:pStyle w:val="ListParagraph"/>
        <w:numPr>
          <w:ilvl w:val="0"/>
          <w:numId w:val="515"/>
        </w:numPr>
        <w:tabs>
          <w:tab w:pos="1637" w:val="left" w:leader="none"/>
        </w:tabs>
        <w:spacing w:line="240" w:lineRule="auto" w:before="10" w:after="0"/>
        <w:ind w:left="1636" w:right="0" w:hanging="223"/>
        <w:jc w:val="left"/>
        <w:rPr>
          <w:sz w:val="20"/>
        </w:rPr>
      </w:pPr>
      <w:r>
        <w:rPr>
          <w:sz w:val="20"/>
        </w:rPr>
        <w:t>Número de participantes</w:t>
      </w:r>
      <w:r>
        <w:rPr>
          <w:spacing w:val="-4"/>
          <w:sz w:val="20"/>
        </w:rPr>
        <w:t> </w:t>
      </w:r>
      <w:r>
        <w:rPr>
          <w:sz w:val="20"/>
        </w:rPr>
        <w:t>extranjeros.</w:t>
      </w:r>
    </w:p>
    <w:p>
      <w:pPr>
        <w:pStyle w:val="ListParagraph"/>
        <w:numPr>
          <w:ilvl w:val="0"/>
          <w:numId w:val="515"/>
        </w:numPr>
        <w:tabs>
          <w:tab w:pos="1637" w:val="left" w:leader="none"/>
        </w:tabs>
        <w:spacing w:line="240" w:lineRule="auto" w:before="10" w:after="0"/>
        <w:ind w:left="1636" w:right="0" w:hanging="223"/>
        <w:jc w:val="left"/>
        <w:rPr>
          <w:sz w:val="20"/>
        </w:rPr>
      </w:pPr>
      <w:r>
        <w:rPr>
          <w:sz w:val="20"/>
        </w:rPr>
        <w:t>Ganador(es) del</w:t>
      </w:r>
      <w:r>
        <w:rPr>
          <w:spacing w:val="-2"/>
          <w:sz w:val="20"/>
        </w:rPr>
        <w:t> </w:t>
      </w:r>
      <w:r>
        <w:rPr>
          <w:sz w:val="20"/>
        </w:rPr>
        <w:t>concurso.</w:t>
      </w:r>
    </w:p>
    <w:p>
      <w:pPr>
        <w:pStyle w:val="ListParagraph"/>
        <w:numPr>
          <w:ilvl w:val="0"/>
          <w:numId w:val="515"/>
        </w:numPr>
        <w:tabs>
          <w:tab w:pos="1637" w:val="left" w:leader="none"/>
        </w:tabs>
        <w:spacing w:line="240" w:lineRule="auto" w:before="10" w:after="0"/>
        <w:ind w:left="1636" w:right="0" w:hanging="223"/>
        <w:jc w:val="left"/>
        <w:rPr>
          <w:sz w:val="20"/>
        </w:rPr>
      </w:pPr>
      <w:r>
        <w:rPr>
          <w:sz w:val="20"/>
        </w:rPr>
        <w:t>En su caso,</w:t>
      </w:r>
      <w:r>
        <w:rPr>
          <w:spacing w:val="-1"/>
          <w:sz w:val="20"/>
        </w:rPr>
        <w:t> </w:t>
      </w:r>
      <w:r>
        <w:rPr>
          <w:sz w:val="20"/>
        </w:rPr>
        <w:t>premio(s).</w:t>
      </w:r>
    </w:p>
    <w:p>
      <w:pPr>
        <w:pStyle w:val="ListParagraph"/>
        <w:numPr>
          <w:ilvl w:val="0"/>
          <w:numId w:val="515"/>
        </w:numPr>
        <w:tabs>
          <w:tab w:pos="1637" w:val="left" w:leader="none"/>
        </w:tabs>
        <w:spacing w:line="240" w:lineRule="auto" w:before="10" w:after="0"/>
        <w:ind w:left="1636" w:right="0" w:hanging="223"/>
        <w:jc w:val="left"/>
        <w:rPr>
          <w:sz w:val="20"/>
        </w:rPr>
      </w:pPr>
      <w:r>
        <w:rPr>
          <w:sz w:val="20"/>
        </w:rPr>
        <w:t>Otra</w:t>
      </w:r>
      <w:r>
        <w:rPr>
          <w:spacing w:val="-1"/>
          <w:sz w:val="20"/>
        </w:rPr>
        <w:t> </w:t>
      </w:r>
      <w:r>
        <w:rPr>
          <w:sz w:val="20"/>
        </w:rPr>
        <w:t>información.</w:t>
      </w:r>
    </w:p>
    <w:p>
      <w:pPr>
        <w:pStyle w:val="ListParagraph"/>
        <w:numPr>
          <w:ilvl w:val="0"/>
          <w:numId w:val="515"/>
        </w:numPr>
        <w:tabs>
          <w:tab w:pos="1637" w:val="left" w:leader="none"/>
        </w:tabs>
        <w:spacing w:line="240" w:lineRule="auto" w:before="10" w:after="0"/>
        <w:ind w:left="1636" w:right="0" w:hanging="223"/>
        <w:jc w:val="left"/>
        <w:rPr>
          <w:sz w:val="20"/>
        </w:rPr>
      </w:pPr>
      <w:r>
        <w:rPr>
          <w:sz w:val="20"/>
        </w:rPr>
        <w:t>Referencia al anuncio de</w:t>
      </w:r>
      <w:r>
        <w:rPr>
          <w:spacing w:val="-5"/>
          <w:sz w:val="20"/>
        </w:rPr>
        <w:t> </w:t>
      </w:r>
      <w:r>
        <w:rPr>
          <w:sz w:val="20"/>
        </w:rPr>
        <w:t>concurso.</w:t>
      </w:r>
    </w:p>
    <w:p>
      <w:pPr>
        <w:pStyle w:val="ListParagraph"/>
        <w:numPr>
          <w:ilvl w:val="0"/>
          <w:numId w:val="515"/>
        </w:numPr>
        <w:tabs>
          <w:tab w:pos="1765" w:val="left" w:leader="none"/>
        </w:tabs>
        <w:spacing w:line="249" w:lineRule="auto" w:before="10" w:after="0"/>
        <w:ind w:left="1074" w:right="1272" w:firstLine="340"/>
        <w:jc w:val="both"/>
        <w:rPr>
          <w:sz w:val="20"/>
        </w:rPr>
      </w:pPr>
      <w:r>
        <w:rPr>
          <w:sz w:val="20"/>
        </w:rPr>
        <w:t>Nombre y dirección del órgano competente para los procedimientos de reclamación y, en su caso, de arbitraje. Información precisa acerca del plazo de presentación de reclamaciones, o en caso necesario el nombre, la dirección, los números de teléfono y de fax y la dirección electrónica del servicio del que pueda obtenerse dicha</w:t>
      </w:r>
      <w:r>
        <w:rPr>
          <w:spacing w:val="-28"/>
          <w:sz w:val="20"/>
        </w:rPr>
        <w:t> </w:t>
      </w:r>
      <w:r>
        <w:rPr>
          <w:sz w:val="20"/>
        </w:rPr>
        <w:t>información.</w:t>
      </w:r>
    </w:p>
    <w:p>
      <w:pPr>
        <w:pStyle w:val="ListParagraph"/>
        <w:numPr>
          <w:ilvl w:val="0"/>
          <w:numId w:val="515"/>
        </w:numPr>
        <w:tabs>
          <w:tab w:pos="1748" w:val="left" w:leader="none"/>
        </w:tabs>
        <w:spacing w:line="240" w:lineRule="auto" w:before="3" w:after="0"/>
        <w:ind w:left="1747" w:right="0" w:hanging="334"/>
        <w:jc w:val="both"/>
        <w:rPr>
          <w:sz w:val="20"/>
        </w:rPr>
      </w:pPr>
      <w:r>
        <w:rPr>
          <w:sz w:val="20"/>
        </w:rPr>
        <w:t>Fecha de envío del</w:t>
      </w:r>
      <w:r>
        <w:rPr>
          <w:spacing w:val="-4"/>
          <w:sz w:val="20"/>
        </w:rPr>
        <w:t> </w:t>
      </w:r>
      <w:r>
        <w:rPr>
          <w:sz w:val="20"/>
        </w:rPr>
        <w:t>anuncio.</w:t>
      </w:r>
    </w:p>
    <w:p>
      <w:pPr>
        <w:pStyle w:val="BodyText"/>
        <w:spacing w:before="0"/>
        <w:ind w:left="0" w:firstLine="0"/>
        <w:jc w:val="left"/>
        <w:rPr>
          <w:sz w:val="26"/>
        </w:rPr>
      </w:pPr>
    </w:p>
    <w:p>
      <w:pPr>
        <w:pStyle w:val="Heading1"/>
        <w:spacing w:before="170"/>
        <w:ind w:left="2929"/>
      </w:pPr>
      <w:bookmarkStart w:name="ANEXO X. Información que debe figurar en" w:id="445"/>
      <w:bookmarkEnd w:id="445"/>
      <w:r>
        <w:rPr>
          <w:b w:val="0"/>
        </w:rPr>
      </w:r>
      <w:bookmarkStart w:name="_bookmark91" w:id="446"/>
      <w:bookmarkEnd w:id="446"/>
      <w:r>
        <w:rPr>
          <w:b w:val="0"/>
        </w:rPr>
      </w:r>
      <w:r>
        <w:rPr/>
        <w:t>ANEXO X</w:t>
      </w:r>
    </w:p>
    <w:p>
      <w:pPr>
        <w:spacing w:line="249" w:lineRule="auto" w:before="124"/>
        <w:ind w:left="1414" w:right="1612" w:firstLine="0"/>
        <w:jc w:val="center"/>
        <w:rPr>
          <w:b/>
          <w:sz w:val="20"/>
        </w:rPr>
      </w:pPr>
      <w:r>
        <w:rPr>
          <w:b/>
          <w:sz w:val="20"/>
        </w:rPr>
        <w:t>Información que debe figurar en los anuncios de modificación de los contratos durante su vigencia</w:t>
      </w:r>
    </w:p>
    <w:p>
      <w:pPr>
        <w:pStyle w:val="BodyText"/>
        <w:spacing w:before="10"/>
        <w:ind w:left="0" w:firstLine="0"/>
        <w:jc w:val="left"/>
        <w:rPr>
          <w:b/>
          <w:sz w:val="19"/>
        </w:rPr>
      </w:pPr>
    </w:p>
    <w:p>
      <w:pPr>
        <w:pStyle w:val="Heading2"/>
        <w:spacing w:line="249" w:lineRule="auto"/>
        <w:ind w:left="3812" w:right="1614" w:hanging="2398"/>
        <w:jc w:val="both"/>
      </w:pPr>
      <w:r>
        <w:rPr>
          <w:i/>
        </w:rPr>
        <w:t>Sección A. Anuncios de modificación de los contratos de obras, suministros o </w:t>
      </w:r>
      <w:r>
        <w:rPr/>
        <w:t>servicios durante su vigencia</w:t>
      </w:r>
    </w:p>
    <w:p>
      <w:pPr>
        <w:pStyle w:val="ListParagraph"/>
        <w:numPr>
          <w:ilvl w:val="0"/>
          <w:numId w:val="516"/>
        </w:numPr>
        <w:tabs>
          <w:tab w:pos="1708" w:val="left" w:leader="none"/>
        </w:tabs>
        <w:spacing w:line="249" w:lineRule="auto" w:before="116" w:after="0"/>
        <w:ind w:left="1074" w:right="1273" w:firstLine="340"/>
        <w:jc w:val="both"/>
        <w:rPr>
          <w:sz w:val="20"/>
        </w:rPr>
      </w:pPr>
      <w:r>
        <w:rPr>
          <w:sz w:val="20"/>
        </w:rPr>
        <w:t>Nombre, número de identificación, dirección, incluido código NUTS, número de teléfono y de fax, y dirección electrónica y de internet de la entidad contratante y, en caso de ser diferente, del servicio del que pueda obtenerse información</w:t>
      </w:r>
      <w:r>
        <w:rPr>
          <w:spacing w:val="-18"/>
          <w:sz w:val="20"/>
        </w:rPr>
        <w:t> </w:t>
      </w:r>
      <w:r>
        <w:rPr>
          <w:sz w:val="20"/>
        </w:rPr>
        <w:t>complementaria.</w:t>
      </w:r>
    </w:p>
    <w:p>
      <w:pPr>
        <w:pStyle w:val="ListParagraph"/>
        <w:numPr>
          <w:ilvl w:val="0"/>
          <w:numId w:val="516"/>
        </w:numPr>
        <w:tabs>
          <w:tab w:pos="1637" w:val="left" w:leader="none"/>
        </w:tabs>
        <w:spacing w:line="240" w:lineRule="auto" w:before="2" w:after="0"/>
        <w:ind w:left="1636" w:right="0" w:hanging="223"/>
        <w:jc w:val="both"/>
        <w:rPr>
          <w:sz w:val="20"/>
        </w:rPr>
      </w:pPr>
      <w:r>
        <w:rPr>
          <w:sz w:val="20"/>
        </w:rPr>
        <w:t>Principal actividad</w:t>
      </w:r>
      <w:r>
        <w:rPr>
          <w:spacing w:val="-2"/>
          <w:sz w:val="20"/>
        </w:rPr>
        <w:t> </w:t>
      </w:r>
      <w:r>
        <w:rPr>
          <w:sz w:val="20"/>
        </w:rPr>
        <w:t>ejercida.</w:t>
      </w:r>
    </w:p>
    <w:p>
      <w:pPr>
        <w:pStyle w:val="ListParagraph"/>
        <w:numPr>
          <w:ilvl w:val="0"/>
          <w:numId w:val="516"/>
        </w:numPr>
        <w:tabs>
          <w:tab w:pos="1637" w:val="left" w:leader="none"/>
        </w:tabs>
        <w:spacing w:line="240" w:lineRule="auto" w:before="10" w:after="0"/>
        <w:ind w:left="1636" w:right="0" w:hanging="223"/>
        <w:jc w:val="both"/>
        <w:rPr>
          <w:sz w:val="20"/>
        </w:rPr>
      </w:pPr>
      <w:r>
        <w:rPr>
          <w:sz w:val="20"/>
        </w:rPr>
        <w:t>Códigos</w:t>
      </w:r>
      <w:r>
        <w:rPr>
          <w:spacing w:val="-2"/>
          <w:sz w:val="20"/>
        </w:rPr>
        <w:t> </w:t>
      </w:r>
      <w:r>
        <w:rPr>
          <w:sz w:val="20"/>
        </w:rPr>
        <w:t>CPV.</w:t>
      </w:r>
    </w:p>
    <w:p>
      <w:pPr>
        <w:pStyle w:val="ListParagraph"/>
        <w:numPr>
          <w:ilvl w:val="0"/>
          <w:numId w:val="516"/>
        </w:numPr>
        <w:tabs>
          <w:tab w:pos="1665" w:val="left" w:leader="none"/>
        </w:tabs>
        <w:spacing w:line="249" w:lineRule="auto" w:before="10" w:after="0"/>
        <w:ind w:left="1074" w:right="1275" w:firstLine="340"/>
        <w:jc w:val="both"/>
        <w:rPr>
          <w:sz w:val="20"/>
        </w:rPr>
      </w:pPr>
      <w:r>
        <w:rPr>
          <w:sz w:val="20"/>
        </w:rPr>
        <w:t>Código NUTS del emplazamiento principal de las obras, en el caso de las obras, o código NUTS del lugar principal de entrega o de ejecución, en el caso de los suministros y los</w:t>
      </w:r>
      <w:r>
        <w:rPr>
          <w:spacing w:val="-2"/>
          <w:sz w:val="20"/>
        </w:rPr>
        <w:t> </w:t>
      </w:r>
      <w:r>
        <w:rPr>
          <w:sz w:val="20"/>
        </w:rPr>
        <w:t>servicios.</w:t>
      </w:r>
    </w:p>
    <w:p>
      <w:pPr>
        <w:pStyle w:val="ListParagraph"/>
        <w:numPr>
          <w:ilvl w:val="0"/>
          <w:numId w:val="516"/>
        </w:numPr>
        <w:tabs>
          <w:tab w:pos="1693" w:val="left" w:leader="none"/>
        </w:tabs>
        <w:spacing w:line="249" w:lineRule="auto" w:before="3" w:after="0"/>
        <w:ind w:left="1074" w:right="1273" w:firstLine="340"/>
        <w:jc w:val="both"/>
        <w:rPr>
          <w:sz w:val="20"/>
        </w:rPr>
      </w:pPr>
      <w:r>
        <w:rPr>
          <w:sz w:val="20"/>
        </w:rPr>
        <w:t>Descripción de la contratación antes y después de la modificación: naturaleza y alcance de las obras, naturaleza y cantidad o valor de los suministros, naturaleza y alcance de los</w:t>
      </w:r>
      <w:r>
        <w:rPr>
          <w:spacing w:val="-3"/>
          <w:sz w:val="20"/>
        </w:rPr>
        <w:t> </w:t>
      </w:r>
      <w:r>
        <w:rPr>
          <w:sz w:val="20"/>
        </w:rPr>
        <w:t>servicios.</w:t>
      </w:r>
    </w:p>
    <w:p>
      <w:pPr>
        <w:pStyle w:val="ListParagraph"/>
        <w:numPr>
          <w:ilvl w:val="0"/>
          <w:numId w:val="516"/>
        </w:numPr>
        <w:tabs>
          <w:tab w:pos="1637" w:val="left" w:leader="none"/>
        </w:tabs>
        <w:spacing w:line="240" w:lineRule="auto" w:before="2" w:after="0"/>
        <w:ind w:left="1636" w:right="0" w:hanging="223"/>
        <w:jc w:val="left"/>
        <w:rPr>
          <w:sz w:val="20"/>
        </w:rPr>
      </w:pPr>
      <w:r>
        <w:rPr>
          <w:sz w:val="20"/>
        </w:rPr>
        <w:t>Cuando proceda, incremento de precio causado por la</w:t>
      </w:r>
      <w:r>
        <w:rPr>
          <w:spacing w:val="-11"/>
          <w:sz w:val="20"/>
        </w:rPr>
        <w:t> </w:t>
      </w:r>
      <w:r>
        <w:rPr>
          <w:sz w:val="20"/>
        </w:rPr>
        <w:t>modificación.</w:t>
      </w:r>
    </w:p>
    <w:p>
      <w:pPr>
        <w:pStyle w:val="ListParagraph"/>
        <w:numPr>
          <w:ilvl w:val="0"/>
          <w:numId w:val="516"/>
        </w:numPr>
        <w:tabs>
          <w:tab w:pos="1637" w:val="left" w:leader="none"/>
        </w:tabs>
        <w:spacing w:line="240" w:lineRule="auto" w:before="10" w:after="0"/>
        <w:ind w:left="1636" w:right="0" w:hanging="223"/>
        <w:jc w:val="left"/>
        <w:rPr>
          <w:sz w:val="20"/>
        </w:rPr>
      </w:pPr>
      <w:r>
        <w:rPr>
          <w:sz w:val="20"/>
        </w:rPr>
        <w:t>Descripción de las circunstancias que han hecho necesaria la</w:t>
      </w:r>
      <w:r>
        <w:rPr>
          <w:spacing w:val="-14"/>
          <w:sz w:val="20"/>
        </w:rPr>
        <w:t> </w:t>
      </w:r>
      <w:r>
        <w:rPr>
          <w:sz w:val="20"/>
        </w:rPr>
        <w:t>modificación.</w:t>
      </w:r>
    </w:p>
    <w:p>
      <w:pPr>
        <w:pStyle w:val="ListParagraph"/>
        <w:numPr>
          <w:ilvl w:val="0"/>
          <w:numId w:val="516"/>
        </w:numPr>
        <w:tabs>
          <w:tab w:pos="1637" w:val="left" w:leader="none"/>
        </w:tabs>
        <w:spacing w:line="240" w:lineRule="auto" w:before="10" w:after="0"/>
        <w:ind w:left="1636" w:right="0" w:hanging="223"/>
        <w:jc w:val="left"/>
        <w:rPr>
          <w:sz w:val="20"/>
        </w:rPr>
      </w:pPr>
      <w:r>
        <w:rPr>
          <w:sz w:val="20"/>
        </w:rPr>
        <w:t>Fecha de adjudicación del</w:t>
      </w:r>
      <w:r>
        <w:rPr>
          <w:spacing w:val="-4"/>
          <w:sz w:val="20"/>
        </w:rPr>
        <w:t> </w:t>
      </w:r>
      <w:r>
        <w:rPr>
          <w:sz w:val="20"/>
        </w:rPr>
        <w:t>contrato.</w:t>
      </w:r>
    </w:p>
    <w:p>
      <w:pPr>
        <w:pStyle w:val="ListParagraph"/>
        <w:numPr>
          <w:ilvl w:val="0"/>
          <w:numId w:val="516"/>
        </w:numPr>
        <w:tabs>
          <w:tab w:pos="1640" w:val="left" w:leader="none"/>
        </w:tabs>
        <w:spacing w:line="249" w:lineRule="auto" w:before="10" w:after="0"/>
        <w:ind w:left="1074" w:right="1273" w:firstLine="340"/>
        <w:jc w:val="both"/>
        <w:rPr>
          <w:sz w:val="20"/>
        </w:rPr>
      </w:pPr>
      <w:r>
        <w:rPr>
          <w:sz w:val="20"/>
        </w:rPr>
        <w:t>Cuando proceda, nombre y dirección, incluido código NUTS, número de teléfono y fax, dirección electrónica y de internet del nuevo empresario o</w:t>
      </w:r>
      <w:r>
        <w:rPr>
          <w:spacing w:val="-19"/>
          <w:sz w:val="20"/>
        </w:rPr>
        <w:t> </w:t>
      </w:r>
      <w:r>
        <w:rPr>
          <w:sz w:val="20"/>
        </w:rPr>
        <w:t>empresarios.</w:t>
      </w:r>
    </w:p>
    <w:p>
      <w:pPr>
        <w:pStyle w:val="ListParagraph"/>
        <w:numPr>
          <w:ilvl w:val="0"/>
          <w:numId w:val="516"/>
        </w:numPr>
        <w:tabs>
          <w:tab w:pos="1809" w:val="left" w:leader="none"/>
        </w:tabs>
        <w:spacing w:line="249" w:lineRule="auto" w:before="2" w:after="0"/>
        <w:ind w:left="1074" w:right="1273" w:firstLine="340"/>
        <w:jc w:val="both"/>
        <w:rPr>
          <w:sz w:val="20"/>
        </w:rPr>
      </w:pPr>
      <w:r>
        <w:rPr>
          <w:sz w:val="20"/>
        </w:rPr>
        <w:t>Información sobre si el contrato está relacionado con un proyecto o programa financiado con fondos de la Unión</w:t>
      </w:r>
      <w:r>
        <w:rPr>
          <w:spacing w:val="-4"/>
          <w:sz w:val="20"/>
        </w:rPr>
        <w:t> </w:t>
      </w:r>
      <w:r>
        <w:rPr>
          <w:sz w:val="20"/>
        </w:rPr>
        <w:t>Europea.</w:t>
      </w:r>
    </w:p>
    <w:p>
      <w:pPr>
        <w:pStyle w:val="ListParagraph"/>
        <w:numPr>
          <w:ilvl w:val="0"/>
          <w:numId w:val="516"/>
        </w:numPr>
        <w:tabs>
          <w:tab w:pos="1761" w:val="left" w:leader="none"/>
        </w:tabs>
        <w:spacing w:line="249" w:lineRule="auto" w:before="1" w:after="0"/>
        <w:ind w:left="1074" w:right="1273" w:firstLine="340"/>
        <w:jc w:val="both"/>
        <w:rPr>
          <w:sz w:val="20"/>
        </w:rPr>
      </w:pPr>
      <w:r>
        <w:rPr>
          <w:sz w:val="20"/>
        </w:rPr>
        <w:t>Nombre y dirección del órgano competente en los procedimientos de reclamación y, en su caso, de arbitraje. Información precisa acerca del plazo de presentación de reclamaciones o, en caso necesario, el nombre, la dirección, los números de teléfono y de fax y la dirección electrónica del servicio del que pueda obtenerse dicha</w:t>
      </w:r>
      <w:r>
        <w:rPr>
          <w:spacing w:val="-33"/>
          <w:sz w:val="20"/>
        </w:rPr>
        <w:t> </w:t>
      </w:r>
      <w:r>
        <w:rPr>
          <w:sz w:val="20"/>
        </w:rPr>
        <w:t>información.</w:t>
      </w:r>
    </w:p>
    <w:p>
      <w:pPr>
        <w:pStyle w:val="BodyText"/>
        <w:spacing w:before="6"/>
        <w:ind w:left="0" w:firstLine="0"/>
        <w:jc w:val="left"/>
      </w:pPr>
    </w:p>
    <w:p>
      <w:pPr>
        <w:pStyle w:val="Heading2"/>
        <w:spacing w:line="249" w:lineRule="auto"/>
        <w:ind w:left="3000" w:right="1612" w:hanging="1587"/>
        <w:jc w:val="both"/>
      </w:pPr>
      <w:r>
        <w:rPr>
          <w:i/>
        </w:rPr>
        <w:t>Sección B. Anuncios de modificación de los contratos de concesión de obras y </w:t>
      </w:r>
      <w:r>
        <w:rPr/>
        <w:t>de concesión de servicios durante su vigencia</w:t>
      </w:r>
    </w:p>
    <w:p>
      <w:pPr>
        <w:pStyle w:val="ListParagraph"/>
        <w:numPr>
          <w:ilvl w:val="0"/>
          <w:numId w:val="517"/>
        </w:numPr>
        <w:tabs>
          <w:tab w:pos="1675" w:val="left" w:leader="none"/>
        </w:tabs>
        <w:spacing w:line="249" w:lineRule="auto" w:before="116" w:after="0"/>
        <w:ind w:left="1074" w:right="1273" w:firstLine="340"/>
        <w:jc w:val="both"/>
        <w:rPr>
          <w:sz w:val="20"/>
        </w:rPr>
      </w:pPr>
      <w:r>
        <w:rPr>
          <w:sz w:val="20"/>
        </w:rPr>
        <w:t>Nombre, número de identificación, dirección (incluido el código NUTS), número de teléfono y de fax, y dirección electrónica y de internet del poder adjudicador o de la entidad contratante y, en caso de ser diferente, del servicio del que pueda obtenerse información complementaria.</w:t>
      </w:r>
    </w:p>
    <w:p>
      <w:pPr>
        <w:pStyle w:val="ListParagraph"/>
        <w:numPr>
          <w:ilvl w:val="0"/>
          <w:numId w:val="517"/>
        </w:numPr>
        <w:tabs>
          <w:tab w:pos="1637" w:val="left" w:leader="none"/>
        </w:tabs>
        <w:spacing w:line="240" w:lineRule="auto" w:before="3" w:after="0"/>
        <w:ind w:left="1636" w:right="0" w:hanging="223"/>
        <w:jc w:val="both"/>
        <w:rPr>
          <w:sz w:val="20"/>
        </w:rPr>
      </w:pPr>
      <w:r>
        <w:rPr>
          <w:sz w:val="20"/>
        </w:rPr>
        <w:t>Códigos</w:t>
      </w:r>
      <w:r>
        <w:rPr>
          <w:spacing w:val="-2"/>
          <w:sz w:val="20"/>
        </w:rPr>
        <w:t> </w:t>
      </w:r>
      <w:r>
        <w:rPr>
          <w:sz w:val="20"/>
        </w:rPr>
        <w:t>CPV.</w:t>
      </w:r>
    </w:p>
    <w:p>
      <w:pPr>
        <w:pStyle w:val="ListParagraph"/>
        <w:numPr>
          <w:ilvl w:val="0"/>
          <w:numId w:val="517"/>
        </w:numPr>
        <w:tabs>
          <w:tab w:pos="1639" w:val="left" w:leader="none"/>
        </w:tabs>
        <w:spacing w:line="249" w:lineRule="auto" w:before="10" w:after="0"/>
        <w:ind w:left="1074" w:right="1273" w:firstLine="340"/>
        <w:jc w:val="both"/>
        <w:rPr>
          <w:sz w:val="20"/>
        </w:rPr>
      </w:pPr>
      <w:r>
        <w:rPr>
          <w:sz w:val="20"/>
        </w:rPr>
        <w:t>Código NUTS del emplazamiento principal de las obras, tratándose de concesiones de obras, o código NUTS del lugar principal de prestación, tratándose de concesiones de servicios.</w:t>
      </w:r>
    </w:p>
    <w:p>
      <w:pPr>
        <w:pStyle w:val="ListParagraph"/>
        <w:numPr>
          <w:ilvl w:val="0"/>
          <w:numId w:val="517"/>
        </w:numPr>
        <w:tabs>
          <w:tab w:pos="1708" w:val="left" w:leader="none"/>
        </w:tabs>
        <w:spacing w:line="249" w:lineRule="auto" w:before="3" w:after="0"/>
        <w:ind w:left="1074" w:right="1275" w:firstLine="340"/>
        <w:jc w:val="both"/>
        <w:rPr>
          <w:sz w:val="20"/>
        </w:rPr>
      </w:pPr>
      <w:r>
        <w:rPr>
          <w:sz w:val="20"/>
        </w:rPr>
        <w:t>Descripción de la concesión antes y después de la modificación; naturaleza y magnitud de las obras, naturaleza y magnitud de los</w:t>
      </w:r>
      <w:r>
        <w:rPr>
          <w:spacing w:val="-10"/>
          <w:sz w:val="20"/>
        </w:rPr>
        <w:t> </w:t>
      </w:r>
      <w:r>
        <w:rPr>
          <w:sz w:val="20"/>
        </w:rPr>
        <w:t>servicios.</w:t>
      </w:r>
    </w:p>
    <w:p>
      <w:pPr>
        <w:pStyle w:val="ListParagraph"/>
        <w:numPr>
          <w:ilvl w:val="0"/>
          <w:numId w:val="517"/>
        </w:numPr>
        <w:tabs>
          <w:tab w:pos="1717" w:val="left" w:leader="none"/>
        </w:tabs>
        <w:spacing w:line="249" w:lineRule="auto" w:before="1" w:after="0"/>
        <w:ind w:left="1074" w:right="1274" w:firstLine="340"/>
        <w:jc w:val="both"/>
        <w:rPr>
          <w:sz w:val="20"/>
        </w:rPr>
      </w:pPr>
      <w:r>
        <w:rPr>
          <w:sz w:val="20"/>
        </w:rPr>
        <w:t>Si procede, modificación del valor de la concesión, incluido el incremento de honorarios o precios causado por la</w:t>
      </w:r>
      <w:r>
        <w:rPr>
          <w:spacing w:val="-7"/>
          <w:sz w:val="20"/>
        </w:rPr>
        <w:t> </w:t>
      </w:r>
      <w:r>
        <w:rPr>
          <w:sz w:val="20"/>
        </w:rPr>
        <w:t>modificación.</w:t>
      </w:r>
    </w:p>
    <w:p>
      <w:pPr>
        <w:spacing w:after="0" w:line="249" w:lineRule="auto"/>
        <w:jc w:val="both"/>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517"/>
        </w:numPr>
        <w:tabs>
          <w:tab w:pos="1637" w:val="left" w:leader="none"/>
        </w:tabs>
        <w:spacing w:line="240" w:lineRule="auto" w:before="127" w:after="0"/>
        <w:ind w:left="1636" w:right="0" w:hanging="223"/>
        <w:jc w:val="both"/>
        <w:rPr>
          <w:sz w:val="20"/>
        </w:rPr>
      </w:pPr>
      <w:r>
        <w:rPr>
          <w:sz w:val="20"/>
        </w:rPr>
        <w:t>Descripción de las circunstancias que han hecho necesaria la</w:t>
      </w:r>
      <w:r>
        <w:rPr>
          <w:spacing w:val="-14"/>
          <w:sz w:val="20"/>
        </w:rPr>
        <w:t> </w:t>
      </w:r>
      <w:r>
        <w:rPr>
          <w:sz w:val="20"/>
        </w:rPr>
        <w:t>modificación.</w:t>
      </w:r>
    </w:p>
    <w:p>
      <w:pPr>
        <w:pStyle w:val="ListParagraph"/>
        <w:numPr>
          <w:ilvl w:val="0"/>
          <w:numId w:val="517"/>
        </w:numPr>
        <w:tabs>
          <w:tab w:pos="1637" w:val="left" w:leader="none"/>
        </w:tabs>
        <w:spacing w:line="240" w:lineRule="auto" w:before="10" w:after="0"/>
        <w:ind w:left="1636" w:right="0" w:hanging="223"/>
        <w:jc w:val="both"/>
        <w:rPr>
          <w:sz w:val="20"/>
        </w:rPr>
      </w:pPr>
      <w:r>
        <w:rPr>
          <w:sz w:val="20"/>
        </w:rPr>
        <w:t>Fecha de adjudicación de la</w:t>
      </w:r>
      <w:r>
        <w:rPr>
          <w:spacing w:val="-5"/>
          <w:sz w:val="20"/>
        </w:rPr>
        <w:t> </w:t>
      </w:r>
      <w:r>
        <w:rPr>
          <w:sz w:val="20"/>
        </w:rPr>
        <w:t>concesión.</w:t>
      </w:r>
    </w:p>
    <w:p>
      <w:pPr>
        <w:pStyle w:val="ListParagraph"/>
        <w:numPr>
          <w:ilvl w:val="0"/>
          <w:numId w:val="517"/>
        </w:numPr>
        <w:tabs>
          <w:tab w:pos="1640" w:val="left" w:leader="none"/>
        </w:tabs>
        <w:spacing w:line="249" w:lineRule="auto" w:before="10" w:after="0"/>
        <w:ind w:left="1074" w:right="1272" w:firstLine="340"/>
        <w:jc w:val="both"/>
        <w:rPr>
          <w:sz w:val="20"/>
        </w:rPr>
      </w:pPr>
      <w:r>
        <w:rPr>
          <w:sz w:val="20"/>
        </w:rPr>
        <w:t>Si procede, nombre y dirección (incluido el código NUTS), número de teléfono y de fax y dirección electrónica y de internet del nuevo empresario o</w:t>
      </w:r>
      <w:r>
        <w:rPr>
          <w:spacing w:val="-21"/>
          <w:sz w:val="20"/>
        </w:rPr>
        <w:t> </w:t>
      </w:r>
      <w:r>
        <w:rPr>
          <w:sz w:val="20"/>
        </w:rPr>
        <w:t>empresarios.</w:t>
      </w:r>
    </w:p>
    <w:p>
      <w:pPr>
        <w:pStyle w:val="ListParagraph"/>
        <w:numPr>
          <w:ilvl w:val="0"/>
          <w:numId w:val="517"/>
        </w:numPr>
        <w:tabs>
          <w:tab w:pos="1642" w:val="left" w:leader="none"/>
        </w:tabs>
        <w:spacing w:line="249" w:lineRule="auto" w:before="1" w:after="0"/>
        <w:ind w:left="1074" w:right="1272" w:firstLine="340"/>
        <w:jc w:val="both"/>
        <w:rPr>
          <w:sz w:val="20"/>
        </w:rPr>
      </w:pPr>
      <w:r>
        <w:rPr>
          <w:sz w:val="20"/>
        </w:rPr>
        <w:t>Información de si la concesión guarda relación con un proyecto o programa financiado por fondos de la Unión</w:t>
      </w:r>
      <w:r>
        <w:rPr>
          <w:spacing w:val="-5"/>
          <w:sz w:val="20"/>
        </w:rPr>
        <w:t> </w:t>
      </w:r>
      <w:r>
        <w:rPr>
          <w:sz w:val="20"/>
        </w:rPr>
        <w:t>Europea.</w:t>
      </w:r>
    </w:p>
    <w:p>
      <w:pPr>
        <w:pStyle w:val="ListParagraph"/>
        <w:numPr>
          <w:ilvl w:val="0"/>
          <w:numId w:val="517"/>
        </w:numPr>
        <w:tabs>
          <w:tab w:pos="1752" w:val="left" w:leader="none"/>
        </w:tabs>
        <w:spacing w:line="249" w:lineRule="auto" w:before="2" w:after="0"/>
        <w:ind w:left="1074" w:right="1273" w:firstLine="340"/>
        <w:jc w:val="both"/>
        <w:rPr>
          <w:sz w:val="20"/>
        </w:rPr>
      </w:pPr>
      <w:r>
        <w:rPr>
          <w:sz w:val="20"/>
        </w:rPr>
        <w:t>Nombre y dirección del órgano responsable de los procedimientos de reclamación en materia de contratación y, si procede, de mediación. Indicación precisa del plazo de presentación de las reclamaciones o, en caso necesario, el nombre, dirección, números de teléfono y de fax y dirección electrónica del servicio del que pueda obtenerse dicha información.</w:t>
      </w:r>
    </w:p>
    <w:p>
      <w:pPr>
        <w:pStyle w:val="ListParagraph"/>
        <w:numPr>
          <w:ilvl w:val="0"/>
          <w:numId w:val="517"/>
        </w:numPr>
        <w:tabs>
          <w:tab w:pos="1779" w:val="left" w:leader="none"/>
        </w:tabs>
        <w:spacing w:line="249" w:lineRule="auto" w:before="4" w:after="0"/>
        <w:ind w:left="1074" w:right="1273" w:firstLine="340"/>
        <w:jc w:val="both"/>
        <w:rPr>
          <w:sz w:val="20"/>
        </w:rPr>
      </w:pPr>
      <w:r>
        <w:rPr>
          <w:sz w:val="20"/>
        </w:rPr>
        <w:t>Fechas y referencias de anteriores publicaciones en el «Diario Oficial de la Unión Europea» que guarden relación con la concesión o concesiones objeto del</w:t>
      </w:r>
      <w:r>
        <w:rPr>
          <w:spacing w:val="-16"/>
          <w:sz w:val="20"/>
        </w:rPr>
        <w:t> </w:t>
      </w:r>
      <w:r>
        <w:rPr>
          <w:sz w:val="20"/>
        </w:rPr>
        <w:t>anuncio.</w:t>
      </w:r>
    </w:p>
    <w:p>
      <w:pPr>
        <w:pStyle w:val="ListParagraph"/>
        <w:numPr>
          <w:ilvl w:val="0"/>
          <w:numId w:val="517"/>
        </w:numPr>
        <w:tabs>
          <w:tab w:pos="1748" w:val="left" w:leader="none"/>
        </w:tabs>
        <w:spacing w:line="240" w:lineRule="auto" w:before="2" w:after="0"/>
        <w:ind w:left="1747" w:right="0" w:hanging="334"/>
        <w:jc w:val="both"/>
        <w:rPr>
          <w:sz w:val="20"/>
        </w:rPr>
      </w:pPr>
      <w:r>
        <w:rPr>
          <w:sz w:val="20"/>
        </w:rPr>
        <w:t>Fecha de envío del</w:t>
      </w:r>
      <w:r>
        <w:rPr>
          <w:spacing w:val="-4"/>
          <w:sz w:val="20"/>
        </w:rPr>
        <w:t> </w:t>
      </w:r>
      <w:r>
        <w:rPr>
          <w:sz w:val="20"/>
        </w:rPr>
        <w:t>anuncio.</w:t>
      </w:r>
    </w:p>
    <w:p>
      <w:pPr>
        <w:pStyle w:val="ListParagraph"/>
        <w:numPr>
          <w:ilvl w:val="0"/>
          <w:numId w:val="517"/>
        </w:numPr>
        <w:tabs>
          <w:tab w:pos="1748" w:val="left" w:leader="none"/>
        </w:tabs>
        <w:spacing w:line="240" w:lineRule="auto" w:before="10" w:after="0"/>
        <w:ind w:left="1747" w:right="0" w:hanging="334"/>
        <w:jc w:val="both"/>
        <w:rPr>
          <w:sz w:val="20"/>
        </w:rPr>
      </w:pPr>
      <w:r>
        <w:rPr>
          <w:sz w:val="20"/>
        </w:rPr>
        <w:t>Si procede, otras</w:t>
      </w:r>
      <w:r>
        <w:rPr>
          <w:spacing w:val="-3"/>
          <w:sz w:val="20"/>
        </w:rPr>
        <w:t> </w:t>
      </w:r>
      <w:r>
        <w:rPr>
          <w:sz w:val="20"/>
        </w:rPr>
        <w:t>informaciones.</w:t>
      </w:r>
    </w:p>
    <w:p>
      <w:pPr>
        <w:pStyle w:val="BodyText"/>
        <w:spacing w:before="0"/>
        <w:ind w:left="0" w:firstLine="0"/>
        <w:jc w:val="left"/>
        <w:rPr>
          <w:sz w:val="26"/>
        </w:rPr>
      </w:pPr>
    </w:p>
    <w:p>
      <w:pPr>
        <w:pStyle w:val="Heading1"/>
        <w:spacing w:before="170"/>
        <w:ind w:left="2929"/>
      </w:pPr>
      <w:bookmarkStart w:name="ANEXO XI. Listado de Convenios internaci" w:id="447"/>
      <w:bookmarkEnd w:id="447"/>
      <w:r>
        <w:rPr>
          <w:b w:val="0"/>
        </w:rPr>
      </w:r>
      <w:bookmarkStart w:name="_bookmark92" w:id="448"/>
      <w:bookmarkEnd w:id="448"/>
      <w:r>
        <w:rPr>
          <w:b w:val="0"/>
        </w:rPr>
      </w:r>
      <w:r>
        <w:rPr/>
        <w:t>ANEXO XI</w:t>
      </w:r>
    </w:p>
    <w:p>
      <w:pPr>
        <w:spacing w:line="249" w:lineRule="auto" w:before="123"/>
        <w:ind w:left="3839" w:right="1647" w:hanging="2426"/>
        <w:jc w:val="left"/>
        <w:rPr>
          <w:b/>
          <w:sz w:val="20"/>
        </w:rPr>
      </w:pPr>
      <w:r>
        <w:rPr>
          <w:b/>
          <w:sz w:val="20"/>
        </w:rPr>
        <w:t>Listado de Convenios internacionales en el ámbito social y medioambiental a que se refiere el artículo 27.4</w:t>
      </w:r>
    </w:p>
    <w:p>
      <w:pPr>
        <w:pStyle w:val="ListParagraph"/>
        <w:numPr>
          <w:ilvl w:val="0"/>
          <w:numId w:val="518"/>
        </w:numPr>
        <w:tabs>
          <w:tab w:pos="1627" w:val="left" w:leader="none"/>
        </w:tabs>
        <w:spacing w:line="249" w:lineRule="auto" w:before="116" w:after="0"/>
        <w:ind w:left="1074" w:right="1274" w:firstLine="340"/>
        <w:jc w:val="left"/>
        <w:rPr>
          <w:sz w:val="20"/>
        </w:rPr>
      </w:pPr>
      <w:r>
        <w:rPr>
          <w:sz w:val="20"/>
        </w:rPr>
        <w:t>Convenio 87 de la OIT sobre la libertad sindical y la protección del derecho de sindicación.</w:t>
      </w:r>
    </w:p>
    <w:p>
      <w:pPr>
        <w:pStyle w:val="ListParagraph"/>
        <w:numPr>
          <w:ilvl w:val="0"/>
          <w:numId w:val="518"/>
        </w:numPr>
        <w:tabs>
          <w:tab w:pos="1570" w:val="left" w:leader="none"/>
        </w:tabs>
        <w:spacing w:line="240" w:lineRule="auto" w:before="2" w:after="0"/>
        <w:ind w:left="1569" w:right="0" w:hanging="156"/>
        <w:jc w:val="left"/>
        <w:rPr>
          <w:sz w:val="20"/>
        </w:rPr>
      </w:pPr>
      <w:r>
        <w:rPr>
          <w:sz w:val="20"/>
        </w:rPr>
        <w:t>Convenio 98 de la OIT sobre el derecho de sindicación y de negociación</w:t>
      </w:r>
      <w:r>
        <w:rPr>
          <w:spacing w:val="-18"/>
          <w:sz w:val="20"/>
        </w:rPr>
        <w:t> </w:t>
      </w:r>
      <w:r>
        <w:rPr>
          <w:sz w:val="20"/>
        </w:rPr>
        <w:t>colectiva.</w:t>
      </w:r>
    </w:p>
    <w:p>
      <w:pPr>
        <w:pStyle w:val="ListParagraph"/>
        <w:numPr>
          <w:ilvl w:val="0"/>
          <w:numId w:val="518"/>
        </w:numPr>
        <w:tabs>
          <w:tab w:pos="1570" w:val="left" w:leader="none"/>
        </w:tabs>
        <w:spacing w:line="240" w:lineRule="auto" w:before="10" w:after="0"/>
        <w:ind w:left="1569" w:right="0" w:hanging="156"/>
        <w:jc w:val="left"/>
        <w:rPr>
          <w:sz w:val="20"/>
        </w:rPr>
      </w:pPr>
      <w:r>
        <w:rPr>
          <w:sz w:val="20"/>
        </w:rPr>
        <w:t>Convenio 29 de la OIT sobre el trabajo forzoso u</w:t>
      </w:r>
      <w:r>
        <w:rPr>
          <w:spacing w:val="-9"/>
          <w:sz w:val="20"/>
        </w:rPr>
        <w:t> </w:t>
      </w:r>
      <w:r>
        <w:rPr>
          <w:sz w:val="20"/>
        </w:rPr>
        <w:t>obligatorio.</w:t>
      </w:r>
    </w:p>
    <w:p>
      <w:pPr>
        <w:pStyle w:val="ListParagraph"/>
        <w:numPr>
          <w:ilvl w:val="0"/>
          <w:numId w:val="518"/>
        </w:numPr>
        <w:tabs>
          <w:tab w:pos="1570" w:val="left" w:leader="none"/>
        </w:tabs>
        <w:spacing w:line="240" w:lineRule="auto" w:before="10" w:after="0"/>
        <w:ind w:left="1569" w:right="0" w:hanging="156"/>
        <w:jc w:val="left"/>
        <w:rPr>
          <w:sz w:val="20"/>
        </w:rPr>
      </w:pPr>
      <w:r>
        <w:rPr>
          <w:sz w:val="20"/>
        </w:rPr>
        <w:t>Convenio 105 de la OIT sobre la abolición del trabajo</w:t>
      </w:r>
      <w:r>
        <w:rPr>
          <w:spacing w:val="-10"/>
          <w:sz w:val="20"/>
        </w:rPr>
        <w:t> </w:t>
      </w:r>
      <w:r>
        <w:rPr>
          <w:sz w:val="20"/>
        </w:rPr>
        <w:t>forzoso.</w:t>
      </w:r>
    </w:p>
    <w:p>
      <w:pPr>
        <w:pStyle w:val="ListParagraph"/>
        <w:numPr>
          <w:ilvl w:val="0"/>
          <w:numId w:val="518"/>
        </w:numPr>
        <w:tabs>
          <w:tab w:pos="1570" w:val="left" w:leader="none"/>
        </w:tabs>
        <w:spacing w:line="240" w:lineRule="auto" w:before="10" w:after="0"/>
        <w:ind w:left="1569" w:right="0" w:hanging="156"/>
        <w:jc w:val="left"/>
        <w:rPr>
          <w:sz w:val="20"/>
        </w:rPr>
      </w:pPr>
      <w:r>
        <w:rPr>
          <w:sz w:val="20"/>
        </w:rPr>
        <w:t>Convenio 138 de la OIT sobre la edad</w:t>
      </w:r>
      <w:r>
        <w:rPr>
          <w:spacing w:val="-8"/>
          <w:sz w:val="20"/>
        </w:rPr>
        <w:t> </w:t>
      </w:r>
      <w:r>
        <w:rPr>
          <w:sz w:val="20"/>
        </w:rPr>
        <w:t>mínima.</w:t>
      </w:r>
    </w:p>
    <w:p>
      <w:pPr>
        <w:pStyle w:val="ListParagraph"/>
        <w:numPr>
          <w:ilvl w:val="0"/>
          <w:numId w:val="518"/>
        </w:numPr>
        <w:tabs>
          <w:tab w:pos="1570" w:val="left" w:leader="none"/>
        </w:tabs>
        <w:spacing w:line="240" w:lineRule="auto" w:before="10" w:after="0"/>
        <w:ind w:left="1569" w:right="0" w:hanging="156"/>
        <w:jc w:val="left"/>
        <w:rPr>
          <w:sz w:val="20"/>
        </w:rPr>
      </w:pPr>
      <w:r>
        <w:rPr>
          <w:sz w:val="20"/>
        </w:rPr>
        <w:t>Convenio 111 de la OIT sobre la discriminación (empleo y</w:t>
      </w:r>
      <w:r>
        <w:rPr>
          <w:spacing w:val="-12"/>
          <w:sz w:val="20"/>
        </w:rPr>
        <w:t> </w:t>
      </w:r>
      <w:r>
        <w:rPr>
          <w:sz w:val="20"/>
        </w:rPr>
        <w:t>ocupación).</w:t>
      </w:r>
    </w:p>
    <w:p>
      <w:pPr>
        <w:pStyle w:val="ListParagraph"/>
        <w:numPr>
          <w:ilvl w:val="0"/>
          <w:numId w:val="518"/>
        </w:numPr>
        <w:tabs>
          <w:tab w:pos="1570" w:val="left" w:leader="none"/>
        </w:tabs>
        <w:spacing w:line="240" w:lineRule="auto" w:before="10" w:after="0"/>
        <w:ind w:left="1569" w:right="0" w:hanging="156"/>
        <w:jc w:val="left"/>
        <w:rPr>
          <w:sz w:val="20"/>
        </w:rPr>
      </w:pPr>
      <w:r>
        <w:rPr>
          <w:sz w:val="20"/>
        </w:rPr>
        <w:t>Convenio 100 de la OIT sobre igualdad de</w:t>
      </w:r>
      <w:r>
        <w:rPr>
          <w:spacing w:val="-8"/>
          <w:sz w:val="20"/>
        </w:rPr>
        <w:t> </w:t>
      </w:r>
      <w:r>
        <w:rPr>
          <w:sz w:val="20"/>
        </w:rPr>
        <w:t>remuneración.</w:t>
      </w:r>
    </w:p>
    <w:p>
      <w:pPr>
        <w:pStyle w:val="ListParagraph"/>
        <w:numPr>
          <w:ilvl w:val="0"/>
          <w:numId w:val="518"/>
        </w:numPr>
        <w:tabs>
          <w:tab w:pos="1570" w:val="left" w:leader="none"/>
        </w:tabs>
        <w:spacing w:line="240" w:lineRule="auto" w:before="10" w:after="0"/>
        <w:ind w:left="1569" w:right="0" w:hanging="156"/>
        <w:jc w:val="left"/>
        <w:rPr>
          <w:sz w:val="20"/>
        </w:rPr>
      </w:pPr>
      <w:r>
        <w:rPr>
          <w:sz w:val="20"/>
        </w:rPr>
        <w:t>Convenio 182 de la OIT sobre las peores formas de trabajo</w:t>
      </w:r>
      <w:r>
        <w:rPr>
          <w:spacing w:val="-12"/>
          <w:sz w:val="20"/>
        </w:rPr>
        <w:t> </w:t>
      </w:r>
      <w:r>
        <w:rPr>
          <w:sz w:val="20"/>
        </w:rPr>
        <w:t>infantil.</w:t>
      </w:r>
    </w:p>
    <w:p>
      <w:pPr>
        <w:pStyle w:val="ListParagraph"/>
        <w:numPr>
          <w:ilvl w:val="0"/>
          <w:numId w:val="518"/>
        </w:numPr>
        <w:tabs>
          <w:tab w:pos="1580" w:val="left" w:leader="none"/>
        </w:tabs>
        <w:spacing w:line="249" w:lineRule="auto" w:before="10" w:after="0"/>
        <w:ind w:left="1074" w:right="1274" w:firstLine="340"/>
        <w:jc w:val="left"/>
        <w:rPr>
          <w:sz w:val="20"/>
        </w:rPr>
      </w:pPr>
      <w:r>
        <w:rPr>
          <w:sz w:val="20"/>
        </w:rPr>
        <w:t>Convenio de Viena para la protección de la capa de ozono y su Protocolo de Montreal relativo a las sustancias que agotan la capa de</w:t>
      </w:r>
      <w:r>
        <w:rPr>
          <w:spacing w:val="-9"/>
          <w:sz w:val="20"/>
        </w:rPr>
        <w:t> </w:t>
      </w:r>
      <w:r>
        <w:rPr>
          <w:sz w:val="20"/>
        </w:rPr>
        <w:t>ozono.</w:t>
      </w:r>
    </w:p>
    <w:p>
      <w:pPr>
        <w:pStyle w:val="ListParagraph"/>
        <w:numPr>
          <w:ilvl w:val="0"/>
          <w:numId w:val="518"/>
        </w:numPr>
        <w:tabs>
          <w:tab w:pos="1595" w:val="left" w:leader="none"/>
        </w:tabs>
        <w:spacing w:line="249" w:lineRule="auto" w:before="2" w:after="0"/>
        <w:ind w:left="1074" w:right="1271" w:firstLine="340"/>
        <w:jc w:val="left"/>
        <w:rPr>
          <w:sz w:val="20"/>
        </w:rPr>
      </w:pPr>
      <w:r>
        <w:rPr>
          <w:sz w:val="20"/>
        </w:rPr>
        <w:t>Convenio para el control de la eliminación y el transporte transfronterizo de residuos peligrosos (Convenio de</w:t>
      </w:r>
      <w:r>
        <w:rPr>
          <w:spacing w:val="-3"/>
          <w:sz w:val="20"/>
        </w:rPr>
        <w:t> </w:t>
      </w:r>
      <w:r>
        <w:rPr>
          <w:sz w:val="20"/>
        </w:rPr>
        <w:t>Basilea).</w:t>
      </w:r>
    </w:p>
    <w:p>
      <w:pPr>
        <w:pStyle w:val="ListParagraph"/>
        <w:numPr>
          <w:ilvl w:val="0"/>
          <w:numId w:val="518"/>
        </w:numPr>
        <w:tabs>
          <w:tab w:pos="1570" w:val="left" w:leader="none"/>
        </w:tabs>
        <w:spacing w:line="240" w:lineRule="auto" w:before="1" w:after="0"/>
        <w:ind w:left="1569" w:right="0" w:hanging="156"/>
        <w:jc w:val="left"/>
        <w:rPr>
          <w:sz w:val="20"/>
        </w:rPr>
      </w:pPr>
      <w:r>
        <w:rPr>
          <w:sz w:val="20"/>
        </w:rPr>
        <w:t>Convenio de Estocolmo sobre contaminantes orgánicos persistentes</w:t>
      </w:r>
      <w:r>
        <w:rPr>
          <w:spacing w:val="-8"/>
          <w:sz w:val="20"/>
        </w:rPr>
        <w:t> </w:t>
      </w:r>
      <w:r>
        <w:rPr>
          <w:sz w:val="20"/>
        </w:rPr>
        <w:t>(COP).</w:t>
      </w:r>
    </w:p>
    <w:p>
      <w:pPr>
        <w:pStyle w:val="ListParagraph"/>
        <w:numPr>
          <w:ilvl w:val="0"/>
          <w:numId w:val="518"/>
        </w:numPr>
        <w:tabs>
          <w:tab w:pos="1635" w:val="left" w:leader="none"/>
        </w:tabs>
        <w:spacing w:line="249" w:lineRule="auto" w:before="10" w:after="0"/>
        <w:ind w:left="1074" w:right="1272" w:firstLine="340"/>
        <w:jc w:val="both"/>
        <w:rPr>
          <w:sz w:val="20"/>
        </w:rPr>
      </w:pPr>
      <w:r>
        <w:rPr>
          <w:sz w:val="20"/>
        </w:rPr>
        <w:t>Convenio de Rotterdam sobre el procedimiento de consentimiento fundamentado previo aplicable a ciertos plaguicidas y productos químicos peligrosos objeto de comercio internacional (PNUMA/FAO) (Convenio PIC), Rotterdam, 10.9.1998, y sus tres Protocolos regionales.</w:t>
      </w:r>
    </w:p>
    <w:p>
      <w:pPr>
        <w:pStyle w:val="ListParagraph"/>
        <w:numPr>
          <w:ilvl w:val="0"/>
          <w:numId w:val="518"/>
        </w:numPr>
        <w:tabs>
          <w:tab w:pos="1582" w:val="left" w:leader="none"/>
        </w:tabs>
        <w:spacing w:line="249" w:lineRule="auto" w:before="4" w:after="0"/>
        <w:ind w:left="1074" w:right="1274" w:firstLine="340"/>
        <w:jc w:val="both"/>
        <w:rPr>
          <w:sz w:val="20"/>
        </w:rPr>
      </w:pPr>
      <w:r>
        <w:rPr>
          <w:sz w:val="20"/>
        </w:rPr>
        <w:t>Convenio sobre contaminación atmosférica transfronteriza a gran distancia y sus ocho protocolos (Convenio de</w:t>
      </w:r>
      <w:r>
        <w:rPr>
          <w:spacing w:val="-3"/>
          <w:sz w:val="20"/>
        </w:rPr>
        <w:t> </w:t>
      </w:r>
      <w:r>
        <w:rPr>
          <w:sz w:val="20"/>
        </w:rPr>
        <w:t>Ginebra).</w:t>
      </w:r>
    </w:p>
    <w:p>
      <w:pPr>
        <w:pStyle w:val="BodyText"/>
        <w:spacing w:before="0"/>
        <w:ind w:left="0" w:firstLine="0"/>
        <w:jc w:val="left"/>
        <w:rPr>
          <w:sz w:val="26"/>
        </w:rPr>
      </w:pPr>
    </w:p>
    <w:p>
      <w:pPr>
        <w:pStyle w:val="Heading1"/>
        <w:spacing w:before="162"/>
        <w:ind w:left="2929"/>
      </w:pPr>
      <w:bookmarkStart w:name="ANEXO XII. Requisitos mínimos en materia" w:id="449"/>
      <w:bookmarkEnd w:id="449"/>
      <w:r>
        <w:rPr>
          <w:b w:val="0"/>
        </w:rPr>
      </w:r>
      <w:bookmarkStart w:name="_bookmark93" w:id="450"/>
      <w:bookmarkEnd w:id="450"/>
      <w:r>
        <w:rPr>
          <w:b w:val="0"/>
        </w:rPr>
      </w:r>
      <w:r>
        <w:rPr/>
        <w:t>ANEXO XII</w:t>
      </w:r>
    </w:p>
    <w:p>
      <w:pPr>
        <w:spacing w:line="249" w:lineRule="auto" w:before="123"/>
        <w:ind w:left="1414" w:right="1613" w:hanging="2"/>
        <w:jc w:val="center"/>
        <w:rPr>
          <w:b/>
          <w:sz w:val="20"/>
        </w:rPr>
      </w:pPr>
      <w:r>
        <w:rPr>
          <w:b/>
          <w:sz w:val="20"/>
        </w:rPr>
        <w:t>Requisitos mínimos en materia de competencia y conocimientos profesionales [artículo 10, apartado 2, Directiva (UE) 2016/97 del Parlamento Europeo y del Consejo, de 20 de enero de 2016]</w:t>
      </w:r>
    </w:p>
    <w:p>
      <w:pPr>
        <w:pStyle w:val="ListParagraph"/>
        <w:numPr>
          <w:ilvl w:val="0"/>
          <w:numId w:val="519"/>
        </w:numPr>
        <w:tabs>
          <w:tab w:pos="1651" w:val="left" w:leader="none"/>
        </w:tabs>
        <w:spacing w:line="249" w:lineRule="auto" w:before="117" w:after="0"/>
        <w:ind w:left="1074" w:right="1274" w:firstLine="340"/>
        <w:jc w:val="both"/>
        <w:rPr>
          <w:sz w:val="20"/>
        </w:rPr>
      </w:pPr>
      <w:r>
        <w:rPr>
          <w:sz w:val="20"/>
        </w:rPr>
        <w:t>Riesgos en los seguros distintos del seguro de vida clasificados según los ramos 1 a 18 en el anexo I, parte A, de la Directiva</w:t>
      </w:r>
      <w:r>
        <w:rPr>
          <w:spacing w:val="-13"/>
          <w:sz w:val="20"/>
        </w:rPr>
        <w:t> </w:t>
      </w:r>
      <w:r>
        <w:rPr>
          <w:sz w:val="20"/>
        </w:rPr>
        <w:t>2009/138/CE.</w:t>
      </w:r>
    </w:p>
    <w:p>
      <w:pPr>
        <w:pStyle w:val="ListParagraph"/>
        <w:numPr>
          <w:ilvl w:val="0"/>
          <w:numId w:val="520"/>
        </w:numPr>
        <w:tabs>
          <w:tab w:pos="1659" w:val="left" w:leader="none"/>
        </w:tabs>
        <w:spacing w:line="249" w:lineRule="auto" w:before="121" w:after="0"/>
        <w:ind w:left="1074" w:right="1276" w:firstLine="340"/>
        <w:jc w:val="both"/>
        <w:rPr>
          <w:sz w:val="20"/>
        </w:rPr>
      </w:pPr>
      <w:r>
        <w:rPr>
          <w:sz w:val="20"/>
        </w:rPr>
        <w:t>Conocimiento mínimo necesario de las condiciones de las pólizas ofrecidas, incluidos los riesgos accesorios en caso de que los cubran dichas</w:t>
      </w:r>
      <w:r>
        <w:rPr>
          <w:spacing w:val="-13"/>
          <w:sz w:val="20"/>
        </w:rPr>
        <w:t> </w:t>
      </w:r>
      <w:r>
        <w:rPr>
          <w:sz w:val="20"/>
        </w:rPr>
        <w:t>pólizas;</w:t>
      </w:r>
    </w:p>
    <w:p>
      <w:pPr>
        <w:pStyle w:val="ListParagraph"/>
        <w:numPr>
          <w:ilvl w:val="0"/>
          <w:numId w:val="520"/>
        </w:numPr>
        <w:tabs>
          <w:tab w:pos="1668" w:val="left" w:leader="none"/>
        </w:tabs>
        <w:spacing w:line="249" w:lineRule="auto" w:before="2" w:after="0"/>
        <w:ind w:left="1074" w:right="1274" w:firstLine="340"/>
        <w:jc w:val="both"/>
        <w:rPr>
          <w:sz w:val="20"/>
        </w:rPr>
      </w:pPr>
      <w:r>
        <w:rPr>
          <w:sz w:val="20"/>
        </w:rPr>
        <w:t>conocimiento mínimo necesario de la legislación aplicable que rige la distribución de productos de seguro, como la legislación en materia de protección de los consumidores, la legislación tributaria pertinente y la legislación social y laboral</w:t>
      </w:r>
      <w:r>
        <w:rPr>
          <w:spacing w:val="-15"/>
          <w:sz w:val="20"/>
        </w:rPr>
        <w:t> </w:t>
      </w:r>
      <w:r>
        <w:rPr>
          <w:sz w:val="20"/>
        </w:rPr>
        <w:t>pertinente;</w:t>
      </w:r>
    </w:p>
    <w:p>
      <w:pPr>
        <w:pStyle w:val="ListParagraph"/>
        <w:numPr>
          <w:ilvl w:val="0"/>
          <w:numId w:val="520"/>
        </w:numPr>
        <w:tabs>
          <w:tab w:pos="1637" w:val="left" w:leader="none"/>
        </w:tabs>
        <w:spacing w:line="240" w:lineRule="auto" w:before="2" w:after="0"/>
        <w:ind w:left="1636" w:right="0" w:hanging="223"/>
        <w:jc w:val="left"/>
        <w:rPr>
          <w:sz w:val="20"/>
        </w:rPr>
      </w:pPr>
      <w:r>
        <w:rPr>
          <w:sz w:val="20"/>
        </w:rPr>
        <w:t>conocimiento mínimo necesario en materia de gestión de</w:t>
      </w:r>
      <w:r>
        <w:rPr>
          <w:spacing w:val="-8"/>
          <w:sz w:val="20"/>
        </w:rPr>
        <w:t> </w:t>
      </w:r>
      <w:r>
        <w:rPr>
          <w:sz w:val="20"/>
        </w:rPr>
        <w:t>siniestros;</w:t>
      </w:r>
    </w:p>
    <w:p>
      <w:pPr>
        <w:pStyle w:val="ListParagraph"/>
        <w:numPr>
          <w:ilvl w:val="0"/>
          <w:numId w:val="520"/>
        </w:numPr>
        <w:tabs>
          <w:tab w:pos="1648" w:val="left" w:leader="none"/>
        </w:tabs>
        <w:spacing w:line="240" w:lineRule="auto" w:before="11" w:after="0"/>
        <w:ind w:left="1647" w:right="0" w:hanging="234"/>
        <w:jc w:val="left"/>
        <w:rPr>
          <w:sz w:val="20"/>
        </w:rPr>
      </w:pPr>
      <w:r>
        <w:rPr>
          <w:sz w:val="20"/>
        </w:rPr>
        <w:t>conocimiento mínimo necesario en materia de tramitación de</w:t>
      </w:r>
      <w:r>
        <w:rPr>
          <w:spacing w:val="-6"/>
          <w:sz w:val="20"/>
        </w:rPr>
        <w:t> </w:t>
      </w:r>
      <w:r>
        <w:rPr>
          <w:sz w:val="20"/>
        </w:rPr>
        <w:t>reclamaciones;</w:t>
      </w:r>
    </w:p>
    <w:p>
      <w:pPr>
        <w:pStyle w:val="ListParagraph"/>
        <w:numPr>
          <w:ilvl w:val="0"/>
          <w:numId w:val="520"/>
        </w:numPr>
        <w:tabs>
          <w:tab w:pos="1648" w:val="left" w:leader="none"/>
        </w:tabs>
        <w:spacing w:line="240" w:lineRule="auto" w:before="10" w:after="0"/>
        <w:ind w:left="1647" w:right="0" w:hanging="234"/>
        <w:jc w:val="left"/>
        <w:rPr>
          <w:sz w:val="20"/>
        </w:rPr>
      </w:pPr>
      <w:r>
        <w:rPr>
          <w:sz w:val="20"/>
        </w:rPr>
        <w:t>conocimiento mínimo necesario en materia de análisis de las necesidades del</w:t>
      </w:r>
      <w:r>
        <w:rPr>
          <w:spacing w:val="-18"/>
          <w:sz w:val="20"/>
        </w:rPr>
        <w:t> </w:t>
      </w:r>
      <w:r>
        <w:rPr>
          <w:sz w:val="20"/>
        </w:rPr>
        <w:t>cliente;</w:t>
      </w:r>
    </w:p>
    <w:p>
      <w:pPr>
        <w:spacing w:after="0" w:line="240" w:lineRule="auto"/>
        <w:jc w:val="left"/>
        <w:rPr>
          <w:sz w:val="20"/>
        </w:rPr>
        <w:sectPr>
          <w:pgSz w:w="11910" w:h="16840"/>
          <w:pgMar w:header="529" w:footer="570" w:top="1200" w:bottom="760" w:left="740" w:right="540"/>
        </w:sectPr>
      </w:pPr>
    </w:p>
    <w:p>
      <w:pPr>
        <w:pStyle w:val="BodyText"/>
        <w:spacing w:before="9"/>
        <w:ind w:left="0" w:firstLine="0"/>
        <w:jc w:val="left"/>
        <w:rPr>
          <w:sz w:val="29"/>
        </w:rPr>
      </w:pPr>
    </w:p>
    <w:p>
      <w:pPr>
        <w:pStyle w:val="ListParagraph"/>
        <w:numPr>
          <w:ilvl w:val="0"/>
          <w:numId w:val="520"/>
        </w:numPr>
        <w:tabs>
          <w:tab w:pos="1593" w:val="left" w:leader="none"/>
        </w:tabs>
        <w:spacing w:line="240" w:lineRule="auto" w:before="127" w:after="0"/>
        <w:ind w:left="1592" w:right="0" w:hanging="179"/>
        <w:jc w:val="left"/>
        <w:rPr>
          <w:sz w:val="20"/>
        </w:rPr>
      </w:pPr>
      <w:r>
        <w:rPr>
          <w:sz w:val="20"/>
        </w:rPr>
        <w:t>conocimiento mínimo necesario del mercado de</w:t>
      </w:r>
      <w:r>
        <w:rPr>
          <w:spacing w:val="-4"/>
          <w:sz w:val="20"/>
        </w:rPr>
        <w:t> </w:t>
      </w:r>
      <w:r>
        <w:rPr>
          <w:sz w:val="20"/>
        </w:rPr>
        <w:t>seguros;</w:t>
      </w:r>
    </w:p>
    <w:p>
      <w:pPr>
        <w:pStyle w:val="ListParagraph"/>
        <w:numPr>
          <w:ilvl w:val="0"/>
          <w:numId w:val="520"/>
        </w:numPr>
        <w:tabs>
          <w:tab w:pos="1648" w:val="left" w:leader="none"/>
        </w:tabs>
        <w:spacing w:line="240" w:lineRule="auto" w:before="10" w:after="0"/>
        <w:ind w:left="1647" w:right="0" w:hanging="234"/>
        <w:jc w:val="left"/>
        <w:rPr>
          <w:sz w:val="20"/>
        </w:rPr>
      </w:pPr>
      <w:r>
        <w:rPr>
          <w:sz w:val="20"/>
        </w:rPr>
        <w:t>conocimiento mínimo necesario de las normas deontológicas del sector,</w:t>
      </w:r>
      <w:r>
        <w:rPr>
          <w:spacing w:val="-11"/>
          <w:sz w:val="20"/>
        </w:rPr>
        <w:t> </w:t>
      </w:r>
      <w:r>
        <w:rPr>
          <w:sz w:val="20"/>
        </w:rPr>
        <w:t>y</w:t>
      </w:r>
    </w:p>
    <w:p>
      <w:pPr>
        <w:pStyle w:val="ListParagraph"/>
        <w:numPr>
          <w:ilvl w:val="0"/>
          <w:numId w:val="520"/>
        </w:numPr>
        <w:tabs>
          <w:tab w:pos="1648" w:val="left" w:leader="none"/>
        </w:tabs>
        <w:spacing w:line="240" w:lineRule="auto" w:before="10" w:after="0"/>
        <w:ind w:left="1647" w:right="0" w:hanging="234"/>
        <w:jc w:val="left"/>
        <w:rPr>
          <w:sz w:val="20"/>
        </w:rPr>
      </w:pPr>
      <w:r>
        <w:rPr>
          <w:sz w:val="20"/>
        </w:rPr>
        <w:t>competencia financiera mínima</w:t>
      </w:r>
      <w:r>
        <w:rPr>
          <w:spacing w:val="-1"/>
          <w:sz w:val="20"/>
        </w:rPr>
        <w:t> </w:t>
      </w:r>
      <w:r>
        <w:rPr>
          <w:sz w:val="20"/>
        </w:rPr>
        <w:t>necesaria.</w:t>
      </w:r>
    </w:p>
    <w:p>
      <w:pPr>
        <w:pStyle w:val="ListParagraph"/>
        <w:numPr>
          <w:ilvl w:val="0"/>
          <w:numId w:val="519"/>
        </w:numPr>
        <w:tabs>
          <w:tab w:pos="1637" w:val="left" w:leader="none"/>
        </w:tabs>
        <w:spacing w:line="240" w:lineRule="auto" w:before="130" w:after="0"/>
        <w:ind w:left="1636" w:right="0" w:hanging="223"/>
        <w:jc w:val="left"/>
        <w:rPr>
          <w:sz w:val="20"/>
        </w:rPr>
      </w:pPr>
      <w:r>
        <w:rPr>
          <w:sz w:val="20"/>
        </w:rPr>
        <w:t>Productos de inversión basados en</w:t>
      </w:r>
      <w:r>
        <w:rPr>
          <w:spacing w:val="-5"/>
          <w:sz w:val="20"/>
        </w:rPr>
        <w:t> </w:t>
      </w:r>
      <w:r>
        <w:rPr>
          <w:sz w:val="20"/>
        </w:rPr>
        <w:t>seguros.</w:t>
      </w:r>
    </w:p>
    <w:p>
      <w:pPr>
        <w:pStyle w:val="ListParagraph"/>
        <w:numPr>
          <w:ilvl w:val="0"/>
          <w:numId w:val="521"/>
        </w:numPr>
        <w:tabs>
          <w:tab w:pos="1673" w:val="left" w:leader="none"/>
        </w:tabs>
        <w:spacing w:line="249" w:lineRule="auto" w:before="130" w:after="0"/>
        <w:ind w:left="1074" w:right="1273" w:firstLine="340"/>
        <w:jc w:val="both"/>
        <w:rPr>
          <w:sz w:val="20"/>
        </w:rPr>
      </w:pPr>
      <w:r>
        <w:rPr>
          <w:sz w:val="20"/>
        </w:rPr>
        <w:t>Conocimiento mínimo necesario de los productos de inversión basados en seguros, incluidas las condiciones y las primas netas y, en su caso, las prestaciones garantizadas y no</w:t>
      </w:r>
      <w:r>
        <w:rPr>
          <w:spacing w:val="-2"/>
          <w:sz w:val="20"/>
        </w:rPr>
        <w:t> </w:t>
      </w:r>
      <w:r>
        <w:rPr>
          <w:sz w:val="20"/>
        </w:rPr>
        <w:t>garantizadas;</w:t>
      </w:r>
    </w:p>
    <w:p>
      <w:pPr>
        <w:pStyle w:val="ListParagraph"/>
        <w:numPr>
          <w:ilvl w:val="0"/>
          <w:numId w:val="521"/>
        </w:numPr>
        <w:tabs>
          <w:tab w:pos="1725" w:val="left" w:leader="none"/>
        </w:tabs>
        <w:spacing w:line="249" w:lineRule="auto" w:before="2" w:after="0"/>
        <w:ind w:left="1074" w:right="1273" w:firstLine="340"/>
        <w:jc w:val="both"/>
        <w:rPr>
          <w:sz w:val="20"/>
        </w:rPr>
      </w:pPr>
      <w:r>
        <w:rPr>
          <w:sz w:val="20"/>
        </w:rPr>
        <w:t>conocimiento mínimo necesario de las ventajas y desventajas de las distintas opciones de inversión para los tomadores de</w:t>
      </w:r>
      <w:r>
        <w:rPr>
          <w:spacing w:val="-9"/>
          <w:sz w:val="20"/>
        </w:rPr>
        <w:t> </w:t>
      </w:r>
      <w:r>
        <w:rPr>
          <w:sz w:val="20"/>
        </w:rPr>
        <w:t>seguros;</w:t>
      </w:r>
    </w:p>
    <w:p>
      <w:pPr>
        <w:pStyle w:val="ListParagraph"/>
        <w:numPr>
          <w:ilvl w:val="0"/>
          <w:numId w:val="521"/>
        </w:numPr>
        <w:tabs>
          <w:tab w:pos="1639" w:val="left" w:leader="none"/>
        </w:tabs>
        <w:spacing w:line="249" w:lineRule="auto" w:before="2" w:after="0"/>
        <w:ind w:left="1074" w:right="1272" w:firstLine="340"/>
        <w:jc w:val="both"/>
        <w:rPr>
          <w:sz w:val="20"/>
        </w:rPr>
      </w:pPr>
      <w:r>
        <w:rPr>
          <w:sz w:val="20"/>
        </w:rPr>
        <w:t>conocimiento mínimo necesario de los riesgos financieros asumidos por los tomadores de</w:t>
      </w:r>
      <w:r>
        <w:rPr>
          <w:spacing w:val="-1"/>
          <w:sz w:val="20"/>
        </w:rPr>
        <w:t> </w:t>
      </w:r>
      <w:r>
        <w:rPr>
          <w:sz w:val="20"/>
        </w:rPr>
        <w:t>seguros;</w:t>
      </w:r>
    </w:p>
    <w:p>
      <w:pPr>
        <w:pStyle w:val="ListParagraph"/>
        <w:numPr>
          <w:ilvl w:val="0"/>
          <w:numId w:val="521"/>
        </w:numPr>
        <w:tabs>
          <w:tab w:pos="1657" w:val="left" w:leader="none"/>
        </w:tabs>
        <w:spacing w:line="249" w:lineRule="auto" w:before="1" w:after="0"/>
        <w:ind w:left="1074" w:right="1275" w:firstLine="340"/>
        <w:jc w:val="both"/>
        <w:rPr>
          <w:sz w:val="20"/>
        </w:rPr>
      </w:pPr>
      <w:r>
        <w:rPr>
          <w:sz w:val="20"/>
        </w:rPr>
        <w:t>conocimiento mínimo necesario de las pólizas que cubren los riesgos en el seguro de vida y otros productos de</w:t>
      </w:r>
      <w:r>
        <w:rPr>
          <w:spacing w:val="-4"/>
          <w:sz w:val="20"/>
        </w:rPr>
        <w:t> </w:t>
      </w:r>
      <w:r>
        <w:rPr>
          <w:sz w:val="20"/>
        </w:rPr>
        <w:t>ahorro;</w:t>
      </w:r>
    </w:p>
    <w:p>
      <w:pPr>
        <w:pStyle w:val="ListParagraph"/>
        <w:numPr>
          <w:ilvl w:val="0"/>
          <w:numId w:val="521"/>
        </w:numPr>
        <w:tabs>
          <w:tab w:pos="1651" w:val="left" w:leader="none"/>
        </w:tabs>
        <w:spacing w:line="249" w:lineRule="auto" w:before="2" w:after="0"/>
        <w:ind w:left="1074" w:right="1275" w:firstLine="340"/>
        <w:jc w:val="both"/>
        <w:rPr>
          <w:sz w:val="20"/>
        </w:rPr>
      </w:pPr>
      <w:r>
        <w:rPr>
          <w:sz w:val="20"/>
        </w:rPr>
        <w:t>conocimiento mínimo necesario de la organización y las prestaciones garantizadas del sistema de</w:t>
      </w:r>
      <w:r>
        <w:rPr>
          <w:spacing w:val="-2"/>
          <w:sz w:val="20"/>
        </w:rPr>
        <w:t> </w:t>
      </w:r>
      <w:r>
        <w:rPr>
          <w:sz w:val="20"/>
        </w:rPr>
        <w:t>pensiones;</w:t>
      </w:r>
    </w:p>
    <w:p>
      <w:pPr>
        <w:pStyle w:val="ListParagraph"/>
        <w:numPr>
          <w:ilvl w:val="0"/>
          <w:numId w:val="521"/>
        </w:numPr>
        <w:tabs>
          <w:tab w:pos="1617" w:val="left" w:leader="none"/>
        </w:tabs>
        <w:spacing w:line="249" w:lineRule="auto" w:before="2" w:after="0"/>
        <w:ind w:left="1074" w:right="1273" w:firstLine="340"/>
        <w:jc w:val="both"/>
        <w:rPr>
          <w:sz w:val="20"/>
        </w:rPr>
      </w:pPr>
      <w:r>
        <w:rPr>
          <w:sz w:val="20"/>
        </w:rPr>
        <w:t>conocimiento mínimo necesario de la legislación aplicable que rige la distribución de productos de seguro, como la legislación en materia de protección de los consumidores y la legislación tributaria</w:t>
      </w:r>
      <w:r>
        <w:rPr>
          <w:spacing w:val="-2"/>
          <w:sz w:val="20"/>
        </w:rPr>
        <w:t> </w:t>
      </w:r>
      <w:r>
        <w:rPr>
          <w:sz w:val="20"/>
        </w:rPr>
        <w:t>pertinente;</w:t>
      </w:r>
    </w:p>
    <w:p>
      <w:pPr>
        <w:pStyle w:val="ListParagraph"/>
        <w:numPr>
          <w:ilvl w:val="0"/>
          <w:numId w:val="521"/>
        </w:numPr>
        <w:tabs>
          <w:tab w:pos="1662" w:val="left" w:leader="none"/>
        </w:tabs>
        <w:spacing w:line="249" w:lineRule="auto" w:before="2" w:after="0"/>
        <w:ind w:left="1074" w:right="1274" w:firstLine="340"/>
        <w:jc w:val="both"/>
        <w:rPr>
          <w:sz w:val="20"/>
        </w:rPr>
      </w:pPr>
      <w:r>
        <w:rPr>
          <w:sz w:val="20"/>
        </w:rPr>
        <w:t>conocimiento mínimo necesario del mercado de seguros y del mercado de productos de</w:t>
      </w:r>
      <w:r>
        <w:rPr>
          <w:spacing w:val="-2"/>
          <w:sz w:val="20"/>
        </w:rPr>
        <w:t> </w:t>
      </w:r>
      <w:r>
        <w:rPr>
          <w:sz w:val="20"/>
        </w:rPr>
        <w:t>ahorro;</w:t>
      </w:r>
    </w:p>
    <w:p>
      <w:pPr>
        <w:pStyle w:val="ListParagraph"/>
        <w:numPr>
          <w:ilvl w:val="0"/>
          <w:numId w:val="521"/>
        </w:numPr>
        <w:tabs>
          <w:tab w:pos="1648" w:val="left" w:leader="none"/>
        </w:tabs>
        <w:spacing w:line="240" w:lineRule="auto" w:before="2" w:after="0"/>
        <w:ind w:left="1647" w:right="0" w:hanging="234"/>
        <w:jc w:val="left"/>
        <w:rPr>
          <w:sz w:val="20"/>
        </w:rPr>
      </w:pPr>
      <w:r>
        <w:rPr>
          <w:sz w:val="20"/>
        </w:rPr>
        <w:t>conocimiento mínimo necesario en materia de tramitación de</w:t>
      </w:r>
      <w:r>
        <w:rPr>
          <w:spacing w:val="-6"/>
          <w:sz w:val="20"/>
        </w:rPr>
        <w:t> </w:t>
      </w:r>
      <w:r>
        <w:rPr>
          <w:sz w:val="20"/>
        </w:rPr>
        <w:t>reclamaciones;</w:t>
      </w:r>
    </w:p>
    <w:p>
      <w:pPr>
        <w:pStyle w:val="ListParagraph"/>
        <w:numPr>
          <w:ilvl w:val="0"/>
          <w:numId w:val="521"/>
        </w:numPr>
        <w:tabs>
          <w:tab w:pos="1581" w:val="left" w:leader="none"/>
        </w:tabs>
        <w:spacing w:line="240" w:lineRule="auto" w:before="10" w:after="0"/>
        <w:ind w:left="1580" w:right="0" w:hanging="167"/>
        <w:jc w:val="left"/>
        <w:rPr>
          <w:sz w:val="20"/>
        </w:rPr>
      </w:pPr>
      <w:r>
        <w:rPr>
          <w:sz w:val="20"/>
        </w:rPr>
        <w:t>conocimiento mínimo necesario en materia de análisis de las necesidades del</w:t>
      </w:r>
      <w:r>
        <w:rPr>
          <w:spacing w:val="-18"/>
          <w:sz w:val="20"/>
        </w:rPr>
        <w:t> </w:t>
      </w:r>
      <w:r>
        <w:rPr>
          <w:sz w:val="20"/>
        </w:rPr>
        <w:t>cliente;</w:t>
      </w:r>
    </w:p>
    <w:p>
      <w:pPr>
        <w:pStyle w:val="ListParagraph"/>
        <w:numPr>
          <w:ilvl w:val="0"/>
          <w:numId w:val="521"/>
        </w:numPr>
        <w:tabs>
          <w:tab w:pos="1581" w:val="left" w:leader="none"/>
        </w:tabs>
        <w:spacing w:line="240" w:lineRule="auto" w:before="10" w:after="0"/>
        <w:ind w:left="1580" w:right="0" w:hanging="167"/>
        <w:jc w:val="left"/>
        <w:rPr>
          <w:sz w:val="20"/>
        </w:rPr>
      </w:pPr>
      <w:r>
        <w:rPr>
          <w:sz w:val="20"/>
        </w:rPr>
        <w:t>gestión de conflictos de</w:t>
      </w:r>
      <w:r>
        <w:rPr>
          <w:spacing w:val="-4"/>
          <w:sz w:val="20"/>
        </w:rPr>
        <w:t> </w:t>
      </w:r>
      <w:r>
        <w:rPr>
          <w:sz w:val="20"/>
        </w:rPr>
        <w:t>interés;</w:t>
      </w:r>
    </w:p>
    <w:p>
      <w:pPr>
        <w:pStyle w:val="ListParagraph"/>
        <w:numPr>
          <w:ilvl w:val="0"/>
          <w:numId w:val="521"/>
        </w:numPr>
        <w:tabs>
          <w:tab w:pos="1637" w:val="left" w:leader="none"/>
        </w:tabs>
        <w:spacing w:line="240" w:lineRule="auto" w:before="10" w:after="0"/>
        <w:ind w:left="1636" w:right="0" w:hanging="223"/>
        <w:jc w:val="left"/>
        <w:rPr>
          <w:sz w:val="20"/>
        </w:rPr>
      </w:pPr>
      <w:r>
        <w:rPr>
          <w:sz w:val="20"/>
        </w:rPr>
        <w:t>conocimiento mínimo necesario de las normas deontológicas del sector,</w:t>
      </w:r>
      <w:r>
        <w:rPr>
          <w:spacing w:val="-11"/>
          <w:sz w:val="20"/>
        </w:rPr>
        <w:t> </w:t>
      </w:r>
      <w:r>
        <w:rPr>
          <w:sz w:val="20"/>
        </w:rPr>
        <w:t>y</w:t>
      </w:r>
    </w:p>
    <w:p>
      <w:pPr>
        <w:pStyle w:val="ListParagraph"/>
        <w:numPr>
          <w:ilvl w:val="0"/>
          <w:numId w:val="521"/>
        </w:numPr>
        <w:tabs>
          <w:tab w:pos="1581" w:val="left" w:leader="none"/>
        </w:tabs>
        <w:spacing w:line="240" w:lineRule="auto" w:before="10" w:after="0"/>
        <w:ind w:left="1580" w:right="0" w:hanging="167"/>
        <w:jc w:val="left"/>
        <w:rPr>
          <w:sz w:val="20"/>
        </w:rPr>
      </w:pPr>
      <w:r>
        <w:rPr>
          <w:sz w:val="20"/>
        </w:rPr>
        <w:t>competencia financiera mínima</w:t>
      </w:r>
      <w:r>
        <w:rPr>
          <w:spacing w:val="-1"/>
          <w:sz w:val="20"/>
        </w:rPr>
        <w:t> </w:t>
      </w:r>
      <w:r>
        <w:rPr>
          <w:sz w:val="20"/>
        </w:rPr>
        <w:t>necesaria.</w:t>
      </w:r>
    </w:p>
    <w:p>
      <w:pPr>
        <w:pStyle w:val="ListParagraph"/>
        <w:numPr>
          <w:ilvl w:val="0"/>
          <w:numId w:val="519"/>
        </w:numPr>
        <w:tabs>
          <w:tab w:pos="1728" w:val="left" w:leader="none"/>
        </w:tabs>
        <w:spacing w:line="249" w:lineRule="auto" w:before="130" w:after="0"/>
        <w:ind w:left="1074" w:right="1275" w:firstLine="340"/>
        <w:jc w:val="both"/>
        <w:rPr>
          <w:sz w:val="20"/>
        </w:rPr>
      </w:pPr>
      <w:r>
        <w:rPr>
          <w:sz w:val="20"/>
        </w:rPr>
        <w:t>Riesgos en los seguros de vida clasificados en el anexo II de la Directiva 2009/138/CE.</w:t>
      </w:r>
    </w:p>
    <w:p>
      <w:pPr>
        <w:pStyle w:val="ListParagraph"/>
        <w:numPr>
          <w:ilvl w:val="0"/>
          <w:numId w:val="522"/>
        </w:numPr>
        <w:tabs>
          <w:tab w:pos="1738" w:val="left" w:leader="none"/>
        </w:tabs>
        <w:spacing w:line="249" w:lineRule="auto" w:before="122" w:after="0"/>
        <w:ind w:left="1074" w:right="1275" w:firstLine="340"/>
        <w:jc w:val="both"/>
        <w:rPr>
          <w:sz w:val="20"/>
        </w:rPr>
      </w:pPr>
      <w:r>
        <w:rPr>
          <w:sz w:val="20"/>
        </w:rPr>
        <w:t>Conocimiento mínimo necesario de las pólizas, incluidas las condiciones, las prestaciones garantizadas y, en su caso, los riesgos</w:t>
      </w:r>
      <w:r>
        <w:rPr>
          <w:spacing w:val="-10"/>
          <w:sz w:val="20"/>
        </w:rPr>
        <w:t> </w:t>
      </w:r>
      <w:r>
        <w:rPr>
          <w:sz w:val="20"/>
        </w:rPr>
        <w:t>accesorios;</w:t>
      </w:r>
    </w:p>
    <w:p>
      <w:pPr>
        <w:pStyle w:val="ListParagraph"/>
        <w:numPr>
          <w:ilvl w:val="0"/>
          <w:numId w:val="522"/>
        </w:numPr>
        <w:tabs>
          <w:tab w:pos="1651" w:val="left" w:leader="none"/>
        </w:tabs>
        <w:spacing w:line="249" w:lineRule="auto" w:before="1" w:after="0"/>
        <w:ind w:left="1074" w:right="1275" w:firstLine="340"/>
        <w:jc w:val="both"/>
        <w:rPr>
          <w:sz w:val="20"/>
        </w:rPr>
      </w:pPr>
      <w:r>
        <w:rPr>
          <w:sz w:val="20"/>
        </w:rPr>
        <w:t>conocimiento mínimo necesario de la organización y las prestaciones garantizadas del sistema de pensiones del Estado miembro de que se</w:t>
      </w:r>
      <w:r>
        <w:rPr>
          <w:spacing w:val="-7"/>
          <w:sz w:val="20"/>
        </w:rPr>
        <w:t> </w:t>
      </w:r>
      <w:r>
        <w:rPr>
          <w:sz w:val="20"/>
        </w:rPr>
        <w:t>trate;</w:t>
      </w:r>
    </w:p>
    <w:p>
      <w:pPr>
        <w:pStyle w:val="ListParagraph"/>
        <w:numPr>
          <w:ilvl w:val="0"/>
          <w:numId w:val="522"/>
        </w:numPr>
        <w:tabs>
          <w:tab w:pos="1670" w:val="left" w:leader="none"/>
        </w:tabs>
        <w:spacing w:line="249" w:lineRule="auto" w:before="2" w:after="0"/>
        <w:ind w:left="1074" w:right="1274" w:firstLine="340"/>
        <w:jc w:val="both"/>
        <w:rPr>
          <w:sz w:val="20"/>
        </w:rPr>
      </w:pPr>
      <w:r>
        <w:rPr>
          <w:sz w:val="20"/>
        </w:rPr>
        <w:t>conocimiento de la legislación en materia de contratos de seguro, la legislación en materia de protección de los consumidores, la legislación en materia de protección de datos y la legislación contra el blanqueo de capitales aplicables y, en su caso, la legislación tributaria pertinente y la legislación social y laboral</w:t>
      </w:r>
      <w:r>
        <w:rPr>
          <w:spacing w:val="-9"/>
          <w:sz w:val="20"/>
        </w:rPr>
        <w:t> </w:t>
      </w:r>
      <w:r>
        <w:rPr>
          <w:sz w:val="20"/>
        </w:rPr>
        <w:t>pertinente;</w:t>
      </w:r>
    </w:p>
    <w:p>
      <w:pPr>
        <w:pStyle w:val="ListParagraph"/>
        <w:numPr>
          <w:ilvl w:val="0"/>
          <w:numId w:val="522"/>
        </w:numPr>
        <w:tabs>
          <w:tab w:pos="1693" w:val="left" w:leader="none"/>
        </w:tabs>
        <w:spacing w:line="249" w:lineRule="auto" w:before="3" w:after="0"/>
        <w:ind w:left="1074" w:right="1273" w:firstLine="340"/>
        <w:jc w:val="both"/>
        <w:rPr>
          <w:sz w:val="20"/>
        </w:rPr>
      </w:pPr>
      <w:r>
        <w:rPr>
          <w:sz w:val="20"/>
        </w:rPr>
        <w:t>conocimiento mínimo necesario del mercado de seguros y de otros mercados de servicios financieros</w:t>
      </w:r>
      <w:r>
        <w:rPr>
          <w:spacing w:val="-1"/>
          <w:sz w:val="20"/>
        </w:rPr>
        <w:t> </w:t>
      </w:r>
      <w:r>
        <w:rPr>
          <w:sz w:val="20"/>
        </w:rPr>
        <w:t>pertinentes;</w:t>
      </w:r>
    </w:p>
    <w:p>
      <w:pPr>
        <w:pStyle w:val="ListParagraph"/>
        <w:numPr>
          <w:ilvl w:val="0"/>
          <w:numId w:val="522"/>
        </w:numPr>
        <w:tabs>
          <w:tab w:pos="1648" w:val="left" w:leader="none"/>
        </w:tabs>
        <w:spacing w:line="240" w:lineRule="auto" w:before="2" w:after="0"/>
        <w:ind w:left="1647" w:right="0" w:hanging="234"/>
        <w:jc w:val="both"/>
        <w:rPr>
          <w:sz w:val="20"/>
        </w:rPr>
      </w:pPr>
      <w:r>
        <w:rPr>
          <w:sz w:val="20"/>
        </w:rPr>
        <w:t>conocimiento mínimo necesario en materia de tramitación de</w:t>
      </w:r>
      <w:r>
        <w:rPr>
          <w:spacing w:val="-6"/>
          <w:sz w:val="20"/>
        </w:rPr>
        <w:t> </w:t>
      </w:r>
      <w:r>
        <w:rPr>
          <w:sz w:val="20"/>
        </w:rPr>
        <w:t>reclamaciones;</w:t>
      </w:r>
    </w:p>
    <w:p>
      <w:pPr>
        <w:pStyle w:val="ListParagraph"/>
        <w:numPr>
          <w:ilvl w:val="0"/>
          <w:numId w:val="522"/>
        </w:numPr>
        <w:tabs>
          <w:tab w:pos="1642" w:val="left" w:leader="none"/>
        </w:tabs>
        <w:spacing w:line="249" w:lineRule="auto" w:before="10" w:after="0"/>
        <w:ind w:left="1074" w:right="1275" w:firstLine="340"/>
        <w:jc w:val="both"/>
        <w:rPr>
          <w:sz w:val="20"/>
        </w:rPr>
      </w:pPr>
      <w:r>
        <w:rPr>
          <w:sz w:val="20"/>
        </w:rPr>
        <w:t>conocimiento mínimo necesario en materia de análisis de las necesidades de los consumidores;</w:t>
      </w:r>
    </w:p>
    <w:p>
      <w:pPr>
        <w:pStyle w:val="ListParagraph"/>
        <w:numPr>
          <w:ilvl w:val="0"/>
          <w:numId w:val="522"/>
        </w:numPr>
        <w:tabs>
          <w:tab w:pos="1648" w:val="left" w:leader="none"/>
        </w:tabs>
        <w:spacing w:line="240" w:lineRule="auto" w:before="1" w:after="0"/>
        <w:ind w:left="1647" w:right="0" w:hanging="234"/>
        <w:jc w:val="left"/>
        <w:rPr>
          <w:sz w:val="20"/>
        </w:rPr>
      </w:pPr>
      <w:r>
        <w:rPr>
          <w:sz w:val="20"/>
        </w:rPr>
        <w:t>gestión de conflictos de</w:t>
      </w:r>
      <w:r>
        <w:rPr>
          <w:spacing w:val="-4"/>
          <w:sz w:val="20"/>
        </w:rPr>
        <w:t> </w:t>
      </w:r>
      <w:r>
        <w:rPr>
          <w:sz w:val="20"/>
        </w:rPr>
        <w:t>interés;</w:t>
      </w:r>
    </w:p>
    <w:p>
      <w:pPr>
        <w:pStyle w:val="ListParagraph"/>
        <w:numPr>
          <w:ilvl w:val="0"/>
          <w:numId w:val="522"/>
        </w:numPr>
        <w:tabs>
          <w:tab w:pos="1648" w:val="left" w:leader="none"/>
        </w:tabs>
        <w:spacing w:line="240" w:lineRule="auto" w:before="10" w:after="0"/>
        <w:ind w:left="1647" w:right="0" w:hanging="234"/>
        <w:jc w:val="left"/>
        <w:rPr>
          <w:sz w:val="20"/>
        </w:rPr>
      </w:pPr>
      <w:r>
        <w:rPr>
          <w:sz w:val="20"/>
        </w:rPr>
        <w:t>conocimiento mínimo necesario de las normas deontológicas del sector,</w:t>
      </w:r>
      <w:r>
        <w:rPr>
          <w:spacing w:val="-11"/>
          <w:sz w:val="20"/>
        </w:rPr>
        <w:t> </w:t>
      </w:r>
      <w:r>
        <w:rPr>
          <w:sz w:val="20"/>
        </w:rPr>
        <w:t>y</w:t>
      </w:r>
    </w:p>
    <w:p>
      <w:pPr>
        <w:pStyle w:val="ListParagraph"/>
        <w:numPr>
          <w:ilvl w:val="0"/>
          <w:numId w:val="522"/>
        </w:numPr>
        <w:tabs>
          <w:tab w:pos="1581" w:val="left" w:leader="none"/>
        </w:tabs>
        <w:spacing w:line="240" w:lineRule="auto" w:before="10" w:after="0"/>
        <w:ind w:left="1580" w:right="0" w:hanging="167"/>
        <w:jc w:val="left"/>
        <w:rPr>
          <w:sz w:val="20"/>
        </w:rPr>
      </w:pPr>
      <w:r>
        <w:rPr>
          <w:sz w:val="20"/>
        </w:rPr>
        <w:t>competencia financiera mínima</w:t>
      </w:r>
      <w:r>
        <w:rPr>
          <w:spacing w:val="-1"/>
          <w:sz w:val="20"/>
        </w:rPr>
        <w:t> </w:t>
      </w:r>
      <w:r>
        <w:rPr>
          <w:sz w:val="20"/>
        </w:rPr>
        <w:t>necesaria.</w:t>
      </w:r>
    </w:p>
    <w:p>
      <w:pPr>
        <w:pStyle w:val="BodyText"/>
        <w:spacing w:before="0"/>
        <w:ind w:left="0" w:firstLine="0"/>
        <w:jc w:val="left"/>
      </w:pPr>
    </w:p>
    <w:p>
      <w:pPr>
        <w:pStyle w:val="BodyText"/>
        <w:spacing w:before="4"/>
        <w:ind w:left="0" w:firstLine="0"/>
        <w:jc w:val="left"/>
        <w:rPr>
          <w:sz w:val="15"/>
        </w:rPr>
      </w:pPr>
      <w:r>
        <w:rPr/>
        <w:pict>
          <v:shape style="position:absolute;margin-left:90.850403pt;margin-top:10.970536pt;width:413.6pt;height:32.3pt;mso-position-horizontal-relative:page;mso-position-vertical-relative:paragraph;z-index:-251654144;mso-wrap-distance-left:0;mso-wrap-distance-right:0" type="#_x0000_t202" filled="false" stroked="true" strokeweight=".28348pt" strokecolor="#004479">
            <v:textbox inset="0,0,0,0">
              <w:txbxContent>
                <w:p>
                  <w:pPr>
                    <w:pStyle w:val="BodyText"/>
                    <w:spacing w:before="184"/>
                    <w:ind w:left="299" w:firstLine="0"/>
                    <w:jc w:val="left"/>
                  </w:pPr>
                  <w:r>
                    <w:rPr>
                      <w:color w:val="004479"/>
                    </w:rPr>
                    <w:t>Este texto consolidado no tiene valor jurídico.</w:t>
                  </w:r>
                </w:p>
              </w:txbxContent>
            </v:textbox>
            <v:stroke dashstyle="solid"/>
            <w10:wrap type="topAndBottom"/>
          </v:shape>
        </w:pict>
      </w:r>
    </w:p>
    <w:sectPr>
      <w:pgSz w:w="11910" w:h="16840"/>
      <w:pgMar w:header="529" w:footer="570" w:top="1200" w:bottom="760" w:left="740" w:right="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firstLine="0"/>
      <w:jc w:val="left"/>
    </w:pPr>
    <w:r>
      <w:rPr/>
      <w:pict>
        <v:line style="position:absolute;mso-position-horizontal-relative:page;mso-position-vertical-relative:page;z-index:-259931136" from="28.34646pt,799.870117pt" to="566.92922pt,799.870117pt" stroked="true" strokeweight="1pt" strokecolor="#004479">
          <v:stroke dashstyle="solid"/>
          <w10:wrap type="none"/>
        </v:line>
      </w:pict>
    </w:r>
    <w:r>
      <w:rPr/>
      <w:pict>
        <v:shapetype id="_x0000_t202" o:spt="202" coordsize="21600,21600" path="m,l,21600r21600,l21600,xe">
          <v:stroke joinstyle="miter"/>
          <v:path gradientshapeok="t" o:connecttype="rect"/>
        </v:shapetype>
        <v:shape style="position:absolute;margin-left:273.865448pt;margin-top:800.316467pt;width:48.55pt;height:14.1pt;mso-position-horizontal-relative:page;mso-position-vertical-relative:page;z-index:-259930112" type="#_x0000_t202" filled="false" stroked="false">
          <v:textbox inset="0,0,0,0">
            <w:txbxContent>
              <w:p>
                <w:pPr>
                  <w:spacing w:before="43"/>
                  <w:ind w:left="20" w:right="0" w:firstLine="0"/>
                  <w:jc w:val="left"/>
                  <w:rPr>
                    <w:sz w:val="18"/>
                  </w:rPr>
                </w:pPr>
                <w:r>
                  <w:rPr>
                    <w:color w:val="004479"/>
                    <w:sz w:val="18"/>
                  </w:rPr>
                  <w:t>Página </w:t>
                </w:r>
                <w:r>
                  <w:rPr/>
                  <w:fldChar w:fldCharType="begin"/>
                </w:r>
                <w:r>
                  <w:rPr>
                    <w:color w:val="004479"/>
                    <w:sz w:val="18"/>
                  </w:rPr>
                  <w:instrText> PAGE </w:instrText>
                </w:r>
                <w:r>
                  <w:rPr/>
                  <w:fldChar w:fldCharType="separate"/>
                </w:r>
                <w:r>
                  <w:rPr/>
                  <w:t>100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firstLine="0"/>
      <w:jc w:val="left"/>
    </w:pPr>
    <w:r>
      <w:rPr/>
      <w:pict>
        <v:line style="position:absolute;mso-position-horizontal-relative:page;mso-position-vertical-relative:page;z-index:-259929088" from="566.92922pt,60.281109pt" to="28.34646pt,60.281109pt" stroked="true" strokeweight="1pt" strokecolor="#004479">
          <v:stroke dashstyle="solid"/>
          <w10:wrap type="none"/>
        </v:line>
      </w:pict>
    </w:r>
    <w:r>
      <w:rPr/>
      <w:pict>
        <v:shape style="position:absolute;margin-left:206.278442pt;margin-top:25.428688pt;width:182.75pt;height:31.35pt;mso-position-horizontal-relative:page;mso-position-vertical-relative:page;z-index:-259928064" type="#_x0000_t202" filled="false" stroked="false">
          <v:textbox inset="0,0,0,0">
            <w:txbxContent>
              <w:p>
                <w:pPr>
                  <w:spacing w:before="51"/>
                  <w:ind w:left="0" w:right="0" w:firstLine="0"/>
                  <w:jc w:val="center"/>
                  <w:rPr>
                    <w:sz w:val="24"/>
                  </w:rPr>
                </w:pPr>
                <w:r>
                  <w:rPr>
                    <w:color w:val="004479"/>
                    <w:sz w:val="24"/>
                  </w:rPr>
                  <w:t>BOLETÍN OFICIAL DEL ESTADO</w:t>
                </w:r>
              </w:p>
              <w:p>
                <w:pPr>
                  <w:pStyle w:val="BodyText"/>
                  <w:spacing w:before="37"/>
                  <w:ind w:left="0" w:right="1" w:firstLine="0"/>
                  <w:jc w:val="center"/>
                </w:pPr>
                <w:r>
                  <w:rPr>
                    <w:color w:val="004479"/>
                  </w:rPr>
                  <w:t>LEGISLACIÓN CONSOLIDADA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1">
    <w:multiLevelType w:val="hybridMultilevel"/>
    <w:lvl w:ilvl="0">
      <w:start w:val="1"/>
      <w:numFmt w:val="lowerLetter"/>
      <w:lvlText w:val="%1)"/>
      <w:lvlJc w:val="left"/>
      <w:pPr>
        <w:ind w:left="1074" w:hanging="324"/>
        <w:jc w:val="left"/>
      </w:pPr>
      <w:rPr>
        <w:rFonts w:hint="default" w:ascii="Arial" w:hAnsi="Arial" w:eastAsia="Arial" w:cs="Arial"/>
        <w:spacing w:val="-22"/>
        <w:w w:val="100"/>
        <w:sz w:val="20"/>
        <w:szCs w:val="20"/>
        <w:lang w:val="es-ES" w:eastAsia="es-ES" w:bidi="es-ES"/>
      </w:rPr>
    </w:lvl>
    <w:lvl w:ilvl="1">
      <w:start w:val="0"/>
      <w:numFmt w:val="bullet"/>
      <w:lvlText w:val="•"/>
      <w:lvlJc w:val="left"/>
      <w:pPr>
        <w:ind w:left="2034" w:hanging="324"/>
      </w:pPr>
      <w:rPr>
        <w:rFonts w:hint="default"/>
        <w:lang w:val="es-ES" w:eastAsia="es-ES" w:bidi="es-ES"/>
      </w:rPr>
    </w:lvl>
    <w:lvl w:ilvl="2">
      <w:start w:val="0"/>
      <w:numFmt w:val="bullet"/>
      <w:lvlText w:val="•"/>
      <w:lvlJc w:val="left"/>
      <w:pPr>
        <w:ind w:left="2989" w:hanging="324"/>
      </w:pPr>
      <w:rPr>
        <w:rFonts w:hint="default"/>
        <w:lang w:val="es-ES" w:eastAsia="es-ES" w:bidi="es-ES"/>
      </w:rPr>
    </w:lvl>
    <w:lvl w:ilvl="3">
      <w:start w:val="0"/>
      <w:numFmt w:val="bullet"/>
      <w:lvlText w:val="•"/>
      <w:lvlJc w:val="left"/>
      <w:pPr>
        <w:ind w:left="3943" w:hanging="324"/>
      </w:pPr>
      <w:rPr>
        <w:rFonts w:hint="default"/>
        <w:lang w:val="es-ES" w:eastAsia="es-ES" w:bidi="es-ES"/>
      </w:rPr>
    </w:lvl>
    <w:lvl w:ilvl="4">
      <w:start w:val="0"/>
      <w:numFmt w:val="bullet"/>
      <w:lvlText w:val="•"/>
      <w:lvlJc w:val="left"/>
      <w:pPr>
        <w:ind w:left="4898" w:hanging="324"/>
      </w:pPr>
      <w:rPr>
        <w:rFonts w:hint="default"/>
        <w:lang w:val="es-ES" w:eastAsia="es-ES" w:bidi="es-ES"/>
      </w:rPr>
    </w:lvl>
    <w:lvl w:ilvl="5">
      <w:start w:val="0"/>
      <w:numFmt w:val="bullet"/>
      <w:lvlText w:val="•"/>
      <w:lvlJc w:val="left"/>
      <w:pPr>
        <w:ind w:left="5852" w:hanging="324"/>
      </w:pPr>
      <w:rPr>
        <w:rFonts w:hint="default"/>
        <w:lang w:val="es-ES" w:eastAsia="es-ES" w:bidi="es-ES"/>
      </w:rPr>
    </w:lvl>
    <w:lvl w:ilvl="6">
      <w:start w:val="0"/>
      <w:numFmt w:val="bullet"/>
      <w:lvlText w:val="•"/>
      <w:lvlJc w:val="left"/>
      <w:pPr>
        <w:ind w:left="6807" w:hanging="324"/>
      </w:pPr>
      <w:rPr>
        <w:rFonts w:hint="default"/>
        <w:lang w:val="es-ES" w:eastAsia="es-ES" w:bidi="es-ES"/>
      </w:rPr>
    </w:lvl>
    <w:lvl w:ilvl="7">
      <w:start w:val="0"/>
      <w:numFmt w:val="bullet"/>
      <w:lvlText w:val="•"/>
      <w:lvlJc w:val="left"/>
      <w:pPr>
        <w:ind w:left="7761" w:hanging="324"/>
      </w:pPr>
      <w:rPr>
        <w:rFonts w:hint="default"/>
        <w:lang w:val="es-ES" w:eastAsia="es-ES" w:bidi="es-ES"/>
      </w:rPr>
    </w:lvl>
    <w:lvl w:ilvl="8">
      <w:start w:val="0"/>
      <w:numFmt w:val="bullet"/>
      <w:lvlText w:val="•"/>
      <w:lvlJc w:val="left"/>
      <w:pPr>
        <w:ind w:left="8716" w:hanging="324"/>
      </w:pPr>
      <w:rPr>
        <w:rFonts w:hint="default"/>
        <w:lang w:val="es-ES" w:eastAsia="es-ES" w:bidi="es-ES"/>
      </w:rPr>
    </w:lvl>
  </w:abstractNum>
  <w:abstractNum w:abstractNumId="520">
    <w:multiLevelType w:val="hybridMultilevel"/>
    <w:lvl w:ilvl="0">
      <w:start w:val="1"/>
      <w:numFmt w:val="lowerLetter"/>
      <w:lvlText w:val="%1)"/>
      <w:lvlJc w:val="left"/>
      <w:pPr>
        <w:ind w:left="1074" w:hanging="25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9"/>
      </w:pPr>
      <w:rPr>
        <w:rFonts w:hint="default"/>
        <w:lang w:val="es-ES" w:eastAsia="es-ES" w:bidi="es-ES"/>
      </w:rPr>
    </w:lvl>
    <w:lvl w:ilvl="2">
      <w:start w:val="0"/>
      <w:numFmt w:val="bullet"/>
      <w:lvlText w:val="•"/>
      <w:lvlJc w:val="left"/>
      <w:pPr>
        <w:ind w:left="2989" w:hanging="259"/>
      </w:pPr>
      <w:rPr>
        <w:rFonts w:hint="default"/>
        <w:lang w:val="es-ES" w:eastAsia="es-ES" w:bidi="es-ES"/>
      </w:rPr>
    </w:lvl>
    <w:lvl w:ilvl="3">
      <w:start w:val="0"/>
      <w:numFmt w:val="bullet"/>
      <w:lvlText w:val="•"/>
      <w:lvlJc w:val="left"/>
      <w:pPr>
        <w:ind w:left="3943" w:hanging="259"/>
      </w:pPr>
      <w:rPr>
        <w:rFonts w:hint="default"/>
        <w:lang w:val="es-ES" w:eastAsia="es-ES" w:bidi="es-ES"/>
      </w:rPr>
    </w:lvl>
    <w:lvl w:ilvl="4">
      <w:start w:val="0"/>
      <w:numFmt w:val="bullet"/>
      <w:lvlText w:val="•"/>
      <w:lvlJc w:val="left"/>
      <w:pPr>
        <w:ind w:left="4898" w:hanging="259"/>
      </w:pPr>
      <w:rPr>
        <w:rFonts w:hint="default"/>
        <w:lang w:val="es-ES" w:eastAsia="es-ES" w:bidi="es-ES"/>
      </w:rPr>
    </w:lvl>
    <w:lvl w:ilvl="5">
      <w:start w:val="0"/>
      <w:numFmt w:val="bullet"/>
      <w:lvlText w:val="•"/>
      <w:lvlJc w:val="left"/>
      <w:pPr>
        <w:ind w:left="5852" w:hanging="259"/>
      </w:pPr>
      <w:rPr>
        <w:rFonts w:hint="default"/>
        <w:lang w:val="es-ES" w:eastAsia="es-ES" w:bidi="es-ES"/>
      </w:rPr>
    </w:lvl>
    <w:lvl w:ilvl="6">
      <w:start w:val="0"/>
      <w:numFmt w:val="bullet"/>
      <w:lvlText w:val="•"/>
      <w:lvlJc w:val="left"/>
      <w:pPr>
        <w:ind w:left="6807" w:hanging="259"/>
      </w:pPr>
      <w:rPr>
        <w:rFonts w:hint="default"/>
        <w:lang w:val="es-ES" w:eastAsia="es-ES" w:bidi="es-ES"/>
      </w:rPr>
    </w:lvl>
    <w:lvl w:ilvl="7">
      <w:start w:val="0"/>
      <w:numFmt w:val="bullet"/>
      <w:lvlText w:val="•"/>
      <w:lvlJc w:val="left"/>
      <w:pPr>
        <w:ind w:left="7761" w:hanging="259"/>
      </w:pPr>
      <w:rPr>
        <w:rFonts w:hint="default"/>
        <w:lang w:val="es-ES" w:eastAsia="es-ES" w:bidi="es-ES"/>
      </w:rPr>
    </w:lvl>
    <w:lvl w:ilvl="8">
      <w:start w:val="0"/>
      <w:numFmt w:val="bullet"/>
      <w:lvlText w:val="•"/>
      <w:lvlJc w:val="left"/>
      <w:pPr>
        <w:ind w:left="8716" w:hanging="259"/>
      </w:pPr>
      <w:rPr>
        <w:rFonts w:hint="default"/>
        <w:lang w:val="es-ES" w:eastAsia="es-ES" w:bidi="es-ES"/>
      </w:rPr>
    </w:lvl>
  </w:abstractNum>
  <w:abstractNum w:abstractNumId="519">
    <w:multiLevelType w:val="hybridMultilevel"/>
    <w:lvl w:ilvl="0">
      <w:start w:val="1"/>
      <w:numFmt w:val="lowerLetter"/>
      <w:lvlText w:val="%1)"/>
      <w:lvlJc w:val="left"/>
      <w:pPr>
        <w:ind w:left="1074" w:hanging="24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5"/>
      </w:pPr>
      <w:rPr>
        <w:rFonts w:hint="default"/>
        <w:lang w:val="es-ES" w:eastAsia="es-ES" w:bidi="es-ES"/>
      </w:rPr>
    </w:lvl>
    <w:lvl w:ilvl="2">
      <w:start w:val="0"/>
      <w:numFmt w:val="bullet"/>
      <w:lvlText w:val="•"/>
      <w:lvlJc w:val="left"/>
      <w:pPr>
        <w:ind w:left="2989" w:hanging="245"/>
      </w:pPr>
      <w:rPr>
        <w:rFonts w:hint="default"/>
        <w:lang w:val="es-ES" w:eastAsia="es-ES" w:bidi="es-ES"/>
      </w:rPr>
    </w:lvl>
    <w:lvl w:ilvl="3">
      <w:start w:val="0"/>
      <w:numFmt w:val="bullet"/>
      <w:lvlText w:val="•"/>
      <w:lvlJc w:val="left"/>
      <w:pPr>
        <w:ind w:left="3943" w:hanging="245"/>
      </w:pPr>
      <w:rPr>
        <w:rFonts w:hint="default"/>
        <w:lang w:val="es-ES" w:eastAsia="es-ES" w:bidi="es-ES"/>
      </w:rPr>
    </w:lvl>
    <w:lvl w:ilvl="4">
      <w:start w:val="0"/>
      <w:numFmt w:val="bullet"/>
      <w:lvlText w:val="•"/>
      <w:lvlJc w:val="left"/>
      <w:pPr>
        <w:ind w:left="4898" w:hanging="245"/>
      </w:pPr>
      <w:rPr>
        <w:rFonts w:hint="default"/>
        <w:lang w:val="es-ES" w:eastAsia="es-ES" w:bidi="es-ES"/>
      </w:rPr>
    </w:lvl>
    <w:lvl w:ilvl="5">
      <w:start w:val="0"/>
      <w:numFmt w:val="bullet"/>
      <w:lvlText w:val="•"/>
      <w:lvlJc w:val="left"/>
      <w:pPr>
        <w:ind w:left="5852" w:hanging="245"/>
      </w:pPr>
      <w:rPr>
        <w:rFonts w:hint="default"/>
        <w:lang w:val="es-ES" w:eastAsia="es-ES" w:bidi="es-ES"/>
      </w:rPr>
    </w:lvl>
    <w:lvl w:ilvl="6">
      <w:start w:val="0"/>
      <w:numFmt w:val="bullet"/>
      <w:lvlText w:val="•"/>
      <w:lvlJc w:val="left"/>
      <w:pPr>
        <w:ind w:left="6807" w:hanging="245"/>
      </w:pPr>
      <w:rPr>
        <w:rFonts w:hint="default"/>
        <w:lang w:val="es-ES" w:eastAsia="es-ES" w:bidi="es-ES"/>
      </w:rPr>
    </w:lvl>
    <w:lvl w:ilvl="7">
      <w:start w:val="0"/>
      <w:numFmt w:val="bullet"/>
      <w:lvlText w:val="•"/>
      <w:lvlJc w:val="left"/>
      <w:pPr>
        <w:ind w:left="7761" w:hanging="245"/>
      </w:pPr>
      <w:rPr>
        <w:rFonts w:hint="default"/>
        <w:lang w:val="es-ES" w:eastAsia="es-ES" w:bidi="es-ES"/>
      </w:rPr>
    </w:lvl>
    <w:lvl w:ilvl="8">
      <w:start w:val="0"/>
      <w:numFmt w:val="bullet"/>
      <w:lvlText w:val="•"/>
      <w:lvlJc w:val="left"/>
      <w:pPr>
        <w:ind w:left="8716" w:hanging="245"/>
      </w:pPr>
      <w:rPr>
        <w:rFonts w:hint="default"/>
        <w:lang w:val="es-ES" w:eastAsia="es-ES" w:bidi="es-ES"/>
      </w:rPr>
    </w:lvl>
  </w:abstractNum>
  <w:abstractNum w:abstractNumId="518">
    <w:multiLevelType w:val="hybridMultilevel"/>
    <w:lvl w:ilvl="0">
      <w:start w:val="1"/>
      <w:numFmt w:val="decimal"/>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517">
    <w:multiLevelType w:val="hybridMultilevel"/>
    <w:lvl w:ilvl="0">
      <w:start w:val="0"/>
      <w:numFmt w:val="bullet"/>
      <w:lvlText w:val="–"/>
      <w:lvlJc w:val="left"/>
      <w:pPr>
        <w:ind w:left="1074" w:hanging="213"/>
      </w:pPr>
      <w:rPr>
        <w:rFonts w:hint="default" w:ascii="Arial" w:hAnsi="Arial" w:eastAsia="Arial" w:cs="Arial"/>
        <w:w w:val="89"/>
        <w:sz w:val="20"/>
        <w:szCs w:val="20"/>
        <w:lang w:val="es-ES" w:eastAsia="es-ES" w:bidi="es-ES"/>
      </w:rPr>
    </w:lvl>
    <w:lvl w:ilvl="1">
      <w:start w:val="0"/>
      <w:numFmt w:val="bullet"/>
      <w:lvlText w:val="•"/>
      <w:lvlJc w:val="left"/>
      <w:pPr>
        <w:ind w:left="2034" w:hanging="213"/>
      </w:pPr>
      <w:rPr>
        <w:rFonts w:hint="default"/>
        <w:lang w:val="es-ES" w:eastAsia="es-ES" w:bidi="es-ES"/>
      </w:rPr>
    </w:lvl>
    <w:lvl w:ilvl="2">
      <w:start w:val="0"/>
      <w:numFmt w:val="bullet"/>
      <w:lvlText w:val="•"/>
      <w:lvlJc w:val="left"/>
      <w:pPr>
        <w:ind w:left="2989" w:hanging="213"/>
      </w:pPr>
      <w:rPr>
        <w:rFonts w:hint="default"/>
        <w:lang w:val="es-ES" w:eastAsia="es-ES" w:bidi="es-ES"/>
      </w:rPr>
    </w:lvl>
    <w:lvl w:ilvl="3">
      <w:start w:val="0"/>
      <w:numFmt w:val="bullet"/>
      <w:lvlText w:val="•"/>
      <w:lvlJc w:val="left"/>
      <w:pPr>
        <w:ind w:left="3943" w:hanging="213"/>
      </w:pPr>
      <w:rPr>
        <w:rFonts w:hint="default"/>
        <w:lang w:val="es-ES" w:eastAsia="es-ES" w:bidi="es-ES"/>
      </w:rPr>
    </w:lvl>
    <w:lvl w:ilvl="4">
      <w:start w:val="0"/>
      <w:numFmt w:val="bullet"/>
      <w:lvlText w:val="•"/>
      <w:lvlJc w:val="left"/>
      <w:pPr>
        <w:ind w:left="4898" w:hanging="213"/>
      </w:pPr>
      <w:rPr>
        <w:rFonts w:hint="default"/>
        <w:lang w:val="es-ES" w:eastAsia="es-ES" w:bidi="es-ES"/>
      </w:rPr>
    </w:lvl>
    <w:lvl w:ilvl="5">
      <w:start w:val="0"/>
      <w:numFmt w:val="bullet"/>
      <w:lvlText w:val="•"/>
      <w:lvlJc w:val="left"/>
      <w:pPr>
        <w:ind w:left="5852" w:hanging="213"/>
      </w:pPr>
      <w:rPr>
        <w:rFonts w:hint="default"/>
        <w:lang w:val="es-ES" w:eastAsia="es-ES" w:bidi="es-ES"/>
      </w:rPr>
    </w:lvl>
    <w:lvl w:ilvl="6">
      <w:start w:val="0"/>
      <w:numFmt w:val="bullet"/>
      <w:lvlText w:val="•"/>
      <w:lvlJc w:val="left"/>
      <w:pPr>
        <w:ind w:left="6807" w:hanging="213"/>
      </w:pPr>
      <w:rPr>
        <w:rFonts w:hint="default"/>
        <w:lang w:val="es-ES" w:eastAsia="es-ES" w:bidi="es-ES"/>
      </w:rPr>
    </w:lvl>
    <w:lvl w:ilvl="7">
      <w:start w:val="0"/>
      <w:numFmt w:val="bullet"/>
      <w:lvlText w:val="•"/>
      <w:lvlJc w:val="left"/>
      <w:pPr>
        <w:ind w:left="7761" w:hanging="213"/>
      </w:pPr>
      <w:rPr>
        <w:rFonts w:hint="default"/>
        <w:lang w:val="es-ES" w:eastAsia="es-ES" w:bidi="es-ES"/>
      </w:rPr>
    </w:lvl>
    <w:lvl w:ilvl="8">
      <w:start w:val="0"/>
      <w:numFmt w:val="bullet"/>
      <w:lvlText w:val="•"/>
      <w:lvlJc w:val="left"/>
      <w:pPr>
        <w:ind w:left="8716" w:hanging="213"/>
      </w:pPr>
      <w:rPr>
        <w:rFonts w:hint="default"/>
        <w:lang w:val="es-ES" w:eastAsia="es-ES" w:bidi="es-ES"/>
      </w:rPr>
    </w:lvl>
  </w:abstractNum>
  <w:abstractNum w:abstractNumId="516">
    <w:multiLevelType w:val="hybridMultilevel"/>
    <w:lvl w:ilvl="0">
      <w:start w:val="1"/>
      <w:numFmt w:val="decimal"/>
      <w:lvlText w:val="%1."/>
      <w:lvlJc w:val="left"/>
      <w:pPr>
        <w:ind w:left="1074" w:hanging="261"/>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515">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514">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513">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12">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511">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10">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09">
    <w:multiLevelType w:val="hybridMultilevel"/>
    <w:lvl w:ilvl="0">
      <w:start w:val="1"/>
      <w:numFmt w:val="lowerLetter"/>
      <w:lvlText w:val="%1)"/>
      <w:lvlJc w:val="left"/>
      <w:pPr>
        <w:ind w:left="1074" w:hanging="29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1"/>
      </w:pPr>
      <w:rPr>
        <w:rFonts w:hint="default"/>
        <w:lang w:val="es-ES" w:eastAsia="es-ES" w:bidi="es-ES"/>
      </w:rPr>
    </w:lvl>
    <w:lvl w:ilvl="2">
      <w:start w:val="0"/>
      <w:numFmt w:val="bullet"/>
      <w:lvlText w:val="•"/>
      <w:lvlJc w:val="left"/>
      <w:pPr>
        <w:ind w:left="2989" w:hanging="291"/>
      </w:pPr>
      <w:rPr>
        <w:rFonts w:hint="default"/>
        <w:lang w:val="es-ES" w:eastAsia="es-ES" w:bidi="es-ES"/>
      </w:rPr>
    </w:lvl>
    <w:lvl w:ilvl="3">
      <w:start w:val="0"/>
      <w:numFmt w:val="bullet"/>
      <w:lvlText w:val="•"/>
      <w:lvlJc w:val="left"/>
      <w:pPr>
        <w:ind w:left="3943" w:hanging="291"/>
      </w:pPr>
      <w:rPr>
        <w:rFonts w:hint="default"/>
        <w:lang w:val="es-ES" w:eastAsia="es-ES" w:bidi="es-ES"/>
      </w:rPr>
    </w:lvl>
    <w:lvl w:ilvl="4">
      <w:start w:val="0"/>
      <w:numFmt w:val="bullet"/>
      <w:lvlText w:val="•"/>
      <w:lvlJc w:val="left"/>
      <w:pPr>
        <w:ind w:left="4898" w:hanging="291"/>
      </w:pPr>
      <w:rPr>
        <w:rFonts w:hint="default"/>
        <w:lang w:val="es-ES" w:eastAsia="es-ES" w:bidi="es-ES"/>
      </w:rPr>
    </w:lvl>
    <w:lvl w:ilvl="5">
      <w:start w:val="0"/>
      <w:numFmt w:val="bullet"/>
      <w:lvlText w:val="•"/>
      <w:lvlJc w:val="left"/>
      <w:pPr>
        <w:ind w:left="5852" w:hanging="291"/>
      </w:pPr>
      <w:rPr>
        <w:rFonts w:hint="default"/>
        <w:lang w:val="es-ES" w:eastAsia="es-ES" w:bidi="es-ES"/>
      </w:rPr>
    </w:lvl>
    <w:lvl w:ilvl="6">
      <w:start w:val="0"/>
      <w:numFmt w:val="bullet"/>
      <w:lvlText w:val="•"/>
      <w:lvlJc w:val="left"/>
      <w:pPr>
        <w:ind w:left="6807" w:hanging="291"/>
      </w:pPr>
      <w:rPr>
        <w:rFonts w:hint="default"/>
        <w:lang w:val="es-ES" w:eastAsia="es-ES" w:bidi="es-ES"/>
      </w:rPr>
    </w:lvl>
    <w:lvl w:ilvl="7">
      <w:start w:val="0"/>
      <w:numFmt w:val="bullet"/>
      <w:lvlText w:val="•"/>
      <w:lvlJc w:val="left"/>
      <w:pPr>
        <w:ind w:left="7761" w:hanging="291"/>
      </w:pPr>
      <w:rPr>
        <w:rFonts w:hint="default"/>
        <w:lang w:val="es-ES" w:eastAsia="es-ES" w:bidi="es-ES"/>
      </w:rPr>
    </w:lvl>
    <w:lvl w:ilvl="8">
      <w:start w:val="0"/>
      <w:numFmt w:val="bullet"/>
      <w:lvlText w:val="•"/>
      <w:lvlJc w:val="left"/>
      <w:pPr>
        <w:ind w:left="8716" w:hanging="291"/>
      </w:pPr>
      <w:rPr>
        <w:rFonts w:hint="default"/>
        <w:lang w:val="es-ES" w:eastAsia="es-ES" w:bidi="es-ES"/>
      </w:rPr>
    </w:lvl>
  </w:abstractNum>
  <w:abstractNum w:abstractNumId="508">
    <w:multiLevelType w:val="hybridMultilevel"/>
    <w:lvl w:ilvl="0">
      <w:start w:val="1"/>
      <w:numFmt w:val="upperRoman"/>
      <w:lvlText w:val="%1."/>
      <w:lvlJc w:val="left"/>
      <w:pPr>
        <w:ind w:left="1288" w:hanging="183"/>
        <w:jc w:val="left"/>
      </w:pPr>
      <w:rPr>
        <w:rFonts w:hint="default" w:ascii="Arial" w:hAnsi="Arial" w:eastAsia="Arial" w:cs="Arial"/>
        <w:w w:val="100"/>
        <w:sz w:val="20"/>
        <w:szCs w:val="20"/>
        <w:lang w:val="es-ES" w:eastAsia="es-ES" w:bidi="es-ES"/>
      </w:rPr>
    </w:lvl>
    <w:lvl w:ilvl="1">
      <w:start w:val="1"/>
      <w:numFmt w:val="decimal"/>
      <w:lvlText w:val="%2."/>
      <w:lvlJc w:val="left"/>
      <w:pPr>
        <w:ind w:left="1074" w:hanging="243"/>
        <w:jc w:val="left"/>
      </w:pPr>
      <w:rPr>
        <w:rFonts w:hint="default" w:ascii="Arial" w:hAnsi="Arial" w:eastAsia="Arial" w:cs="Arial"/>
        <w:spacing w:val="-1"/>
        <w:w w:val="100"/>
        <w:sz w:val="20"/>
        <w:szCs w:val="20"/>
        <w:lang w:val="es-ES" w:eastAsia="es-ES" w:bidi="es-ES"/>
      </w:rPr>
    </w:lvl>
    <w:lvl w:ilvl="2">
      <w:start w:val="0"/>
      <w:numFmt w:val="bullet"/>
      <w:lvlText w:val="•"/>
      <w:lvlJc w:val="left"/>
      <w:pPr>
        <w:ind w:left="2318" w:hanging="243"/>
      </w:pPr>
      <w:rPr>
        <w:rFonts w:hint="default"/>
        <w:lang w:val="es-ES" w:eastAsia="es-ES" w:bidi="es-ES"/>
      </w:rPr>
    </w:lvl>
    <w:lvl w:ilvl="3">
      <w:start w:val="0"/>
      <w:numFmt w:val="bullet"/>
      <w:lvlText w:val="•"/>
      <w:lvlJc w:val="left"/>
      <w:pPr>
        <w:ind w:left="3356" w:hanging="243"/>
      </w:pPr>
      <w:rPr>
        <w:rFonts w:hint="default"/>
        <w:lang w:val="es-ES" w:eastAsia="es-ES" w:bidi="es-ES"/>
      </w:rPr>
    </w:lvl>
    <w:lvl w:ilvl="4">
      <w:start w:val="0"/>
      <w:numFmt w:val="bullet"/>
      <w:lvlText w:val="•"/>
      <w:lvlJc w:val="left"/>
      <w:pPr>
        <w:ind w:left="4395" w:hanging="243"/>
      </w:pPr>
      <w:rPr>
        <w:rFonts w:hint="default"/>
        <w:lang w:val="es-ES" w:eastAsia="es-ES" w:bidi="es-ES"/>
      </w:rPr>
    </w:lvl>
    <w:lvl w:ilvl="5">
      <w:start w:val="0"/>
      <w:numFmt w:val="bullet"/>
      <w:lvlText w:val="•"/>
      <w:lvlJc w:val="left"/>
      <w:pPr>
        <w:ind w:left="5433" w:hanging="243"/>
      </w:pPr>
      <w:rPr>
        <w:rFonts w:hint="default"/>
        <w:lang w:val="es-ES" w:eastAsia="es-ES" w:bidi="es-ES"/>
      </w:rPr>
    </w:lvl>
    <w:lvl w:ilvl="6">
      <w:start w:val="0"/>
      <w:numFmt w:val="bullet"/>
      <w:lvlText w:val="•"/>
      <w:lvlJc w:val="left"/>
      <w:pPr>
        <w:ind w:left="6471" w:hanging="243"/>
      </w:pPr>
      <w:rPr>
        <w:rFonts w:hint="default"/>
        <w:lang w:val="es-ES" w:eastAsia="es-ES" w:bidi="es-ES"/>
      </w:rPr>
    </w:lvl>
    <w:lvl w:ilvl="7">
      <w:start w:val="0"/>
      <w:numFmt w:val="bullet"/>
      <w:lvlText w:val="•"/>
      <w:lvlJc w:val="left"/>
      <w:pPr>
        <w:ind w:left="7510" w:hanging="243"/>
      </w:pPr>
      <w:rPr>
        <w:rFonts w:hint="default"/>
        <w:lang w:val="es-ES" w:eastAsia="es-ES" w:bidi="es-ES"/>
      </w:rPr>
    </w:lvl>
    <w:lvl w:ilvl="8">
      <w:start w:val="0"/>
      <w:numFmt w:val="bullet"/>
      <w:lvlText w:val="•"/>
      <w:lvlJc w:val="left"/>
      <w:pPr>
        <w:ind w:left="8548" w:hanging="243"/>
      </w:pPr>
      <w:rPr>
        <w:rFonts w:hint="default"/>
        <w:lang w:val="es-ES" w:eastAsia="es-ES" w:bidi="es-ES"/>
      </w:rPr>
    </w:lvl>
  </w:abstractNum>
  <w:abstractNum w:abstractNumId="507">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506">
    <w:multiLevelType w:val="hybridMultilevel"/>
    <w:lvl w:ilvl="0">
      <w:start w:val="1"/>
      <w:numFmt w:val="lowerLetter"/>
      <w:lvlText w:val="%1)"/>
      <w:lvlJc w:val="left"/>
      <w:pPr>
        <w:ind w:left="107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2"/>
      </w:pPr>
      <w:rPr>
        <w:rFonts w:hint="default"/>
        <w:lang w:val="es-ES" w:eastAsia="es-ES" w:bidi="es-ES"/>
      </w:rPr>
    </w:lvl>
    <w:lvl w:ilvl="2">
      <w:start w:val="0"/>
      <w:numFmt w:val="bullet"/>
      <w:lvlText w:val="•"/>
      <w:lvlJc w:val="left"/>
      <w:pPr>
        <w:ind w:left="2989" w:hanging="242"/>
      </w:pPr>
      <w:rPr>
        <w:rFonts w:hint="default"/>
        <w:lang w:val="es-ES" w:eastAsia="es-ES" w:bidi="es-ES"/>
      </w:rPr>
    </w:lvl>
    <w:lvl w:ilvl="3">
      <w:start w:val="0"/>
      <w:numFmt w:val="bullet"/>
      <w:lvlText w:val="•"/>
      <w:lvlJc w:val="left"/>
      <w:pPr>
        <w:ind w:left="3943" w:hanging="242"/>
      </w:pPr>
      <w:rPr>
        <w:rFonts w:hint="default"/>
        <w:lang w:val="es-ES" w:eastAsia="es-ES" w:bidi="es-ES"/>
      </w:rPr>
    </w:lvl>
    <w:lvl w:ilvl="4">
      <w:start w:val="0"/>
      <w:numFmt w:val="bullet"/>
      <w:lvlText w:val="•"/>
      <w:lvlJc w:val="left"/>
      <w:pPr>
        <w:ind w:left="4898" w:hanging="242"/>
      </w:pPr>
      <w:rPr>
        <w:rFonts w:hint="default"/>
        <w:lang w:val="es-ES" w:eastAsia="es-ES" w:bidi="es-ES"/>
      </w:rPr>
    </w:lvl>
    <w:lvl w:ilvl="5">
      <w:start w:val="0"/>
      <w:numFmt w:val="bullet"/>
      <w:lvlText w:val="•"/>
      <w:lvlJc w:val="left"/>
      <w:pPr>
        <w:ind w:left="5852" w:hanging="242"/>
      </w:pPr>
      <w:rPr>
        <w:rFonts w:hint="default"/>
        <w:lang w:val="es-ES" w:eastAsia="es-ES" w:bidi="es-ES"/>
      </w:rPr>
    </w:lvl>
    <w:lvl w:ilvl="6">
      <w:start w:val="0"/>
      <w:numFmt w:val="bullet"/>
      <w:lvlText w:val="•"/>
      <w:lvlJc w:val="left"/>
      <w:pPr>
        <w:ind w:left="6807" w:hanging="242"/>
      </w:pPr>
      <w:rPr>
        <w:rFonts w:hint="default"/>
        <w:lang w:val="es-ES" w:eastAsia="es-ES" w:bidi="es-ES"/>
      </w:rPr>
    </w:lvl>
    <w:lvl w:ilvl="7">
      <w:start w:val="0"/>
      <w:numFmt w:val="bullet"/>
      <w:lvlText w:val="•"/>
      <w:lvlJc w:val="left"/>
      <w:pPr>
        <w:ind w:left="7761" w:hanging="242"/>
      </w:pPr>
      <w:rPr>
        <w:rFonts w:hint="default"/>
        <w:lang w:val="es-ES" w:eastAsia="es-ES" w:bidi="es-ES"/>
      </w:rPr>
    </w:lvl>
    <w:lvl w:ilvl="8">
      <w:start w:val="0"/>
      <w:numFmt w:val="bullet"/>
      <w:lvlText w:val="•"/>
      <w:lvlJc w:val="left"/>
      <w:pPr>
        <w:ind w:left="8716" w:hanging="242"/>
      </w:pPr>
      <w:rPr>
        <w:rFonts w:hint="default"/>
        <w:lang w:val="es-ES" w:eastAsia="es-ES" w:bidi="es-ES"/>
      </w:rPr>
    </w:lvl>
  </w:abstractNum>
  <w:abstractNum w:abstractNumId="505">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04">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03">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02">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501">
    <w:multiLevelType w:val="hybridMultilevel"/>
    <w:lvl w:ilvl="0">
      <w:start w:val="1"/>
      <w:numFmt w:val="upperRoman"/>
      <w:lvlText w:val="%1."/>
      <w:lvlJc w:val="left"/>
      <w:pPr>
        <w:ind w:left="3578" w:hanging="212"/>
        <w:jc w:val="right"/>
      </w:pPr>
      <w:rPr>
        <w:rFonts w:hint="default" w:ascii="Arial" w:hAnsi="Arial" w:eastAsia="Arial" w:cs="Arial"/>
        <w:spacing w:val="-11"/>
        <w:w w:val="100"/>
        <w:sz w:val="20"/>
        <w:szCs w:val="20"/>
        <w:lang w:val="es-ES" w:eastAsia="es-ES" w:bidi="es-ES"/>
      </w:rPr>
    </w:lvl>
    <w:lvl w:ilvl="1">
      <w:start w:val="1"/>
      <w:numFmt w:val="decimal"/>
      <w:lvlText w:val="(%2)"/>
      <w:lvlJc w:val="left"/>
      <w:pPr>
        <w:ind w:left="1074" w:hanging="242"/>
        <w:jc w:val="left"/>
      </w:pPr>
      <w:rPr>
        <w:rFonts w:hint="default" w:ascii="Arial" w:hAnsi="Arial" w:eastAsia="Arial" w:cs="Arial"/>
        <w:w w:val="100"/>
        <w:sz w:val="16"/>
        <w:szCs w:val="16"/>
        <w:lang w:val="es-ES" w:eastAsia="es-ES" w:bidi="es-ES"/>
      </w:rPr>
    </w:lvl>
    <w:lvl w:ilvl="2">
      <w:start w:val="0"/>
      <w:numFmt w:val="bullet"/>
      <w:lvlText w:val="•"/>
      <w:lvlJc w:val="left"/>
      <w:pPr>
        <w:ind w:left="4362" w:hanging="242"/>
      </w:pPr>
      <w:rPr>
        <w:rFonts w:hint="default"/>
        <w:lang w:val="es-ES" w:eastAsia="es-ES" w:bidi="es-ES"/>
      </w:rPr>
    </w:lvl>
    <w:lvl w:ilvl="3">
      <w:start w:val="0"/>
      <w:numFmt w:val="bullet"/>
      <w:lvlText w:val="•"/>
      <w:lvlJc w:val="left"/>
      <w:pPr>
        <w:ind w:left="5145" w:hanging="242"/>
      </w:pPr>
      <w:rPr>
        <w:rFonts w:hint="default"/>
        <w:lang w:val="es-ES" w:eastAsia="es-ES" w:bidi="es-ES"/>
      </w:rPr>
    </w:lvl>
    <w:lvl w:ilvl="4">
      <w:start w:val="0"/>
      <w:numFmt w:val="bullet"/>
      <w:lvlText w:val="•"/>
      <w:lvlJc w:val="left"/>
      <w:pPr>
        <w:ind w:left="5928" w:hanging="242"/>
      </w:pPr>
      <w:rPr>
        <w:rFonts w:hint="default"/>
        <w:lang w:val="es-ES" w:eastAsia="es-ES" w:bidi="es-ES"/>
      </w:rPr>
    </w:lvl>
    <w:lvl w:ilvl="5">
      <w:start w:val="0"/>
      <w:numFmt w:val="bullet"/>
      <w:lvlText w:val="•"/>
      <w:lvlJc w:val="left"/>
      <w:pPr>
        <w:ind w:left="6711" w:hanging="242"/>
      </w:pPr>
      <w:rPr>
        <w:rFonts w:hint="default"/>
        <w:lang w:val="es-ES" w:eastAsia="es-ES" w:bidi="es-ES"/>
      </w:rPr>
    </w:lvl>
    <w:lvl w:ilvl="6">
      <w:start w:val="0"/>
      <w:numFmt w:val="bullet"/>
      <w:lvlText w:val="•"/>
      <w:lvlJc w:val="left"/>
      <w:pPr>
        <w:ind w:left="7494" w:hanging="242"/>
      </w:pPr>
      <w:rPr>
        <w:rFonts w:hint="default"/>
        <w:lang w:val="es-ES" w:eastAsia="es-ES" w:bidi="es-ES"/>
      </w:rPr>
    </w:lvl>
    <w:lvl w:ilvl="7">
      <w:start w:val="0"/>
      <w:numFmt w:val="bullet"/>
      <w:lvlText w:val="•"/>
      <w:lvlJc w:val="left"/>
      <w:pPr>
        <w:ind w:left="8277" w:hanging="242"/>
      </w:pPr>
      <w:rPr>
        <w:rFonts w:hint="default"/>
        <w:lang w:val="es-ES" w:eastAsia="es-ES" w:bidi="es-ES"/>
      </w:rPr>
    </w:lvl>
    <w:lvl w:ilvl="8">
      <w:start w:val="0"/>
      <w:numFmt w:val="bullet"/>
      <w:lvlText w:val="•"/>
      <w:lvlJc w:val="left"/>
      <w:pPr>
        <w:ind w:left="9059" w:hanging="242"/>
      </w:pPr>
      <w:rPr>
        <w:rFonts w:hint="default"/>
        <w:lang w:val="es-ES" w:eastAsia="es-ES" w:bidi="es-ES"/>
      </w:rPr>
    </w:lvl>
  </w:abstractNum>
  <w:abstractNum w:abstractNumId="500">
    <w:multiLevelType w:val="hybridMultilevel"/>
    <w:lvl w:ilvl="0">
      <w:start w:val="1"/>
      <w:numFmt w:val="lowerLetter"/>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99">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498">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97">
    <w:multiLevelType w:val="hybridMultilevel"/>
    <w:lvl w:ilvl="0">
      <w:start w:val="12"/>
      <w:numFmt w:val="decimal"/>
      <w:lvlText w:val="%1."/>
      <w:lvlJc w:val="left"/>
      <w:pPr>
        <w:ind w:left="1747" w:hanging="3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28" w:hanging="334"/>
      </w:pPr>
      <w:rPr>
        <w:rFonts w:hint="default"/>
        <w:lang w:val="es-ES" w:eastAsia="es-ES" w:bidi="es-ES"/>
      </w:rPr>
    </w:lvl>
    <w:lvl w:ilvl="2">
      <w:start w:val="0"/>
      <w:numFmt w:val="bullet"/>
      <w:lvlText w:val="•"/>
      <w:lvlJc w:val="left"/>
      <w:pPr>
        <w:ind w:left="3517" w:hanging="334"/>
      </w:pPr>
      <w:rPr>
        <w:rFonts w:hint="default"/>
        <w:lang w:val="es-ES" w:eastAsia="es-ES" w:bidi="es-ES"/>
      </w:rPr>
    </w:lvl>
    <w:lvl w:ilvl="3">
      <w:start w:val="0"/>
      <w:numFmt w:val="bullet"/>
      <w:lvlText w:val="•"/>
      <w:lvlJc w:val="left"/>
      <w:pPr>
        <w:ind w:left="4405" w:hanging="334"/>
      </w:pPr>
      <w:rPr>
        <w:rFonts w:hint="default"/>
        <w:lang w:val="es-ES" w:eastAsia="es-ES" w:bidi="es-ES"/>
      </w:rPr>
    </w:lvl>
    <w:lvl w:ilvl="4">
      <w:start w:val="0"/>
      <w:numFmt w:val="bullet"/>
      <w:lvlText w:val="•"/>
      <w:lvlJc w:val="left"/>
      <w:pPr>
        <w:ind w:left="5294" w:hanging="334"/>
      </w:pPr>
      <w:rPr>
        <w:rFonts w:hint="default"/>
        <w:lang w:val="es-ES" w:eastAsia="es-ES" w:bidi="es-ES"/>
      </w:rPr>
    </w:lvl>
    <w:lvl w:ilvl="5">
      <w:start w:val="0"/>
      <w:numFmt w:val="bullet"/>
      <w:lvlText w:val="•"/>
      <w:lvlJc w:val="left"/>
      <w:pPr>
        <w:ind w:left="6182" w:hanging="334"/>
      </w:pPr>
      <w:rPr>
        <w:rFonts w:hint="default"/>
        <w:lang w:val="es-ES" w:eastAsia="es-ES" w:bidi="es-ES"/>
      </w:rPr>
    </w:lvl>
    <w:lvl w:ilvl="6">
      <w:start w:val="0"/>
      <w:numFmt w:val="bullet"/>
      <w:lvlText w:val="•"/>
      <w:lvlJc w:val="left"/>
      <w:pPr>
        <w:ind w:left="7071" w:hanging="334"/>
      </w:pPr>
      <w:rPr>
        <w:rFonts w:hint="default"/>
        <w:lang w:val="es-ES" w:eastAsia="es-ES" w:bidi="es-ES"/>
      </w:rPr>
    </w:lvl>
    <w:lvl w:ilvl="7">
      <w:start w:val="0"/>
      <w:numFmt w:val="bullet"/>
      <w:lvlText w:val="•"/>
      <w:lvlJc w:val="left"/>
      <w:pPr>
        <w:ind w:left="7959" w:hanging="334"/>
      </w:pPr>
      <w:rPr>
        <w:rFonts w:hint="default"/>
        <w:lang w:val="es-ES" w:eastAsia="es-ES" w:bidi="es-ES"/>
      </w:rPr>
    </w:lvl>
    <w:lvl w:ilvl="8">
      <w:start w:val="0"/>
      <w:numFmt w:val="bullet"/>
      <w:lvlText w:val="•"/>
      <w:lvlJc w:val="left"/>
      <w:pPr>
        <w:ind w:left="8848" w:hanging="334"/>
      </w:pPr>
      <w:rPr>
        <w:rFonts w:hint="default"/>
        <w:lang w:val="es-ES" w:eastAsia="es-ES" w:bidi="es-ES"/>
      </w:rPr>
    </w:lvl>
  </w:abstractNum>
  <w:abstractNum w:abstractNumId="496">
    <w:multiLevelType w:val="hybridMultilevel"/>
    <w:lvl w:ilvl="0">
      <w:start w:val="2"/>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495">
    <w:multiLevelType w:val="hybridMultilevel"/>
    <w:lvl w:ilvl="0">
      <w:start w:val="1"/>
      <w:numFmt w:val="lowerLetter"/>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494">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493">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92">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491">
    <w:multiLevelType w:val="hybridMultilevel"/>
    <w:lvl w:ilvl="0">
      <w:start w:val="1"/>
      <w:numFmt w:val="lowerLetter"/>
      <w:lvlText w:val="%1)"/>
      <w:lvlJc w:val="left"/>
      <w:pPr>
        <w:ind w:left="1074" w:hanging="273"/>
        <w:jc w:val="left"/>
      </w:pPr>
      <w:rPr>
        <w:rFonts w:hint="default" w:ascii="Arial" w:hAnsi="Arial" w:eastAsia="Arial" w:cs="Arial"/>
        <w:spacing w:val="-17"/>
        <w:w w:val="100"/>
        <w:sz w:val="20"/>
        <w:szCs w:val="20"/>
        <w:lang w:val="es-ES" w:eastAsia="es-ES" w:bidi="es-ES"/>
      </w:rPr>
    </w:lvl>
    <w:lvl w:ilvl="1">
      <w:start w:val="0"/>
      <w:numFmt w:val="bullet"/>
      <w:lvlText w:val="•"/>
      <w:lvlJc w:val="left"/>
      <w:pPr>
        <w:ind w:left="2034" w:hanging="273"/>
      </w:pPr>
      <w:rPr>
        <w:rFonts w:hint="default"/>
        <w:lang w:val="es-ES" w:eastAsia="es-ES" w:bidi="es-ES"/>
      </w:rPr>
    </w:lvl>
    <w:lvl w:ilvl="2">
      <w:start w:val="0"/>
      <w:numFmt w:val="bullet"/>
      <w:lvlText w:val="•"/>
      <w:lvlJc w:val="left"/>
      <w:pPr>
        <w:ind w:left="2989" w:hanging="273"/>
      </w:pPr>
      <w:rPr>
        <w:rFonts w:hint="default"/>
        <w:lang w:val="es-ES" w:eastAsia="es-ES" w:bidi="es-ES"/>
      </w:rPr>
    </w:lvl>
    <w:lvl w:ilvl="3">
      <w:start w:val="0"/>
      <w:numFmt w:val="bullet"/>
      <w:lvlText w:val="•"/>
      <w:lvlJc w:val="left"/>
      <w:pPr>
        <w:ind w:left="3943" w:hanging="273"/>
      </w:pPr>
      <w:rPr>
        <w:rFonts w:hint="default"/>
        <w:lang w:val="es-ES" w:eastAsia="es-ES" w:bidi="es-ES"/>
      </w:rPr>
    </w:lvl>
    <w:lvl w:ilvl="4">
      <w:start w:val="0"/>
      <w:numFmt w:val="bullet"/>
      <w:lvlText w:val="•"/>
      <w:lvlJc w:val="left"/>
      <w:pPr>
        <w:ind w:left="4898" w:hanging="273"/>
      </w:pPr>
      <w:rPr>
        <w:rFonts w:hint="default"/>
        <w:lang w:val="es-ES" w:eastAsia="es-ES" w:bidi="es-ES"/>
      </w:rPr>
    </w:lvl>
    <w:lvl w:ilvl="5">
      <w:start w:val="0"/>
      <w:numFmt w:val="bullet"/>
      <w:lvlText w:val="•"/>
      <w:lvlJc w:val="left"/>
      <w:pPr>
        <w:ind w:left="5852" w:hanging="273"/>
      </w:pPr>
      <w:rPr>
        <w:rFonts w:hint="default"/>
        <w:lang w:val="es-ES" w:eastAsia="es-ES" w:bidi="es-ES"/>
      </w:rPr>
    </w:lvl>
    <w:lvl w:ilvl="6">
      <w:start w:val="0"/>
      <w:numFmt w:val="bullet"/>
      <w:lvlText w:val="•"/>
      <w:lvlJc w:val="left"/>
      <w:pPr>
        <w:ind w:left="6807" w:hanging="273"/>
      </w:pPr>
      <w:rPr>
        <w:rFonts w:hint="default"/>
        <w:lang w:val="es-ES" w:eastAsia="es-ES" w:bidi="es-ES"/>
      </w:rPr>
    </w:lvl>
    <w:lvl w:ilvl="7">
      <w:start w:val="0"/>
      <w:numFmt w:val="bullet"/>
      <w:lvlText w:val="•"/>
      <w:lvlJc w:val="left"/>
      <w:pPr>
        <w:ind w:left="7761" w:hanging="273"/>
      </w:pPr>
      <w:rPr>
        <w:rFonts w:hint="default"/>
        <w:lang w:val="es-ES" w:eastAsia="es-ES" w:bidi="es-ES"/>
      </w:rPr>
    </w:lvl>
    <w:lvl w:ilvl="8">
      <w:start w:val="0"/>
      <w:numFmt w:val="bullet"/>
      <w:lvlText w:val="•"/>
      <w:lvlJc w:val="left"/>
      <w:pPr>
        <w:ind w:left="8716" w:hanging="273"/>
      </w:pPr>
      <w:rPr>
        <w:rFonts w:hint="default"/>
        <w:lang w:val="es-ES" w:eastAsia="es-ES" w:bidi="es-ES"/>
      </w:rPr>
    </w:lvl>
  </w:abstractNum>
  <w:abstractNum w:abstractNumId="490">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489">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88">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487">
    <w:multiLevelType w:val="hybridMultilevel"/>
    <w:lvl w:ilvl="0">
      <w:start w:val="1"/>
      <w:numFmt w:val="lowerLetter"/>
      <w:lvlText w:val="%1)"/>
      <w:lvlJc w:val="left"/>
      <w:pPr>
        <w:ind w:left="107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6"/>
      </w:pPr>
      <w:rPr>
        <w:rFonts w:hint="default"/>
        <w:lang w:val="es-ES" w:eastAsia="es-ES" w:bidi="es-ES"/>
      </w:rPr>
    </w:lvl>
    <w:lvl w:ilvl="2">
      <w:start w:val="0"/>
      <w:numFmt w:val="bullet"/>
      <w:lvlText w:val="•"/>
      <w:lvlJc w:val="left"/>
      <w:pPr>
        <w:ind w:left="2989" w:hanging="236"/>
      </w:pPr>
      <w:rPr>
        <w:rFonts w:hint="default"/>
        <w:lang w:val="es-ES" w:eastAsia="es-ES" w:bidi="es-ES"/>
      </w:rPr>
    </w:lvl>
    <w:lvl w:ilvl="3">
      <w:start w:val="0"/>
      <w:numFmt w:val="bullet"/>
      <w:lvlText w:val="•"/>
      <w:lvlJc w:val="left"/>
      <w:pPr>
        <w:ind w:left="3943" w:hanging="236"/>
      </w:pPr>
      <w:rPr>
        <w:rFonts w:hint="default"/>
        <w:lang w:val="es-ES" w:eastAsia="es-ES" w:bidi="es-ES"/>
      </w:rPr>
    </w:lvl>
    <w:lvl w:ilvl="4">
      <w:start w:val="0"/>
      <w:numFmt w:val="bullet"/>
      <w:lvlText w:val="•"/>
      <w:lvlJc w:val="left"/>
      <w:pPr>
        <w:ind w:left="4898" w:hanging="236"/>
      </w:pPr>
      <w:rPr>
        <w:rFonts w:hint="default"/>
        <w:lang w:val="es-ES" w:eastAsia="es-ES" w:bidi="es-ES"/>
      </w:rPr>
    </w:lvl>
    <w:lvl w:ilvl="5">
      <w:start w:val="0"/>
      <w:numFmt w:val="bullet"/>
      <w:lvlText w:val="•"/>
      <w:lvlJc w:val="left"/>
      <w:pPr>
        <w:ind w:left="5852" w:hanging="236"/>
      </w:pPr>
      <w:rPr>
        <w:rFonts w:hint="default"/>
        <w:lang w:val="es-ES" w:eastAsia="es-ES" w:bidi="es-ES"/>
      </w:rPr>
    </w:lvl>
    <w:lvl w:ilvl="6">
      <w:start w:val="0"/>
      <w:numFmt w:val="bullet"/>
      <w:lvlText w:val="•"/>
      <w:lvlJc w:val="left"/>
      <w:pPr>
        <w:ind w:left="6807" w:hanging="236"/>
      </w:pPr>
      <w:rPr>
        <w:rFonts w:hint="default"/>
        <w:lang w:val="es-ES" w:eastAsia="es-ES" w:bidi="es-ES"/>
      </w:rPr>
    </w:lvl>
    <w:lvl w:ilvl="7">
      <w:start w:val="0"/>
      <w:numFmt w:val="bullet"/>
      <w:lvlText w:val="•"/>
      <w:lvlJc w:val="left"/>
      <w:pPr>
        <w:ind w:left="7761" w:hanging="236"/>
      </w:pPr>
      <w:rPr>
        <w:rFonts w:hint="default"/>
        <w:lang w:val="es-ES" w:eastAsia="es-ES" w:bidi="es-ES"/>
      </w:rPr>
    </w:lvl>
    <w:lvl w:ilvl="8">
      <w:start w:val="0"/>
      <w:numFmt w:val="bullet"/>
      <w:lvlText w:val="•"/>
      <w:lvlJc w:val="left"/>
      <w:pPr>
        <w:ind w:left="8716" w:hanging="236"/>
      </w:pPr>
      <w:rPr>
        <w:rFonts w:hint="default"/>
        <w:lang w:val="es-ES" w:eastAsia="es-ES" w:bidi="es-ES"/>
      </w:rPr>
    </w:lvl>
  </w:abstractNum>
  <w:abstractNum w:abstractNumId="486">
    <w:multiLevelType w:val="hybridMultilevel"/>
    <w:lvl w:ilvl="0">
      <w:start w:val="1"/>
      <w:numFmt w:val="lowerLetter"/>
      <w:lvlText w:val="%1)"/>
      <w:lvlJc w:val="left"/>
      <w:pPr>
        <w:ind w:left="1074" w:hanging="273"/>
        <w:jc w:val="left"/>
      </w:pPr>
      <w:rPr>
        <w:rFonts w:hint="default" w:ascii="Arial" w:hAnsi="Arial" w:eastAsia="Arial" w:cs="Arial"/>
        <w:spacing w:val="-17"/>
        <w:w w:val="100"/>
        <w:sz w:val="20"/>
        <w:szCs w:val="20"/>
        <w:lang w:val="es-ES" w:eastAsia="es-ES" w:bidi="es-ES"/>
      </w:rPr>
    </w:lvl>
    <w:lvl w:ilvl="1">
      <w:start w:val="0"/>
      <w:numFmt w:val="bullet"/>
      <w:lvlText w:val="•"/>
      <w:lvlJc w:val="left"/>
      <w:pPr>
        <w:ind w:left="2034" w:hanging="273"/>
      </w:pPr>
      <w:rPr>
        <w:rFonts w:hint="default"/>
        <w:lang w:val="es-ES" w:eastAsia="es-ES" w:bidi="es-ES"/>
      </w:rPr>
    </w:lvl>
    <w:lvl w:ilvl="2">
      <w:start w:val="0"/>
      <w:numFmt w:val="bullet"/>
      <w:lvlText w:val="•"/>
      <w:lvlJc w:val="left"/>
      <w:pPr>
        <w:ind w:left="2989" w:hanging="273"/>
      </w:pPr>
      <w:rPr>
        <w:rFonts w:hint="default"/>
        <w:lang w:val="es-ES" w:eastAsia="es-ES" w:bidi="es-ES"/>
      </w:rPr>
    </w:lvl>
    <w:lvl w:ilvl="3">
      <w:start w:val="0"/>
      <w:numFmt w:val="bullet"/>
      <w:lvlText w:val="•"/>
      <w:lvlJc w:val="left"/>
      <w:pPr>
        <w:ind w:left="3943" w:hanging="273"/>
      </w:pPr>
      <w:rPr>
        <w:rFonts w:hint="default"/>
        <w:lang w:val="es-ES" w:eastAsia="es-ES" w:bidi="es-ES"/>
      </w:rPr>
    </w:lvl>
    <w:lvl w:ilvl="4">
      <w:start w:val="0"/>
      <w:numFmt w:val="bullet"/>
      <w:lvlText w:val="•"/>
      <w:lvlJc w:val="left"/>
      <w:pPr>
        <w:ind w:left="4898" w:hanging="273"/>
      </w:pPr>
      <w:rPr>
        <w:rFonts w:hint="default"/>
        <w:lang w:val="es-ES" w:eastAsia="es-ES" w:bidi="es-ES"/>
      </w:rPr>
    </w:lvl>
    <w:lvl w:ilvl="5">
      <w:start w:val="0"/>
      <w:numFmt w:val="bullet"/>
      <w:lvlText w:val="•"/>
      <w:lvlJc w:val="left"/>
      <w:pPr>
        <w:ind w:left="5852" w:hanging="273"/>
      </w:pPr>
      <w:rPr>
        <w:rFonts w:hint="default"/>
        <w:lang w:val="es-ES" w:eastAsia="es-ES" w:bidi="es-ES"/>
      </w:rPr>
    </w:lvl>
    <w:lvl w:ilvl="6">
      <w:start w:val="0"/>
      <w:numFmt w:val="bullet"/>
      <w:lvlText w:val="•"/>
      <w:lvlJc w:val="left"/>
      <w:pPr>
        <w:ind w:left="6807" w:hanging="273"/>
      </w:pPr>
      <w:rPr>
        <w:rFonts w:hint="default"/>
        <w:lang w:val="es-ES" w:eastAsia="es-ES" w:bidi="es-ES"/>
      </w:rPr>
    </w:lvl>
    <w:lvl w:ilvl="7">
      <w:start w:val="0"/>
      <w:numFmt w:val="bullet"/>
      <w:lvlText w:val="•"/>
      <w:lvlJc w:val="left"/>
      <w:pPr>
        <w:ind w:left="7761" w:hanging="273"/>
      </w:pPr>
      <w:rPr>
        <w:rFonts w:hint="default"/>
        <w:lang w:val="es-ES" w:eastAsia="es-ES" w:bidi="es-ES"/>
      </w:rPr>
    </w:lvl>
    <w:lvl w:ilvl="8">
      <w:start w:val="0"/>
      <w:numFmt w:val="bullet"/>
      <w:lvlText w:val="•"/>
      <w:lvlJc w:val="left"/>
      <w:pPr>
        <w:ind w:left="8716" w:hanging="273"/>
      </w:pPr>
      <w:rPr>
        <w:rFonts w:hint="default"/>
        <w:lang w:val="es-ES" w:eastAsia="es-ES" w:bidi="es-ES"/>
      </w:rPr>
    </w:lvl>
  </w:abstractNum>
  <w:abstractNum w:abstractNumId="485">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484">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83">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1"/>
      <w:numFmt w:val="upperLetter"/>
      <w:lvlText w:val="%2."/>
      <w:lvlJc w:val="left"/>
      <w:pPr>
        <w:ind w:left="4262" w:hanging="245"/>
        <w:jc w:val="right"/>
      </w:pPr>
      <w:rPr>
        <w:rFonts w:hint="default" w:ascii="Arial" w:hAnsi="Arial" w:eastAsia="Arial" w:cs="Arial"/>
        <w:spacing w:val="-1"/>
        <w:w w:val="100"/>
        <w:sz w:val="20"/>
        <w:szCs w:val="20"/>
        <w:lang w:val="es-ES" w:eastAsia="es-ES" w:bidi="es-ES"/>
      </w:rPr>
    </w:lvl>
    <w:lvl w:ilvl="2">
      <w:start w:val="0"/>
      <w:numFmt w:val="bullet"/>
      <w:lvlText w:val="•"/>
      <w:lvlJc w:val="left"/>
      <w:pPr>
        <w:ind w:left="4967" w:hanging="245"/>
      </w:pPr>
      <w:rPr>
        <w:rFonts w:hint="default"/>
        <w:lang w:val="es-ES" w:eastAsia="es-ES" w:bidi="es-ES"/>
      </w:rPr>
    </w:lvl>
    <w:lvl w:ilvl="3">
      <w:start w:val="0"/>
      <w:numFmt w:val="bullet"/>
      <w:lvlText w:val="•"/>
      <w:lvlJc w:val="left"/>
      <w:pPr>
        <w:ind w:left="5674" w:hanging="245"/>
      </w:pPr>
      <w:rPr>
        <w:rFonts w:hint="default"/>
        <w:lang w:val="es-ES" w:eastAsia="es-ES" w:bidi="es-ES"/>
      </w:rPr>
    </w:lvl>
    <w:lvl w:ilvl="4">
      <w:start w:val="0"/>
      <w:numFmt w:val="bullet"/>
      <w:lvlText w:val="•"/>
      <w:lvlJc w:val="left"/>
      <w:pPr>
        <w:ind w:left="6381" w:hanging="245"/>
      </w:pPr>
      <w:rPr>
        <w:rFonts w:hint="default"/>
        <w:lang w:val="es-ES" w:eastAsia="es-ES" w:bidi="es-ES"/>
      </w:rPr>
    </w:lvl>
    <w:lvl w:ilvl="5">
      <w:start w:val="0"/>
      <w:numFmt w:val="bullet"/>
      <w:lvlText w:val="•"/>
      <w:lvlJc w:val="left"/>
      <w:pPr>
        <w:ind w:left="7089" w:hanging="245"/>
      </w:pPr>
      <w:rPr>
        <w:rFonts w:hint="default"/>
        <w:lang w:val="es-ES" w:eastAsia="es-ES" w:bidi="es-ES"/>
      </w:rPr>
    </w:lvl>
    <w:lvl w:ilvl="6">
      <w:start w:val="0"/>
      <w:numFmt w:val="bullet"/>
      <w:lvlText w:val="•"/>
      <w:lvlJc w:val="left"/>
      <w:pPr>
        <w:ind w:left="7796" w:hanging="245"/>
      </w:pPr>
      <w:rPr>
        <w:rFonts w:hint="default"/>
        <w:lang w:val="es-ES" w:eastAsia="es-ES" w:bidi="es-ES"/>
      </w:rPr>
    </w:lvl>
    <w:lvl w:ilvl="7">
      <w:start w:val="0"/>
      <w:numFmt w:val="bullet"/>
      <w:lvlText w:val="•"/>
      <w:lvlJc w:val="left"/>
      <w:pPr>
        <w:ind w:left="8503" w:hanging="245"/>
      </w:pPr>
      <w:rPr>
        <w:rFonts w:hint="default"/>
        <w:lang w:val="es-ES" w:eastAsia="es-ES" w:bidi="es-ES"/>
      </w:rPr>
    </w:lvl>
    <w:lvl w:ilvl="8">
      <w:start w:val="0"/>
      <w:numFmt w:val="bullet"/>
      <w:lvlText w:val="•"/>
      <w:lvlJc w:val="left"/>
      <w:pPr>
        <w:ind w:left="9210" w:hanging="245"/>
      </w:pPr>
      <w:rPr>
        <w:rFonts w:hint="default"/>
        <w:lang w:val="es-ES" w:eastAsia="es-ES" w:bidi="es-ES"/>
      </w:rPr>
    </w:lvl>
  </w:abstractNum>
  <w:abstractNum w:abstractNumId="482">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481">
    <w:multiLevelType w:val="hybridMultilevel"/>
    <w:lvl w:ilvl="0">
      <w:start w:val="1"/>
      <w:numFmt w:val="lowerLetter"/>
      <w:lvlText w:val="%1)"/>
      <w:lvlJc w:val="left"/>
      <w:pPr>
        <w:ind w:left="1074" w:hanging="26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0"/>
      </w:pPr>
      <w:rPr>
        <w:rFonts w:hint="default"/>
        <w:lang w:val="es-ES" w:eastAsia="es-ES" w:bidi="es-ES"/>
      </w:rPr>
    </w:lvl>
    <w:lvl w:ilvl="2">
      <w:start w:val="0"/>
      <w:numFmt w:val="bullet"/>
      <w:lvlText w:val="•"/>
      <w:lvlJc w:val="left"/>
      <w:pPr>
        <w:ind w:left="2989" w:hanging="260"/>
      </w:pPr>
      <w:rPr>
        <w:rFonts w:hint="default"/>
        <w:lang w:val="es-ES" w:eastAsia="es-ES" w:bidi="es-ES"/>
      </w:rPr>
    </w:lvl>
    <w:lvl w:ilvl="3">
      <w:start w:val="0"/>
      <w:numFmt w:val="bullet"/>
      <w:lvlText w:val="•"/>
      <w:lvlJc w:val="left"/>
      <w:pPr>
        <w:ind w:left="3943" w:hanging="260"/>
      </w:pPr>
      <w:rPr>
        <w:rFonts w:hint="default"/>
        <w:lang w:val="es-ES" w:eastAsia="es-ES" w:bidi="es-ES"/>
      </w:rPr>
    </w:lvl>
    <w:lvl w:ilvl="4">
      <w:start w:val="0"/>
      <w:numFmt w:val="bullet"/>
      <w:lvlText w:val="•"/>
      <w:lvlJc w:val="left"/>
      <w:pPr>
        <w:ind w:left="4898" w:hanging="260"/>
      </w:pPr>
      <w:rPr>
        <w:rFonts w:hint="default"/>
        <w:lang w:val="es-ES" w:eastAsia="es-ES" w:bidi="es-ES"/>
      </w:rPr>
    </w:lvl>
    <w:lvl w:ilvl="5">
      <w:start w:val="0"/>
      <w:numFmt w:val="bullet"/>
      <w:lvlText w:val="•"/>
      <w:lvlJc w:val="left"/>
      <w:pPr>
        <w:ind w:left="5852" w:hanging="260"/>
      </w:pPr>
      <w:rPr>
        <w:rFonts w:hint="default"/>
        <w:lang w:val="es-ES" w:eastAsia="es-ES" w:bidi="es-ES"/>
      </w:rPr>
    </w:lvl>
    <w:lvl w:ilvl="6">
      <w:start w:val="0"/>
      <w:numFmt w:val="bullet"/>
      <w:lvlText w:val="•"/>
      <w:lvlJc w:val="left"/>
      <w:pPr>
        <w:ind w:left="6807" w:hanging="260"/>
      </w:pPr>
      <w:rPr>
        <w:rFonts w:hint="default"/>
        <w:lang w:val="es-ES" w:eastAsia="es-ES" w:bidi="es-ES"/>
      </w:rPr>
    </w:lvl>
    <w:lvl w:ilvl="7">
      <w:start w:val="0"/>
      <w:numFmt w:val="bullet"/>
      <w:lvlText w:val="•"/>
      <w:lvlJc w:val="left"/>
      <w:pPr>
        <w:ind w:left="7761" w:hanging="260"/>
      </w:pPr>
      <w:rPr>
        <w:rFonts w:hint="default"/>
        <w:lang w:val="es-ES" w:eastAsia="es-ES" w:bidi="es-ES"/>
      </w:rPr>
    </w:lvl>
    <w:lvl w:ilvl="8">
      <w:start w:val="0"/>
      <w:numFmt w:val="bullet"/>
      <w:lvlText w:val="•"/>
      <w:lvlJc w:val="left"/>
      <w:pPr>
        <w:ind w:left="8716" w:hanging="260"/>
      </w:pPr>
      <w:rPr>
        <w:rFonts w:hint="default"/>
        <w:lang w:val="es-ES" w:eastAsia="es-ES" w:bidi="es-ES"/>
      </w:rPr>
    </w:lvl>
  </w:abstractNum>
  <w:abstractNum w:abstractNumId="480">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79">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78">
    <w:multiLevelType w:val="hybridMultilevel"/>
    <w:lvl w:ilvl="0">
      <w:start w:val="1"/>
      <w:numFmt w:val="lowerLetter"/>
      <w:lvlText w:val="%1)"/>
      <w:lvlJc w:val="left"/>
      <w:pPr>
        <w:ind w:left="1074" w:hanging="317"/>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317"/>
      </w:pPr>
      <w:rPr>
        <w:rFonts w:hint="default"/>
        <w:lang w:val="es-ES" w:eastAsia="es-ES" w:bidi="es-ES"/>
      </w:rPr>
    </w:lvl>
    <w:lvl w:ilvl="2">
      <w:start w:val="0"/>
      <w:numFmt w:val="bullet"/>
      <w:lvlText w:val="•"/>
      <w:lvlJc w:val="left"/>
      <w:pPr>
        <w:ind w:left="2989" w:hanging="317"/>
      </w:pPr>
      <w:rPr>
        <w:rFonts w:hint="default"/>
        <w:lang w:val="es-ES" w:eastAsia="es-ES" w:bidi="es-ES"/>
      </w:rPr>
    </w:lvl>
    <w:lvl w:ilvl="3">
      <w:start w:val="0"/>
      <w:numFmt w:val="bullet"/>
      <w:lvlText w:val="•"/>
      <w:lvlJc w:val="left"/>
      <w:pPr>
        <w:ind w:left="3943" w:hanging="317"/>
      </w:pPr>
      <w:rPr>
        <w:rFonts w:hint="default"/>
        <w:lang w:val="es-ES" w:eastAsia="es-ES" w:bidi="es-ES"/>
      </w:rPr>
    </w:lvl>
    <w:lvl w:ilvl="4">
      <w:start w:val="0"/>
      <w:numFmt w:val="bullet"/>
      <w:lvlText w:val="•"/>
      <w:lvlJc w:val="left"/>
      <w:pPr>
        <w:ind w:left="4898" w:hanging="317"/>
      </w:pPr>
      <w:rPr>
        <w:rFonts w:hint="default"/>
        <w:lang w:val="es-ES" w:eastAsia="es-ES" w:bidi="es-ES"/>
      </w:rPr>
    </w:lvl>
    <w:lvl w:ilvl="5">
      <w:start w:val="0"/>
      <w:numFmt w:val="bullet"/>
      <w:lvlText w:val="•"/>
      <w:lvlJc w:val="left"/>
      <w:pPr>
        <w:ind w:left="5852" w:hanging="317"/>
      </w:pPr>
      <w:rPr>
        <w:rFonts w:hint="default"/>
        <w:lang w:val="es-ES" w:eastAsia="es-ES" w:bidi="es-ES"/>
      </w:rPr>
    </w:lvl>
    <w:lvl w:ilvl="6">
      <w:start w:val="0"/>
      <w:numFmt w:val="bullet"/>
      <w:lvlText w:val="•"/>
      <w:lvlJc w:val="left"/>
      <w:pPr>
        <w:ind w:left="6807" w:hanging="317"/>
      </w:pPr>
      <w:rPr>
        <w:rFonts w:hint="default"/>
        <w:lang w:val="es-ES" w:eastAsia="es-ES" w:bidi="es-ES"/>
      </w:rPr>
    </w:lvl>
    <w:lvl w:ilvl="7">
      <w:start w:val="0"/>
      <w:numFmt w:val="bullet"/>
      <w:lvlText w:val="•"/>
      <w:lvlJc w:val="left"/>
      <w:pPr>
        <w:ind w:left="7761" w:hanging="317"/>
      </w:pPr>
      <w:rPr>
        <w:rFonts w:hint="default"/>
        <w:lang w:val="es-ES" w:eastAsia="es-ES" w:bidi="es-ES"/>
      </w:rPr>
    </w:lvl>
    <w:lvl w:ilvl="8">
      <w:start w:val="0"/>
      <w:numFmt w:val="bullet"/>
      <w:lvlText w:val="•"/>
      <w:lvlJc w:val="left"/>
      <w:pPr>
        <w:ind w:left="8716" w:hanging="317"/>
      </w:pPr>
      <w:rPr>
        <w:rFonts w:hint="default"/>
        <w:lang w:val="es-ES" w:eastAsia="es-ES" w:bidi="es-ES"/>
      </w:rPr>
    </w:lvl>
  </w:abstractNum>
  <w:abstractNum w:abstractNumId="477">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476">
    <w:multiLevelType w:val="hybridMultilevel"/>
    <w:lvl w:ilvl="0">
      <w:start w:val="1"/>
      <w:numFmt w:val="lowerLetter"/>
      <w:lvlText w:val="%1)"/>
      <w:lvlJc w:val="left"/>
      <w:pPr>
        <w:ind w:left="107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3"/>
      </w:pPr>
      <w:rPr>
        <w:rFonts w:hint="default"/>
        <w:lang w:val="es-ES" w:eastAsia="es-ES" w:bidi="es-ES"/>
      </w:rPr>
    </w:lvl>
    <w:lvl w:ilvl="2">
      <w:start w:val="0"/>
      <w:numFmt w:val="bullet"/>
      <w:lvlText w:val="•"/>
      <w:lvlJc w:val="left"/>
      <w:pPr>
        <w:ind w:left="2989" w:hanging="243"/>
      </w:pPr>
      <w:rPr>
        <w:rFonts w:hint="default"/>
        <w:lang w:val="es-ES" w:eastAsia="es-ES" w:bidi="es-ES"/>
      </w:rPr>
    </w:lvl>
    <w:lvl w:ilvl="3">
      <w:start w:val="0"/>
      <w:numFmt w:val="bullet"/>
      <w:lvlText w:val="•"/>
      <w:lvlJc w:val="left"/>
      <w:pPr>
        <w:ind w:left="3943" w:hanging="243"/>
      </w:pPr>
      <w:rPr>
        <w:rFonts w:hint="default"/>
        <w:lang w:val="es-ES" w:eastAsia="es-ES" w:bidi="es-ES"/>
      </w:rPr>
    </w:lvl>
    <w:lvl w:ilvl="4">
      <w:start w:val="0"/>
      <w:numFmt w:val="bullet"/>
      <w:lvlText w:val="•"/>
      <w:lvlJc w:val="left"/>
      <w:pPr>
        <w:ind w:left="4898" w:hanging="243"/>
      </w:pPr>
      <w:rPr>
        <w:rFonts w:hint="default"/>
        <w:lang w:val="es-ES" w:eastAsia="es-ES" w:bidi="es-ES"/>
      </w:rPr>
    </w:lvl>
    <w:lvl w:ilvl="5">
      <w:start w:val="0"/>
      <w:numFmt w:val="bullet"/>
      <w:lvlText w:val="•"/>
      <w:lvlJc w:val="left"/>
      <w:pPr>
        <w:ind w:left="5852" w:hanging="243"/>
      </w:pPr>
      <w:rPr>
        <w:rFonts w:hint="default"/>
        <w:lang w:val="es-ES" w:eastAsia="es-ES" w:bidi="es-ES"/>
      </w:rPr>
    </w:lvl>
    <w:lvl w:ilvl="6">
      <w:start w:val="0"/>
      <w:numFmt w:val="bullet"/>
      <w:lvlText w:val="•"/>
      <w:lvlJc w:val="left"/>
      <w:pPr>
        <w:ind w:left="6807" w:hanging="243"/>
      </w:pPr>
      <w:rPr>
        <w:rFonts w:hint="default"/>
        <w:lang w:val="es-ES" w:eastAsia="es-ES" w:bidi="es-ES"/>
      </w:rPr>
    </w:lvl>
    <w:lvl w:ilvl="7">
      <w:start w:val="0"/>
      <w:numFmt w:val="bullet"/>
      <w:lvlText w:val="•"/>
      <w:lvlJc w:val="left"/>
      <w:pPr>
        <w:ind w:left="7761" w:hanging="243"/>
      </w:pPr>
      <w:rPr>
        <w:rFonts w:hint="default"/>
        <w:lang w:val="es-ES" w:eastAsia="es-ES" w:bidi="es-ES"/>
      </w:rPr>
    </w:lvl>
    <w:lvl w:ilvl="8">
      <w:start w:val="0"/>
      <w:numFmt w:val="bullet"/>
      <w:lvlText w:val="•"/>
      <w:lvlJc w:val="left"/>
      <w:pPr>
        <w:ind w:left="8716" w:hanging="243"/>
      </w:pPr>
      <w:rPr>
        <w:rFonts w:hint="default"/>
        <w:lang w:val="es-ES" w:eastAsia="es-ES" w:bidi="es-ES"/>
      </w:rPr>
    </w:lvl>
  </w:abstractNum>
  <w:abstractNum w:abstractNumId="475">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74">
    <w:multiLevelType w:val="hybridMultilevel"/>
    <w:lvl w:ilvl="0">
      <w:start w:val="1"/>
      <w:numFmt w:val="lowerLetter"/>
      <w:lvlText w:val="%1)"/>
      <w:lvlJc w:val="left"/>
      <w:pPr>
        <w:ind w:left="1074" w:hanging="241"/>
        <w:jc w:val="left"/>
      </w:pPr>
      <w:rPr>
        <w:rFonts w:hint="default" w:ascii="Arial" w:hAnsi="Arial" w:eastAsia="Arial" w:cs="Arial"/>
        <w:spacing w:val="-1"/>
        <w:w w:val="100"/>
        <w:sz w:val="20"/>
        <w:szCs w:val="20"/>
        <w:lang w:val="es-ES" w:eastAsia="es-ES" w:bidi="es-ES"/>
      </w:rPr>
    </w:lvl>
    <w:lvl w:ilvl="1">
      <w:start w:val="1"/>
      <w:numFmt w:val="upperRoman"/>
      <w:lvlText w:val="%2."/>
      <w:lvlJc w:val="left"/>
      <w:pPr>
        <w:ind w:left="3161" w:hanging="167"/>
        <w:jc w:val="right"/>
      </w:pPr>
      <w:rPr>
        <w:rFonts w:hint="default" w:ascii="Arial" w:hAnsi="Arial" w:eastAsia="Arial" w:cs="Arial"/>
        <w:spacing w:val="-1"/>
        <w:w w:val="100"/>
        <w:sz w:val="20"/>
        <w:szCs w:val="20"/>
        <w:lang w:val="es-ES" w:eastAsia="es-ES" w:bidi="es-ES"/>
      </w:rPr>
    </w:lvl>
    <w:lvl w:ilvl="2">
      <w:start w:val="0"/>
      <w:numFmt w:val="bullet"/>
      <w:lvlText w:val="•"/>
      <w:lvlJc w:val="left"/>
      <w:pPr>
        <w:ind w:left="3989" w:hanging="167"/>
      </w:pPr>
      <w:rPr>
        <w:rFonts w:hint="default"/>
        <w:lang w:val="es-ES" w:eastAsia="es-ES" w:bidi="es-ES"/>
      </w:rPr>
    </w:lvl>
    <w:lvl w:ilvl="3">
      <w:start w:val="0"/>
      <w:numFmt w:val="bullet"/>
      <w:lvlText w:val="•"/>
      <w:lvlJc w:val="left"/>
      <w:pPr>
        <w:ind w:left="4819" w:hanging="167"/>
      </w:pPr>
      <w:rPr>
        <w:rFonts w:hint="default"/>
        <w:lang w:val="es-ES" w:eastAsia="es-ES" w:bidi="es-ES"/>
      </w:rPr>
    </w:lvl>
    <w:lvl w:ilvl="4">
      <w:start w:val="0"/>
      <w:numFmt w:val="bullet"/>
      <w:lvlText w:val="•"/>
      <w:lvlJc w:val="left"/>
      <w:pPr>
        <w:ind w:left="5648" w:hanging="167"/>
      </w:pPr>
      <w:rPr>
        <w:rFonts w:hint="default"/>
        <w:lang w:val="es-ES" w:eastAsia="es-ES" w:bidi="es-ES"/>
      </w:rPr>
    </w:lvl>
    <w:lvl w:ilvl="5">
      <w:start w:val="0"/>
      <w:numFmt w:val="bullet"/>
      <w:lvlText w:val="•"/>
      <w:lvlJc w:val="left"/>
      <w:pPr>
        <w:ind w:left="6478" w:hanging="167"/>
      </w:pPr>
      <w:rPr>
        <w:rFonts w:hint="default"/>
        <w:lang w:val="es-ES" w:eastAsia="es-ES" w:bidi="es-ES"/>
      </w:rPr>
    </w:lvl>
    <w:lvl w:ilvl="6">
      <w:start w:val="0"/>
      <w:numFmt w:val="bullet"/>
      <w:lvlText w:val="•"/>
      <w:lvlJc w:val="left"/>
      <w:pPr>
        <w:ind w:left="7307" w:hanging="167"/>
      </w:pPr>
      <w:rPr>
        <w:rFonts w:hint="default"/>
        <w:lang w:val="es-ES" w:eastAsia="es-ES" w:bidi="es-ES"/>
      </w:rPr>
    </w:lvl>
    <w:lvl w:ilvl="7">
      <w:start w:val="0"/>
      <w:numFmt w:val="bullet"/>
      <w:lvlText w:val="•"/>
      <w:lvlJc w:val="left"/>
      <w:pPr>
        <w:ind w:left="8137" w:hanging="167"/>
      </w:pPr>
      <w:rPr>
        <w:rFonts w:hint="default"/>
        <w:lang w:val="es-ES" w:eastAsia="es-ES" w:bidi="es-ES"/>
      </w:rPr>
    </w:lvl>
    <w:lvl w:ilvl="8">
      <w:start w:val="0"/>
      <w:numFmt w:val="bullet"/>
      <w:lvlText w:val="•"/>
      <w:lvlJc w:val="left"/>
      <w:pPr>
        <w:ind w:left="8966" w:hanging="167"/>
      </w:pPr>
      <w:rPr>
        <w:rFonts w:hint="default"/>
        <w:lang w:val="es-ES" w:eastAsia="es-ES" w:bidi="es-ES"/>
      </w:rPr>
    </w:lvl>
  </w:abstractNum>
  <w:abstractNum w:abstractNumId="473">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472">
    <w:multiLevelType w:val="hybridMultilevel"/>
    <w:lvl w:ilvl="0">
      <w:start w:val="0"/>
      <w:numFmt w:val="bullet"/>
      <w:lvlText w:val="–"/>
      <w:lvlJc w:val="left"/>
      <w:pPr>
        <w:ind w:left="1074" w:hanging="169"/>
      </w:pPr>
      <w:rPr>
        <w:rFonts w:hint="default" w:ascii="Arial" w:hAnsi="Arial" w:eastAsia="Arial" w:cs="Arial"/>
        <w:w w:val="89"/>
        <w:sz w:val="20"/>
        <w:szCs w:val="20"/>
        <w:lang w:val="es-ES" w:eastAsia="es-ES" w:bidi="es-ES"/>
      </w:rPr>
    </w:lvl>
    <w:lvl w:ilvl="1">
      <w:start w:val="0"/>
      <w:numFmt w:val="bullet"/>
      <w:lvlText w:val="•"/>
      <w:lvlJc w:val="left"/>
      <w:pPr>
        <w:ind w:left="2034" w:hanging="169"/>
      </w:pPr>
      <w:rPr>
        <w:rFonts w:hint="default"/>
        <w:lang w:val="es-ES" w:eastAsia="es-ES" w:bidi="es-ES"/>
      </w:rPr>
    </w:lvl>
    <w:lvl w:ilvl="2">
      <w:start w:val="0"/>
      <w:numFmt w:val="bullet"/>
      <w:lvlText w:val="•"/>
      <w:lvlJc w:val="left"/>
      <w:pPr>
        <w:ind w:left="2989" w:hanging="169"/>
      </w:pPr>
      <w:rPr>
        <w:rFonts w:hint="default"/>
        <w:lang w:val="es-ES" w:eastAsia="es-ES" w:bidi="es-ES"/>
      </w:rPr>
    </w:lvl>
    <w:lvl w:ilvl="3">
      <w:start w:val="0"/>
      <w:numFmt w:val="bullet"/>
      <w:lvlText w:val="•"/>
      <w:lvlJc w:val="left"/>
      <w:pPr>
        <w:ind w:left="3943" w:hanging="169"/>
      </w:pPr>
      <w:rPr>
        <w:rFonts w:hint="default"/>
        <w:lang w:val="es-ES" w:eastAsia="es-ES" w:bidi="es-ES"/>
      </w:rPr>
    </w:lvl>
    <w:lvl w:ilvl="4">
      <w:start w:val="0"/>
      <w:numFmt w:val="bullet"/>
      <w:lvlText w:val="•"/>
      <w:lvlJc w:val="left"/>
      <w:pPr>
        <w:ind w:left="4898" w:hanging="169"/>
      </w:pPr>
      <w:rPr>
        <w:rFonts w:hint="default"/>
        <w:lang w:val="es-ES" w:eastAsia="es-ES" w:bidi="es-ES"/>
      </w:rPr>
    </w:lvl>
    <w:lvl w:ilvl="5">
      <w:start w:val="0"/>
      <w:numFmt w:val="bullet"/>
      <w:lvlText w:val="•"/>
      <w:lvlJc w:val="left"/>
      <w:pPr>
        <w:ind w:left="5852" w:hanging="169"/>
      </w:pPr>
      <w:rPr>
        <w:rFonts w:hint="default"/>
        <w:lang w:val="es-ES" w:eastAsia="es-ES" w:bidi="es-ES"/>
      </w:rPr>
    </w:lvl>
    <w:lvl w:ilvl="6">
      <w:start w:val="0"/>
      <w:numFmt w:val="bullet"/>
      <w:lvlText w:val="•"/>
      <w:lvlJc w:val="left"/>
      <w:pPr>
        <w:ind w:left="6807" w:hanging="169"/>
      </w:pPr>
      <w:rPr>
        <w:rFonts w:hint="default"/>
        <w:lang w:val="es-ES" w:eastAsia="es-ES" w:bidi="es-ES"/>
      </w:rPr>
    </w:lvl>
    <w:lvl w:ilvl="7">
      <w:start w:val="0"/>
      <w:numFmt w:val="bullet"/>
      <w:lvlText w:val="•"/>
      <w:lvlJc w:val="left"/>
      <w:pPr>
        <w:ind w:left="7761" w:hanging="169"/>
      </w:pPr>
      <w:rPr>
        <w:rFonts w:hint="default"/>
        <w:lang w:val="es-ES" w:eastAsia="es-ES" w:bidi="es-ES"/>
      </w:rPr>
    </w:lvl>
    <w:lvl w:ilvl="8">
      <w:start w:val="0"/>
      <w:numFmt w:val="bullet"/>
      <w:lvlText w:val="•"/>
      <w:lvlJc w:val="left"/>
      <w:pPr>
        <w:ind w:left="8716" w:hanging="169"/>
      </w:pPr>
      <w:rPr>
        <w:rFonts w:hint="default"/>
        <w:lang w:val="es-ES" w:eastAsia="es-ES" w:bidi="es-ES"/>
      </w:rPr>
    </w:lvl>
  </w:abstractNum>
  <w:abstractNum w:abstractNumId="471">
    <w:multiLevelType w:val="hybridMultilevel"/>
    <w:lvl w:ilvl="0">
      <w:start w:val="1"/>
      <w:numFmt w:val="lowerLetter"/>
      <w:lvlText w:val="%1)"/>
      <w:lvlJc w:val="left"/>
      <w:pPr>
        <w:ind w:left="1074" w:hanging="26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0"/>
      </w:pPr>
      <w:rPr>
        <w:rFonts w:hint="default"/>
        <w:lang w:val="es-ES" w:eastAsia="es-ES" w:bidi="es-ES"/>
      </w:rPr>
    </w:lvl>
    <w:lvl w:ilvl="2">
      <w:start w:val="0"/>
      <w:numFmt w:val="bullet"/>
      <w:lvlText w:val="•"/>
      <w:lvlJc w:val="left"/>
      <w:pPr>
        <w:ind w:left="2989" w:hanging="260"/>
      </w:pPr>
      <w:rPr>
        <w:rFonts w:hint="default"/>
        <w:lang w:val="es-ES" w:eastAsia="es-ES" w:bidi="es-ES"/>
      </w:rPr>
    </w:lvl>
    <w:lvl w:ilvl="3">
      <w:start w:val="0"/>
      <w:numFmt w:val="bullet"/>
      <w:lvlText w:val="•"/>
      <w:lvlJc w:val="left"/>
      <w:pPr>
        <w:ind w:left="3943" w:hanging="260"/>
      </w:pPr>
      <w:rPr>
        <w:rFonts w:hint="default"/>
        <w:lang w:val="es-ES" w:eastAsia="es-ES" w:bidi="es-ES"/>
      </w:rPr>
    </w:lvl>
    <w:lvl w:ilvl="4">
      <w:start w:val="0"/>
      <w:numFmt w:val="bullet"/>
      <w:lvlText w:val="•"/>
      <w:lvlJc w:val="left"/>
      <w:pPr>
        <w:ind w:left="4898" w:hanging="260"/>
      </w:pPr>
      <w:rPr>
        <w:rFonts w:hint="default"/>
        <w:lang w:val="es-ES" w:eastAsia="es-ES" w:bidi="es-ES"/>
      </w:rPr>
    </w:lvl>
    <w:lvl w:ilvl="5">
      <w:start w:val="0"/>
      <w:numFmt w:val="bullet"/>
      <w:lvlText w:val="•"/>
      <w:lvlJc w:val="left"/>
      <w:pPr>
        <w:ind w:left="5852" w:hanging="260"/>
      </w:pPr>
      <w:rPr>
        <w:rFonts w:hint="default"/>
        <w:lang w:val="es-ES" w:eastAsia="es-ES" w:bidi="es-ES"/>
      </w:rPr>
    </w:lvl>
    <w:lvl w:ilvl="6">
      <w:start w:val="0"/>
      <w:numFmt w:val="bullet"/>
      <w:lvlText w:val="•"/>
      <w:lvlJc w:val="left"/>
      <w:pPr>
        <w:ind w:left="6807" w:hanging="260"/>
      </w:pPr>
      <w:rPr>
        <w:rFonts w:hint="default"/>
        <w:lang w:val="es-ES" w:eastAsia="es-ES" w:bidi="es-ES"/>
      </w:rPr>
    </w:lvl>
    <w:lvl w:ilvl="7">
      <w:start w:val="0"/>
      <w:numFmt w:val="bullet"/>
      <w:lvlText w:val="•"/>
      <w:lvlJc w:val="left"/>
      <w:pPr>
        <w:ind w:left="7761" w:hanging="260"/>
      </w:pPr>
      <w:rPr>
        <w:rFonts w:hint="default"/>
        <w:lang w:val="es-ES" w:eastAsia="es-ES" w:bidi="es-ES"/>
      </w:rPr>
    </w:lvl>
    <w:lvl w:ilvl="8">
      <w:start w:val="0"/>
      <w:numFmt w:val="bullet"/>
      <w:lvlText w:val="•"/>
      <w:lvlJc w:val="left"/>
      <w:pPr>
        <w:ind w:left="8716" w:hanging="260"/>
      </w:pPr>
      <w:rPr>
        <w:rFonts w:hint="default"/>
        <w:lang w:val="es-ES" w:eastAsia="es-ES" w:bidi="es-ES"/>
      </w:rPr>
    </w:lvl>
  </w:abstractNum>
  <w:abstractNum w:abstractNumId="470">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69">
    <w:multiLevelType w:val="hybridMultilevel"/>
    <w:lvl w:ilvl="0">
      <w:start w:val="1"/>
      <w:numFmt w:val="lowerLetter"/>
      <w:lvlText w:val="%1)"/>
      <w:lvlJc w:val="left"/>
      <w:pPr>
        <w:ind w:left="1074" w:hanging="317"/>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317"/>
      </w:pPr>
      <w:rPr>
        <w:rFonts w:hint="default"/>
        <w:lang w:val="es-ES" w:eastAsia="es-ES" w:bidi="es-ES"/>
      </w:rPr>
    </w:lvl>
    <w:lvl w:ilvl="2">
      <w:start w:val="0"/>
      <w:numFmt w:val="bullet"/>
      <w:lvlText w:val="•"/>
      <w:lvlJc w:val="left"/>
      <w:pPr>
        <w:ind w:left="2989" w:hanging="317"/>
      </w:pPr>
      <w:rPr>
        <w:rFonts w:hint="default"/>
        <w:lang w:val="es-ES" w:eastAsia="es-ES" w:bidi="es-ES"/>
      </w:rPr>
    </w:lvl>
    <w:lvl w:ilvl="3">
      <w:start w:val="0"/>
      <w:numFmt w:val="bullet"/>
      <w:lvlText w:val="•"/>
      <w:lvlJc w:val="left"/>
      <w:pPr>
        <w:ind w:left="3943" w:hanging="317"/>
      </w:pPr>
      <w:rPr>
        <w:rFonts w:hint="default"/>
        <w:lang w:val="es-ES" w:eastAsia="es-ES" w:bidi="es-ES"/>
      </w:rPr>
    </w:lvl>
    <w:lvl w:ilvl="4">
      <w:start w:val="0"/>
      <w:numFmt w:val="bullet"/>
      <w:lvlText w:val="•"/>
      <w:lvlJc w:val="left"/>
      <w:pPr>
        <w:ind w:left="4898" w:hanging="317"/>
      </w:pPr>
      <w:rPr>
        <w:rFonts w:hint="default"/>
        <w:lang w:val="es-ES" w:eastAsia="es-ES" w:bidi="es-ES"/>
      </w:rPr>
    </w:lvl>
    <w:lvl w:ilvl="5">
      <w:start w:val="0"/>
      <w:numFmt w:val="bullet"/>
      <w:lvlText w:val="•"/>
      <w:lvlJc w:val="left"/>
      <w:pPr>
        <w:ind w:left="5852" w:hanging="317"/>
      </w:pPr>
      <w:rPr>
        <w:rFonts w:hint="default"/>
        <w:lang w:val="es-ES" w:eastAsia="es-ES" w:bidi="es-ES"/>
      </w:rPr>
    </w:lvl>
    <w:lvl w:ilvl="6">
      <w:start w:val="0"/>
      <w:numFmt w:val="bullet"/>
      <w:lvlText w:val="•"/>
      <w:lvlJc w:val="left"/>
      <w:pPr>
        <w:ind w:left="6807" w:hanging="317"/>
      </w:pPr>
      <w:rPr>
        <w:rFonts w:hint="default"/>
        <w:lang w:val="es-ES" w:eastAsia="es-ES" w:bidi="es-ES"/>
      </w:rPr>
    </w:lvl>
    <w:lvl w:ilvl="7">
      <w:start w:val="0"/>
      <w:numFmt w:val="bullet"/>
      <w:lvlText w:val="•"/>
      <w:lvlJc w:val="left"/>
      <w:pPr>
        <w:ind w:left="7761" w:hanging="317"/>
      </w:pPr>
      <w:rPr>
        <w:rFonts w:hint="default"/>
        <w:lang w:val="es-ES" w:eastAsia="es-ES" w:bidi="es-ES"/>
      </w:rPr>
    </w:lvl>
    <w:lvl w:ilvl="8">
      <w:start w:val="0"/>
      <w:numFmt w:val="bullet"/>
      <w:lvlText w:val="•"/>
      <w:lvlJc w:val="left"/>
      <w:pPr>
        <w:ind w:left="8716" w:hanging="317"/>
      </w:pPr>
      <w:rPr>
        <w:rFonts w:hint="default"/>
        <w:lang w:val="es-ES" w:eastAsia="es-ES" w:bidi="es-ES"/>
      </w:rPr>
    </w:lvl>
  </w:abstractNum>
  <w:abstractNum w:abstractNumId="468">
    <w:multiLevelType w:val="hybridMultilevel"/>
    <w:lvl w:ilvl="0">
      <w:start w:val="1"/>
      <w:numFmt w:val="decimal"/>
      <w:lvlText w:val="%1."/>
      <w:lvlJc w:val="left"/>
      <w:pPr>
        <w:ind w:left="1074" w:hanging="29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4"/>
      </w:pPr>
      <w:rPr>
        <w:rFonts w:hint="default"/>
        <w:lang w:val="es-ES" w:eastAsia="es-ES" w:bidi="es-ES"/>
      </w:rPr>
    </w:lvl>
    <w:lvl w:ilvl="2">
      <w:start w:val="0"/>
      <w:numFmt w:val="bullet"/>
      <w:lvlText w:val="•"/>
      <w:lvlJc w:val="left"/>
      <w:pPr>
        <w:ind w:left="2989" w:hanging="294"/>
      </w:pPr>
      <w:rPr>
        <w:rFonts w:hint="default"/>
        <w:lang w:val="es-ES" w:eastAsia="es-ES" w:bidi="es-ES"/>
      </w:rPr>
    </w:lvl>
    <w:lvl w:ilvl="3">
      <w:start w:val="0"/>
      <w:numFmt w:val="bullet"/>
      <w:lvlText w:val="•"/>
      <w:lvlJc w:val="left"/>
      <w:pPr>
        <w:ind w:left="3943" w:hanging="294"/>
      </w:pPr>
      <w:rPr>
        <w:rFonts w:hint="default"/>
        <w:lang w:val="es-ES" w:eastAsia="es-ES" w:bidi="es-ES"/>
      </w:rPr>
    </w:lvl>
    <w:lvl w:ilvl="4">
      <w:start w:val="0"/>
      <w:numFmt w:val="bullet"/>
      <w:lvlText w:val="•"/>
      <w:lvlJc w:val="left"/>
      <w:pPr>
        <w:ind w:left="4898" w:hanging="294"/>
      </w:pPr>
      <w:rPr>
        <w:rFonts w:hint="default"/>
        <w:lang w:val="es-ES" w:eastAsia="es-ES" w:bidi="es-ES"/>
      </w:rPr>
    </w:lvl>
    <w:lvl w:ilvl="5">
      <w:start w:val="0"/>
      <w:numFmt w:val="bullet"/>
      <w:lvlText w:val="•"/>
      <w:lvlJc w:val="left"/>
      <w:pPr>
        <w:ind w:left="5852" w:hanging="294"/>
      </w:pPr>
      <w:rPr>
        <w:rFonts w:hint="default"/>
        <w:lang w:val="es-ES" w:eastAsia="es-ES" w:bidi="es-ES"/>
      </w:rPr>
    </w:lvl>
    <w:lvl w:ilvl="6">
      <w:start w:val="0"/>
      <w:numFmt w:val="bullet"/>
      <w:lvlText w:val="•"/>
      <w:lvlJc w:val="left"/>
      <w:pPr>
        <w:ind w:left="6807" w:hanging="294"/>
      </w:pPr>
      <w:rPr>
        <w:rFonts w:hint="default"/>
        <w:lang w:val="es-ES" w:eastAsia="es-ES" w:bidi="es-ES"/>
      </w:rPr>
    </w:lvl>
    <w:lvl w:ilvl="7">
      <w:start w:val="0"/>
      <w:numFmt w:val="bullet"/>
      <w:lvlText w:val="•"/>
      <w:lvlJc w:val="left"/>
      <w:pPr>
        <w:ind w:left="7761" w:hanging="294"/>
      </w:pPr>
      <w:rPr>
        <w:rFonts w:hint="default"/>
        <w:lang w:val="es-ES" w:eastAsia="es-ES" w:bidi="es-ES"/>
      </w:rPr>
    </w:lvl>
    <w:lvl w:ilvl="8">
      <w:start w:val="0"/>
      <w:numFmt w:val="bullet"/>
      <w:lvlText w:val="•"/>
      <w:lvlJc w:val="left"/>
      <w:pPr>
        <w:ind w:left="8716" w:hanging="294"/>
      </w:pPr>
      <w:rPr>
        <w:rFonts w:hint="default"/>
        <w:lang w:val="es-ES" w:eastAsia="es-ES" w:bidi="es-ES"/>
      </w:rPr>
    </w:lvl>
  </w:abstractNum>
  <w:abstractNum w:abstractNumId="467">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66">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65">
    <w:multiLevelType w:val="hybridMultilevel"/>
    <w:lvl w:ilvl="0">
      <w:start w:val="0"/>
      <w:numFmt w:val="bullet"/>
      <w:lvlText w:val="–"/>
      <w:lvlJc w:val="left"/>
      <w:pPr>
        <w:ind w:left="131" w:hanging="96"/>
      </w:pPr>
      <w:rPr>
        <w:rFonts w:hint="default" w:ascii="Arial" w:hAnsi="Arial" w:eastAsia="Arial" w:cs="Arial"/>
        <w:w w:val="78"/>
        <w:sz w:val="14"/>
        <w:szCs w:val="14"/>
        <w:lang w:val="es-ES" w:eastAsia="es-ES" w:bidi="es-ES"/>
      </w:rPr>
    </w:lvl>
    <w:lvl w:ilvl="1">
      <w:start w:val="0"/>
      <w:numFmt w:val="bullet"/>
      <w:lvlText w:val="•"/>
      <w:lvlJc w:val="left"/>
      <w:pPr>
        <w:ind w:left="760" w:hanging="96"/>
      </w:pPr>
      <w:rPr>
        <w:rFonts w:hint="default"/>
        <w:lang w:val="es-ES" w:eastAsia="es-ES" w:bidi="es-ES"/>
      </w:rPr>
    </w:lvl>
    <w:lvl w:ilvl="2">
      <w:start w:val="0"/>
      <w:numFmt w:val="bullet"/>
      <w:lvlText w:val="•"/>
      <w:lvlJc w:val="left"/>
      <w:pPr>
        <w:ind w:left="1380" w:hanging="96"/>
      </w:pPr>
      <w:rPr>
        <w:rFonts w:hint="default"/>
        <w:lang w:val="es-ES" w:eastAsia="es-ES" w:bidi="es-ES"/>
      </w:rPr>
    </w:lvl>
    <w:lvl w:ilvl="3">
      <w:start w:val="0"/>
      <w:numFmt w:val="bullet"/>
      <w:lvlText w:val="•"/>
      <w:lvlJc w:val="left"/>
      <w:pPr>
        <w:ind w:left="2001" w:hanging="96"/>
      </w:pPr>
      <w:rPr>
        <w:rFonts w:hint="default"/>
        <w:lang w:val="es-ES" w:eastAsia="es-ES" w:bidi="es-ES"/>
      </w:rPr>
    </w:lvl>
    <w:lvl w:ilvl="4">
      <w:start w:val="0"/>
      <w:numFmt w:val="bullet"/>
      <w:lvlText w:val="•"/>
      <w:lvlJc w:val="left"/>
      <w:pPr>
        <w:ind w:left="2621" w:hanging="96"/>
      </w:pPr>
      <w:rPr>
        <w:rFonts w:hint="default"/>
        <w:lang w:val="es-ES" w:eastAsia="es-ES" w:bidi="es-ES"/>
      </w:rPr>
    </w:lvl>
    <w:lvl w:ilvl="5">
      <w:start w:val="0"/>
      <w:numFmt w:val="bullet"/>
      <w:lvlText w:val="•"/>
      <w:lvlJc w:val="left"/>
      <w:pPr>
        <w:ind w:left="3242" w:hanging="96"/>
      </w:pPr>
      <w:rPr>
        <w:rFonts w:hint="default"/>
        <w:lang w:val="es-ES" w:eastAsia="es-ES" w:bidi="es-ES"/>
      </w:rPr>
    </w:lvl>
    <w:lvl w:ilvl="6">
      <w:start w:val="0"/>
      <w:numFmt w:val="bullet"/>
      <w:lvlText w:val="•"/>
      <w:lvlJc w:val="left"/>
      <w:pPr>
        <w:ind w:left="3862" w:hanging="96"/>
      </w:pPr>
      <w:rPr>
        <w:rFonts w:hint="default"/>
        <w:lang w:val="es-ES" w:eastAsia="es-ES" w:bidi="es-ES"/>
      </w:rPr>
    </w:lvl>
    <w:lvl w:ilvl="7">
      <w:start w:val="0"/>
      <w:numFmt w:val="bullet"/>
      <w:lvlText w:val="•"/>
      <w:lvlJc w:val="left"/>
      <w:pPr>
        <w:ind w:left="4482" w:hanging="96"/>
      </w:pPr>
      <w:rPr>
        <w:rFonts w:hint="default"/>
        <w:lang w:val="es-ES" w:eastAsia="es-ES" w:bidi="es-ES"/>
      </w:rPr>
    </w:lvl>
    <w:lvl w:ilvl="8">
      <w:start w:val="0"/>
      <w:numFmt w:val="bullet"/>
      <w:lvlText w:val="•"/>
      <w:lvlJc w:val="left"/>
      <w:pPr>
        <w:ind w:left="5103" w:hanging="96"/>
      </w:pPr>
      <w:rPr>
        <w:rFonts w:hint="default"/>
        <w:lang w:val="es-ES" w:eastAsia="es-ES" w:bidi="es-ES"/>
      </w:rPr>
    </w:lvl>
  </w:abstractNum>
  <w:abstractNum w:abstractNumId="464">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63">
    <w:multiLevelType w:val="hybridMultilevel"/>
    <w:lvl w:ilvl="0">
      <w:start w:val="0"/>
      <w:numFmt w:val="bullet"/>
      <w:lvlText w:val="–"/>
      <w:lvlJc w:val="left"/>
      <w:pPr>
        <w:ind w:left="131" w:hanging="96"/>
      </w:pPr>
      <w:rPr>
        <w:rFonts w:hint="default" w:ascii="Arial" w:hAnsi="Arial" w:eastAsia="Arial" w:cs="Arial"/>
        <w:w w:val="78"/>
        <w:sz w:val="14"/>
        <w:szCs w:val="14"/>
        <w:lang w:val="es-ES" w:eastAsia="es-ES" w:bidi="es-ES"/>
      </w:rPr>
    </w:lvl>
    <w:lvl w:ilvl="1">
      <w:start w:val="0"/>
      <w:numFmt w:val="bullet"/>
      <w:lvlText w:val="•"/>
      <w:lvlJc w:val="left"/>
      <w:pPr>
        <w:ind w:left="760" w:hanging="96"/>
      </w:pPr>
      <w:rPr>
        <w:rFonts w:hint="default"/>
        <w:lang w:val="es-ES" w:eastAsia="es-ES" w:bidi="es-ES"/>
      </w:rPr>
    </w:lvl>
    <w:lvl w:ilvl="2">
      <w:start w:val="0"/>
      <w:numFmt w:val="bullet"/>
      <w:lvlText w:val="•"/>
      <w:lvlJc w:val="left"/>
      <w:pPr>
        <w:ind w:left="1380" w:hanging="96"/>
      </w:pPr>
      <w:rPr>
        <w:rFonts w:hint="default"/>
        <w:lang w:val="es-ES" w:eastAsia="es-ES" w:bidi="es-ES"/>
      </w:rPr>
    </w:lvl>
    <w:lvl w:ilvl="3">
      <w:start w:val="0"/>
      <w:numFmt w:val="bullet"/>
      <w:lvlText w:val="•"/>
      <w:lvlJc w:val="left"/>
      <w:pPr>
        <w:ind w:left="2001" w:hanging="96"/>
      </w:pPr>
      <w:rPr>
        <w:rFonts w:hint="default"/>
        <w:lang w:val="es-ES" w:eastAsia="es-ES" w:bidi="es-ES"/>
      </w:rPr>
    </w:lvl>
    <w:lvl w:ilvl="4">
      <w:start w:val="0"/>
      <w:numFmt w:val="bullet"/>
      <w:lvlText w:val="•"/>
      <w:lvlJc w:val="left"/>
      <w:pPr>
        <w:ind w:left="2621" w:hanging="96"/>
      </w:pPr>
      <w:rPr>
        <w:rFonts w:hint="default"/>
        <w:lang w:val="es-ES" w:eastAsia="es-ES" w:bidi="es-ES"/>
      </w:rPr>
    </w:lvl>
    <w:lvl w:ilvl="5">
      <w:start w:val="0"/>
      <w:numFmt w:val="bullet"/>
      <w:lvlText w:val="•"/>
      <w:lvlJc w:val="left"/>
      <w:pPr>
        <w:ind w:left="3242" w:hanging="96"/>
      </w:pPr>
      <w:rPr>
        <w:rFonts w:hint="default"/>
        <w:lang w:val="es-ES" w:eastAsia="es-ES" w:bidi="es-ES"/>
      </w:rPr>
    </w:lvl>
    <w:lvl w:ilvl="6">
      <w:start w:val="0"/>
      <w:numFmt w:val="bullet"/>
      <w:lvlText w:val="•"/>
      <w:lvlJc w:val="left"/>
      <w:pPr>
        <w:ind w:left="3862" w:hanging="96"/>
      </w:pPr>
      <w:rPr>
        <w:rFonts w:hint="default"/>
        <w:lang w:val="es-ES" w:eastAsia="es-ES" w:bidi="es-ES"/>
      </w:rPr>
    </w:lvl>
    <w:lvl w:ilvl="7">
      <w:start w:val="0"/>
      <w:numFmt w:val="bullet"/>
      <w:lvlText w:val="•"/>
      <w:lvlJc w:val="left"/>
      <w:pPr>
        <w:ind w:left="4482" w:hanging="96"/>
      </w:pPr>
      <w:rPr>
        <w:rFonts w:hint="default"/>
        <w:lang w:val="es-ES" w:eastAsia="es-ES" w:bidi="es-ES"/>
      </w:rPr>
    </w:lvl>
    <w:lvl w:ilvl="8">
      <w:start w:val="0"/>
      <w:numFmt w:val="bullet"/>
      <w:lvlText w:val="•"/>
      <w:lvlJc w:val="left"/>
      <w:pPr>
        <w:ind w:left="5103" w:hanging="96"/>
      </w:pPr>
      <w:rPr>
        <w:rFonts w:hint="default"/>
        <w:lang w:val="es-ES" w:eastAsia="es-ES" w:bidi="es-ES"/>
      </w:rPr>
    </w:lvl>
  </w:abstractNum>
  <w:abstractNum w:abstractNumId="462">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61">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60">
    <w:multiLevelType w:val="hybridMultilevel"/>
    <w:lvl w:ilvl="0">
      <w:start w:val="0"/>
      <w:numFmt w:val="bullet"/>
      <w:lvlText w:val="–"/>
      <w:lvlJc w:val="left"/>
      <w:pPr>
        <w:ind w:left="131" w:hanging="96"/>
      </w:pPr>
      <w:rPr>
        <w:rFonts w:hint="default" w:ascii="Arial" w:hAnsi="Arial" w:eastAsia="Arial" w:cs="Arial"/>
        <w:w w:val="78"/>
        <w:sz w:val="14"/>
        <w:szCs w:val="14"/>
        <w:lang w:val="es-ES" w:eastAsia="es-ES" w:bidi="es-ES"/>
      </w:rPr>
    </w:lvl>
    <w:lvl w:ilvl="1">
      <w:start w:val="0"/>
      <w:numFmt w:val="bullet"/>
      <w:lvlText w:val="•"/>
      <w:lvlJc w:val="left"/>
      <w:pPr>
        <w:ind w:left="760" w:hanging="96"/>
      </w:pPr>
      <w:rPr>
        <w:rFonts w:hint="default"/>
        <w:lang w:val="es-ES" w:eastAsia="es-ES" w:bidi="es-ES"/>
      </w:rPr>
    </w:lvl>
    <w:lvl w:ilvl="2">
      <w:start w:val="0"/>
      <w:numFmt w:val="bullet"/>
      <w:lvlText w:val="•"/>
      <w:lvlJc w:val="left"/>
      <w:pPr>
        <w:ind w:left="1380" w:hanging="96"/>
      </w:pPr>
      <w:rPr>
        <w:rFonts w:hint="default"/>
        <w:lang w:val="es-ES" w:eastAsia="es-ES" w:bidi="es-ES"/>
      </w:rPr>
    </w:lvl>
    <w:lvl w:ilvl="3">
      <w:start w:val="0"/>
      <w:numFmt w:val="bullet"/>
      <w:lvlText w:val="•"/>
      <w:lvlJc w:val="left"/>
      <w:pPr>
        <w:ind w:left="2001" w:hanging="96"/>
      </w:pPr>
      <w:rPr>
        <w:rFonts w:hint="default"/>
        <w:lang w:val="es-ES" w:eastAsia="es-ES" w:bidi="es-ES"/>
      </w:rPr>
    </w:lvl>
    <w:lvl w:ilvl="4">
      <w:start w:val="0"/>
      <w:numFmt w:val="bullet"/>
      <w:lvlText w:val="•"/>
      <w:lvlJc w:val="left"/>
      <w:pPr>
        <w:ind w:left="2621" w:hanging="96"/>
      </w:pPr>
      <w:rPr>
        <w:rFonts w:hint="default"/>
        <w:lang w:val="es-ES" w:eastAsia="es-ES" w:bidi="es-ES"/>
      </w:rPr>
    </w:lvl>
    <w:lvl w:ilvl="5">
      <w:start w:val="0"/>
      <w:numFmt w:val="bullet"/>
      <w:lvlText w:val="•"/>
      <w:lvlJc w:val="left"/>
      <w:pPr>
        <w:ind w:left="3242" w:hanging="96"/>
      </w:pPr>
      <w:rPr>
        <w:rFonts w:hint="default"/>
        <w:lang w:val="es-ES" w:eastAsia="es-ES" w:bidi="es-ES"/>
      </w:rPr>
    </w:lvl>
    <w:lvl w:ilvl="6">
      <w:start w:val="0"/>
      <w:numFmt w:val="bullet"/>
      <w:lvlText w:val="•"/>
      <w:lvlJc w:val="left"/>
      <w:pPr>
        <w:ind w:left="3862" w:hanging="96"/>
      </w:pPr>
      <w:rPr>
        <w:rFonts w:hint="default"/>
        <w:lang w:val="es-ES" w:eastAsia="es-ES" w:bidi="es-ES"/>
      </w:rPr>
    </w:lvl>
    <w:lvl w:ilvl="7">
      <w:start w:val="0"/>
      <w:numFmt w:val="bullet"/>
      <w:lvlText w:val="•"/>
      <w:lvlJc w:val="left"/>
      <w:pPr>
        <w:ind w:left="4482" w:hanging="96"/>
      </w:pPr>
      <w:rPr>
        <w:rFonts w:hint="default"/>
        <w:lang w:val="es-ES" w:eastAsia="es-ES" w:bidi="es-ES"/>
      </w:rPr>
    </w:lvl>
    <w:lvl w:ilvl="8">
      <w:start w:val="0"/>
      <w:numFmt w:val="bullet"/>
      <w:lvlText w:val="•"/>
      <w:lvlJc w:val="left"/>
      <w:pPr>
        <w:ind w:left="5103" w:hanging="96"/>
      </w:pPr>
      <w:rPr>
        <w:rFonts w:hint="default"/>
        <w:lang w:val="es-ES" w:eastAsia="es-ES" w:bidi="es-ES"/>
      </w:rPr>
    </w:lvl>
  </w:abstractNum>
  <w:abstractNum w:abstractNumId="459">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58">
    <w:multiLevelType w:val="hybridMultilevel"/>
    <w:lvl w:ilvl="0">
      <w:start w:val="0"/>
      <w:numFmt w:val="bullet"/>
      <w:lvlText w:val="–"/>
      <w:lvlJc w:val="left"/>
      <w:pPr>
        <w:ind w:left="131" w:hanging="96"/>
      </w:pPr>
      <w:rPr>
        <w:rFonts w:hint="default" w:ascii="Arial" w:hAnsi="Arial" w:eastAsia="Arial" w:cs="Arial"/>
        <w:w w:val="78"/>
        <w:sz w:val="14"/>
        <w:szCs w:val="14"/>
        <w:lang w:val="es-ES" w:eastAsia="es-ES" w:bidi="es-ES"/>
      </w:rPr>
    </w:lvl>
    <w:lvl w:ilvl="1">
      <w:start w:val="0"/>
      <w:numFmt w:val="bullet"/>
      <w:lvlText w:val="•"/>
      <w:lvlJc w:val="left"/>
      <w:pPr>
        <w:ind w:left="760" w:hanging="96"/>
      </w:pPr>
      <w:rPr>
        <w:rFonts w:hint="default"/>
        <w:lang w:val="es-ES" w:eastAsia="es-ES" w:bidi="es-ES"/>
      </w:rPr>
    </w:lvl>
    <w:lvl w:ilvl="2">
      <w:start w:val="0"/>
      <w:numFmt w:val="bullet"/>
      <w:lvlText w:val="•"/>
      <w:lvlJc w:val="left"/>
      <w:pPr>
        <w:ind w:left="1380" w:hanging="96"/>
      </w:pPr>
      <w:rPr>
        <w:rFonts w:hint="default"/>
        <w:lang w:val="es-ES" w:eastAsia="es-ES" w:bidi="es-ES"/>
      </w:rPr>
    </w:lvl>
    <w:lvl w:ilvl="3">
      <w:start w:val="0"/>
      <w:numFmt w:val="bullet"/>
      <w:lvlText w:val="•"/>
      <w:lvlJc w:val="left"/>
      <w:pPr>
        <w:ind w:left="2001" w:hanging="96"/>
      </w:pPr>
      <w:rPr>
        <w:rFonts w:hint="default"/>
        <w:lang w:val="es-ES" w:eastAsia="es-ES" w:bidi="es-ES"/>
      </w:rPr>
    </w:lvl>
    <w:lvl w:ilvl="4">
      <w:start w:val="0"/>
      <w:numFmt w:val="bullet"/>
      <w:lvlText w:val="•"/>
      <w:lvlJc w:val="left"/>
      <w:pPr>
        <w:ind w:left="2621" w:hanging="96"/>
      </w:pPr>
      <w:rPr>
        <w:rFonts w:hint="default"/>
        <w:lang w:val="es-ES" w:eastAsia="es-ES" w:bidi="es-ES"/>
      </w:rPr>
    </w:lvl>
    <w:lvl w:ilvl="5">
      <w:start w:val="0"/>
      <w:numFmt w:val="bullet"/>
      <w:lvlText w:val="•"/>
      <w:lvlJc w:val="left"/>
      <w:pPr>
        <w:ind w:left="3242" w:hanging="96"/>
      </w:pPr>
      <w:rPr>
        <w:rFonts w:hint="default"/>
        <w:lang w:val="es-ES" w:eastAsia="es-ES" w:bidi="es-ES"/>
      </w:rPr>
    </w:lvl>
    <w:lvl w:ilvl="6">
      <w:start w:val="0"/>
      <w:numFmt w:val="bullet"/>
      <w:lvlText w:val="•"/>
      <w:lvlJc w:val="left"/>
      <w:pPr>
        <w:ind w:left="3862" w:hanging="96"/>
      </w:pPr>
      <w:rPr>
        <w:rFonts w:hint="default"/>
        <w:lang w:val="es-ES" w:eastAsia="es-ES" w:bidi="es-ES"/>
      </w:rPr>
    </w:lvl>
    <w:lvl w:ilvl="7">
      <w:start w:val="0"/>
      <w:numFmt w:val="bullet"/>
      <w:lvlText w:val="•"/>
      <w:lvlJc w:val="left"/>
      <w:pPr>
        <w:ind w:left="4482" w:hanging="96"/>
      </w:pPr>
      <w:rPr>
        <w:rFonts w:hint="default"/>
        <w:lang w:val="es-ES" w:eastAsia="es-ES" w:bidi="es-ES"/>
      </w:rPr>
    </w:lvl>
    <w:lvl w:ilvl="8">
      <w:start w:val="0"/>
      <w:numFmt w:val="bullet"/>
      <w:lvlText w:val="•"/>
      <w:lvlJc w:val="left"/>
      <w:pPr>
        <w:ind w:left="5103" w:hanging="96"/>
      </w:pPr>
      <w:rPr>
        <w:rFonts w:hint="default"/>
        <w:lang w:val="es-ES" w:eastAsia="es-ES" w:bidi="es-ES"/>
      </w:rPr>
    </w:lvl>
  </w:abstractNum>
  <w:abstractNum w:abstractNumId="457">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56">
    <w:multiLevelType w:val="hybridMultilevel"/>
    <w:lvl w:ilvl="0">
      <w:start w:val="0"/>
      <w:numFmt w:val="bullet"/>
      <w:lvlText w:val="–"/>
      <w:lvlJc w:val="left"/>
      <w:pPr>
        <w:ind w:left="131" w:hanging="96"/>
      </w:pPr>
      <w:rPr>
        <w:rFonts w:hint="default" w:ascii="Arial" w:hAnsi="Arial" w:eastAsia="Arial" w:cs="Arial"/>
        <w:w w:val="78"/>
        <w:sz w:val="14"/>
        <w:szCs w:val="14"/>
        <w:lang w:val="es-ES" w:eastAsia="es-ES" w:bidi="es-ES"/>
      </w:rPr>
    </w:lvl>
    <w:lvl w:ilvl="1">
      <w:start w:val="0"/>
      <w:numFmt w:val="bullet"/>
      <w:lvlText w:val="•"/>
      <w:lvlJc w:val="left"/>
      <w:pPr>
        <w:ind w:left="760" w:hanging="96"/>
      </w:pPr>
      <w:rPr>
        <w:rFonts w:hint="default"/>
        <w:lang w:val="es-ES" w:eastAsia="es-ES" w:bidi="es-ES"/>
      </w:rPr>
    </w:lvl>
    <w:lvl w:ilvl="2">
      <w:start w:val="0"/>
      <w:numFmt w:val="bullet"/>
      <w:lvlText w:val="•"/>
      <w:lvlJc w:val="left"/>
      <w:pPr>
        <w:ind w:left="1380" w:hanging="96"/>
      </w:pPr>
      <w:rPr>
        <w:rFonts w:hint="default"/>
        <w:lang w:val="es-ES" w:eastAsia="es-ES" w:bidi="es-ES"/>
      </w:rPr>
    </w:lvl>
    <w:lvl w:ilvl="3">
      <w:start w:val="0"/>
      <w:numFmt w:val="bullet"/>
      <w:lvlText w:val="•"/>
      <w:lvlJc w:val="left"/>
      <w:pPr>
        <w:ind w:left="2001" w:hanging="96"/>
      </w:pPr>
      <w:rPr>
        <w:rFonts w:hint="default"/>
        <w:lang w:val="es-ES" w:eastAsia="es-ES" w:bidi="es-ES"/>
      </w:rPr>
    </w:lvl>
    <w:lvl w:ilvl="4">
      <w:start w:val="0"/>
      <w:numFmt w:val="bullet"/>
      <w:lvlText w:val="•"/>
      <w:lvlJc w:val="left"/>
      <w:pPr>
        <w:ind w:left="2621" w:hanging="96"/>
      </w:pPr>
      <w:rPr>
        <w:rFonts w:hint="default"/>
        <w:lang w:val="es-ES" w:eastAsia="es-ES" w:bidi="es-ES"/>
      </w:rPr>
    </w:lvl>
    <w:lvl w:ilvl="5">
      <w:start w:val="0"/>
      <w:numFmt w:val="bullet"/>
      <w:lvlText w:val="•"/>
      <w:lvlJc w:val="left"/>
      <w:pPr>
        <w:ind w:left="3242" w:hanging="96"/>
      </w:pPr>
      <w:rPr>
        <w:rFonts w:hint="default"/>
        <w:lang w:val="es-ES" w:eastAsia="es-ES" w:bidi="es-ES"/>
      </w:rPr>
    </w:lvl>
    <w:lvl w:ilvl="6">
      <w:start w:val="0"/>
      <w:numFmt w:val="bullet"/>
      <w:lvlText w:val="•"/>
      <w:lvlJc w:val="left"/>
      <w:pPr>
        <w:ind w:left="3862" w:hanging="96"/>
      </w:pPr>
      <w:rPr>
        <w:rFonts w:hint="default"/>
        <w:lang w:val="es-ES" w:eastAsia="es-ES" w:bidi="es-ES"/>
      </w:rPr>
    </w:lvl>
    <w:lvl w:ilvl="7">
      <w:start w:val="0"/>
      <w:numFmt w:val="bullet"/>
      <w:lvlText w:val="•"/>
      <w:lvlJc w:val="left"/>
      <w:pPr>
        <w:ind w:left="4482" w:hanging="96"/>
      </w:pPr>
      <w:rPr>
        <w:rFonts w:hint="default"/>
        <w:lang w:val="es-ES" w:eastAsia="es-ES" w:bidi="es-ES"/>
      </w:rPr>
    </w:lvl>
    <w:lvl w:ilvl="8">
      <w:start w:val="0"/>
      <w:numFmt w:val="bullet"/>
      <w:lvlText w:val="•"/>
      <w:lvlJc w:val="left"/>
      <w:pPr>
        <w:ind w:left="5103" w:hanging="96"/>
      </w:pPr>
      <w:rPr>
        <w:rFonts w:hint="default"/>
        <w:lang w:val="es-ES" w:eastAsia="es-ES" w:bidi="es-ES"/>
      </w:rPr>
    </w:lvl>
  </w:abstractNum>
  <w:abstractNum w:abstractNumId="455">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54">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53">
    <w:multiLevelType w:val="hybridMultilevel"/>
    <w:lvl w:ilvl="0">
      <w:start w:val="0"/>
      <w:numFmt w:val="bullet"/>
      <w:lvlText w:val="–"/>
      <w:lvlJc w:val="left"/>
      <w:pPr>
        <w:ind w:left="36" w:hanging="96"/>
      </w:pPr>
      <w:rPr>
        <w:rFonts w:hint="default" w:ascii="Arial" w:hAnsi="Arial" w:eastAsia="Arial" w:cs="Arial"/>
        <w:w w:val="78"/>
        <w:sz w:val="14"/>
        <w:szCs w:val="14"/>
        <w:lang w:val="es-ES" w:eastAsia="es-ES" w:bidi="es-ES"/>
      </w:rPr>
    </w:lvl>
    <w:lvl w:ilvl="1">
      <w:start w:val="0"/>
      <w:numFmt w:val="bullet"/>
      <w:lvlText w:val="•"/>
      <w:lvlJc w:val="left"/>
      <w:pPr>
        <w:ind w:left="670" w:hanging="96"/>
      </w:pPr>
      <w:rPr>
        <w:rFonts w:hint="default"/>
        <w:lang w:val="es-ES" w:eastAsia="es-ES" w:bidi="es-ES"/>
      </w:rPr>
    </w:lvl>
    <w:lvl w:ilvl="2">
      <w:start w:val="0"/>
      <w:numFmt w:val="bullet"/>
      <w:lvlText w:val="•"/>
      <w:lvlJc w:val="left"/>
      <w:pPr>
        <w:ind w:left="1300" w:hanging="96"/>
      </w:pPr>
      <w:rPr>
        <w:rFonts w:hint="default"/>
        <w:lang w:val="es-ES" w:eastAsia="es-ES" w:bidi="es-ES"/>
      </w:rPr>
    </w:lvl>
    <w:lvl w:ilvl="3">
      <w:start w:val="0"/>
      <w:numFmt w:val="bullet"/>
      <w:lvlText w:val="•"/>
      <w:lvlJc w:val="left"/>
      <w:pPr>
        <w:ind w:left="1931" w:hanging="96"/>
      </w:pPr>
      <w:rPr>
        <w:rFonts w:hint="default"/>
        <w:lang w:val="es-ES" w:eastAsia="es-ES" w:bidi="es-ES"/>
      </w:rPr>
    </w:lvl>
    <w:lvl w:ilvl="4">
      <w:start w:val="0"/>
      <w:numFmt w:val="bullet"/>
      <w:lvlText w:val="•"/>
      <w:lvlJc w:val="left"/>
      <w:pPr>
        <w:ind w:left="2561" w:hanging="96"/>
      </w:pPr>
      <w:rPr>
        <w:rFonts w:hint="default"/>
        <w:lang w:val="es-ES" w:eastAsia="es-ES" w:bidi="es-ES"/>
      </w:rPr>
    </w:lvl>
    <w:lvl w:ilvl="5">
      <w:start w:val="0"/>
      <w:numFmt w:val="bullet"/>
      <w:lvlText w:val="•"/>
      <w:lvlJc w:val="left"/>
      <w:pPr>
        <w:ind w:left="3192" w:hanging="96"/>
      </w:pPr>
      <w:rPr>
        <w:rFonts w:hint="default"/>
        <w:lang w:val="es-ES" w:eastAsia="es-ES" w:bidi="es-ES"/>
      </w:rPr>
    </w:lvl>
    <w:lvl w:ilvl="6">
      <w:start w:val="0"/>
      <w:numFmt w:val="bullet"/>
      <w:lvlText w:val="•"/>
      <w:lvlJc w:val="left"/>
      <w:pPr>
        <w:ind w:left="3822" w:hanging="96"/>
      </w:pPr>
      <w:rPr>
        <w:rFonts w:hint="default"/>
        <w:lang w:val="es-ES" w:eastAsia="es-ES" w:bidi="es-ES"/>
      </w:rPr>
    </w:lvl>
    <w:lvl w:ilvl="7">
      <w:start w:val="0"/>
      <w:numFmt w:val="bullet"/>
      <w:lvlText w:val="•"/>
      <w:lvlJc w:val="left"/>
      <w:pPr>
        <w:ind w:left="4452" w:hanging="96"/>
      </w:pPr>
      <w:rPr>
        <w:rFonts w:hint="default"/>
        <w:lang w:val="es-ES" w:eastAsia="es-ES" w:bidi="es-ES"/>
      </w:rPr>
    </w:lvl>
    <w:lvl w:ilvl="8">
      <w:start w:val="0"/>
      <w:numFmt w:val="bullet"/>
      <w:lvlText w:val="•"/>
      <w:lvlJc w:val="left"/>
      <w:pPr>
        <w:ind w:left="5083" w:hanging="96"/>
      </w:pPr>
      <w:rPr>
        <w:rFonts w:hint="default"/>
        <w:lang w:val="es-ES" w:eastAsia="es-ES" w:bidi="es-ES"/>
      </w:rPr>
    </w:lvl>
  </w:abstractNum>
  <w:abstractNum w:abstractNumId="452">
    <w:multiLevelType w:val="hybridMultilevel"/>
    <w:lvl w:ilvl="0">
      <w:start w:val="1"/>
      <w:numFmt w:val="decimal"/>
      <w:lvlText w:val="%1."/>
      <w:lvlJc w:val="left"/>
      <w:pPr>
        <w:ind w:left="1643" w:hanging="23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0"/>
      </w:pPr>
      <w:rPr>
        <w:rFonts w:hint="default"/>
        <w:lang w:val="es-ES" w:eastAsia="es-ES" w:bidi="es-ES"/>
      </w:rPr>
    </w:lvl>
    <w:lvl w:ilvl="2">
      <w:start w:val="0"/>
      <w:numFmt w:val="bullet"/>
      <w:lvlText w:val="•"/>
      <w:lvlJc w:val="left"/>
      <w:pPr>
        <w:ind w:left="3437" w:hanging="230"/>
      </w:pPr>
      <w:rPr>
        <w:rFonts w:hint="default"/>
        <w:lang w:val="es-ES" w:eastAsia="es-ES" w:bidi="es-ES"/>
      </w:rPr>
    </w:lvl>
    <w:lvl w:ilvl="3">
      <w:start w:val="0"/>
      <w:numFmt w:val="bullet"/>
      <w:lvlText w:val="•"/>
      <w:lvlJc w:val="left"/>
      <w:pPr>
        <w:ind w:left="4335" w:hanging="230"/>
      </w:pPr>
      <w:rPr>
        <w:rFonts w:hint="default"/>
        <w:lang w:val="es-ES" w:eastAsia="es-ES" w:bidi="es-ES"/>
      </w:rPr>
    </w:lvl>
    <w:lvl w:ilvl="4">
      <w:start w:val="0"/>
      <w:numFmt w:val="bullet"/>
      <w:lvlText w:val="•"/>
      <w:lvlJc w:val="left"/>
      <w:pPr>
        <w:ind w:left="5234" w:hanging="230"/>
      </w:pPr>
      <w:rPr>
        <w:rFonts w:hint="default"/>
        <w:lang w:val="es-ES" w:eastAsia="es-ES" w:bidi="es-ES"/>
      </w:rPr>
    </w:lvl>
    <w:lvl w:ilvl="5">
      <w:start w:val="0"/>
      <w:numFmt w:val="bullet"/>
      <w:lvlText w:val="•"/>
      <w:lvlJc w:val="left"/>
      <w:pPr>
        <w:ind w:left="6132" w:hanging="230"/>
      </w:pPr>
      <w:rPr>
        <w:rFonts w:hint="default"/>
        <w:lang w:val="es-ES" w:eastAsia="es-ES" w:bidi="es-ES"/>
      </w:rPr>
    </w:lvl>
    <w:lvl w:ilvl="6">
      <w:start w:val="0"/>
      <w:numFmt w:val="bullet"/>
      <w:lvlText w:val="•"/>
      <w:lvlJc w:val="left"/>
      <w:pPr>
        <w:ind w:left="7031" w:hanging="230"/>
      </w:pPr>
      <w:rPr>
        <w:rFonts w:hint="default"/>
        <w:lang w:val="es-ES" w:eastAsia="es-ES" w:bidi="es-ES"/>
      </w:rPr>
    </w:lvl>
    <w:lvl w:ilvl="7">
      <w:start w:val="0"/>
      <w:numFmt w:val="bullet"/>
      <w:lvlText w:val="•"/>
      <w:lvlJc w:val="left"/>
      <w:pPr>
        <w:ind w:left="7929" w:hanging="230"/>
      </w:pPr>
      <w:rPr>
        <w:rFonts w:hint="default"/>
        <w:lang w:val="es-ES" w:eastAsia="es-ES" w:bidi="es-ES"/>
      </w:rPr>
    </w:lvl>
    <w:lvl w:ilvl="8">
      <w:start w:val="0"/>
      <w:numFmt w:val="bullet"/>
      <w:lvlText w:val="•"/>
      <w:lvlJc w:val="left"/>
      <w:pPr>
        <w:ind w:left="8828" w:hanging="230"/>
      </w:pPr>
      <w:rPr>
        <w:rFonts w:hint="default"/>
        <w:lang w:val="es-ES" w:eastAsia="es-ES" w:bidi="es-ES"/>
      </w:rPr>
    </w:lvl>
  </w:abstractNum>
  <w:abstractNum w:abstractNumId="451">
    <w:multiLevelType w:val="hybridMultilevel"/>
    <w:lvl w:ilvl="0">
      <w:start w:val="1"/>
      <w:numFmt w:val="decimal"/>
      <w:lvlText w:val="%1."/>
      <w:lvlJc w:val="left"/>
      <w:pPr>
        <w:ind w:left="1074" w:hanging="23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2"/>
      </w:pPr>
      <w:rPr>
        <w:rFonts w:hint="default"/>
        <w:lang w:val="es-ES" w:eastAsia="es-ES" w:bidi="es-ES"/>
      </w:rPr>
    </w:lvl>
    <w:lvl w:ilvl="2">
      <w:start w:val="0"/>
      <w:numFmt w:val="bullet"/>
      <w:lvlText w:val="•"/>
      <w:lvlJc w:val="left"/>
      <w:pPr>
        <w:ind w:left="2989" w:hanging="232"/>
      </w:pPr>
      <w:rPr>
        <w:rFonts w:hint="default"/>
        <w:lang w:val="es-ES" w:eastAsia="es-ES" w:bidi="es-ES"/>
      </w:rPr>
    </w:lvl>
    <w:lvl w:ilvl="3">
      <w:start w:val="0"/>
      <w:numFmt w:val="bullet"/>
      <w:lvlText w:val="•"/>
      <w:lvlJc w:val="left"/>
      <w:pPr>
        <w:ind w:left="3943" w:hanging="232"/>
      </w:pPr>
      <w:rPr>
        <w:rFonts w:hint="default"/>
        <w:lang w:val="es-ES" w:eastAsia="es-ES" w:bidi="es-ES"/>
      </w:rPr>
    </w:lvl>
    <w:lvl w:ilvl="4">
      <w:start w:val="0"/>
      <w:numFmt w:val="bullet"/>
      <w:lvlText w:val="•"/>
      <w:lvlJc w:val="left"/>
      <w:pPr>
        <w:ind w:left="4898" w:hanging="232"/>
      </w:pPr>
      <w:rPr>
        <w:rFonts w:hint="default"/>
        <w:lang w:val="es-ES" w:eastAsia="es-ES" w:bidi="es-ES"/>
      </w:rPr>
    </w:lvl>
    <w:lvl w:ilvl="5">
      <w:start w:val="0"/>
      <w:numFmt w:val="bullet"/>
      <w:lvlText w:val="•"/>
      <w:lvlJc w:val="left"/>
      <w:pPr>
        <w:ind w:left="5852" w:hanging="232"/>
      </w:pPr>
      <w:rPr>
        <w:rFonts w:hint="default"/>
        <w:lang w:val="es-ES" w:eastAsia="es-ES" w:bidi="es-ES"/>
      </w:rPr>
    </w:lvl>
    <w:lvl w:ilvl="6">
      <w:start w:val="0"/>
      <w:numFmt w:val="bullet"/>
      <w:lvlText w:val="•"/>
      <w:lvlJc w:val="left"/>
      <w:pPr>
        <w:ind w:left="6807" w:hanging="232"/>
      </w:pPr>
      <w:rPr>
        <w:rFonts w:hint="default"/>
        <w:lang w:val="es-ES" w:eastAsia="es-ES" w:bidi="es-ES"/>
      </w:rPr>
    </w:lvl>
    <w:lvl w:ilvl="7">
      <w:start w:val="0"/>
      <w:numFmt w:val="bullet"/>
      <w:lvlText w:val="•"/>
      <w:lvlJc w:val="left"/>
      <w:pPr>
        <w:ind w:left="7761" w:hanging="232"/>
      </w:pPr>
      <w:rPr>
        <w:rFonts w:hint="default"/>
        <w:lang w:val="es-ES" w:eastAsia="es-ES" w:bidi="es-ES"/>
      </w:rPr>
    </w:lvl>
    <w:lvl w:ilvl="8">
      <w:start w:val="0"/>
      <w:numFmt w:val="bullet"/>
      <w:lvlText w:val="•"/>
      <w:lvlJc w:val="left"/>
      <w:pPr>
        <w:ind w:left="8716" w:hanging="232"/>
      </w:pPr>
      <w:rPr>
        <w:rFonts w:hint="default"/>
        <w:lang w:val="es-ES" w:eastAsia="es-ES" w:bidi="es-ES"/>
      </w:rPr>
    </w:lvl>
  </w:abstractNum>
  <w:abstractNum w:abstractNumId="450">
    <w:multiLevelType w:val="hybridMultilevel"/>
    <w:lvl w:ilvl="0">
      <w:start w:val="1"/>
      <w:numFmt w:val="decimal"/>
      <w:lvlText w:val="%1."/>
      <w:lvlJc w:val="left"/>
      <w:pPr>
        <w:ind w:left="1074" w:hanging="22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5"/>
      </w:pPr>
      <w:rPr>
        <w:rFonts w:hint="default"/>
        <w:lang w:val="es-ES" w:eastAsia="es-ES" w:bidi="es-ES"/>
      </w:rPr>
    </w:lvl>
    <w:lvl w:ilvl="2">
      <w:start w:val="0"/>
      <w:numFmt w:val="bullet"/>
      <w:lvlText w:val="•"/>
      <w:lvlJc w:val="left"/>
      <w:pPr>
        <w:ind w:left="2989" w:hanging="225"/>
      </w:pPr>
      <w:rPr>
        <w:rFonts w:hint="default"/>
        <w:lang w:val="es-ES" w:eastAsia="es-ES" w:bidi="es-ES"/>
      </w:rPr>
    </w:lvl>
    <w:lvl w:ilvl="3">
      <w:start w:val="0"/>
      <w:numFmt w:val="bullet"/>
      <w:lvlText w:val="•"/>
      <w:lvlJc w:val="left"/>
      <w:pPr>
        <w:ind w:left="3943" w:hanging="225"/>
      </w:pPr>
      <w:rPr>
        <w:rFonts w:hint="default"/>
        <w:lang w:val="es-ES" w:eastAsia="es-ES" w:bidi="es-ES"/>
      </w:rPr>
    </w:lvl>
    <w:lvl w:ilvl="4">
      <w:start w:val="0"/>
      <w:numFmt w:val="bullet"/>
      <w:lvlText w:val="•"/>
      <w:lvlJc w:val="left"/>
      <w:pPr>
        <w:ind w:left="4898" w:hanging="225"/>
      </w:pPr>
      <w:rPr>
        <w:rFonts w:hint="default"/>
        <w:lang w:val="es-ES" w:eastAsia="es-ES" w:bidi="es-ES"/>
      </w:rPr>
    </w:lvl>
    <w:lvl w:ilvl="5">
      <w:start w:val="0"/>
      <w:numFmt w:val="bullet"/>
      <w:lvlText w:val="•"/>
      <w:lvlJc w:val="left"/>
      <w:pPr>
        <w:ind w:left="5852" w:hanging="225"/>
      </w:pPr>
      <w:rPr>
        <w:rFonts w:hint="default"/>
        <w:lang w:val="es-ES" w:eastAsia="es-ES" w:bidi="es-ES"/>
      </w:rPr>
    </w:lvl>
    <w:lvl w:ilvl="6">
      <w:start w:val="0"/>
      <w:numFmt w:val="bullet"/>
      <w:lvlText w:val="•"/>
      <w:lvlJc w:val="left"/>
      <w:pPr>
        <w:ind w:left="6807" w:hanging="225"/>
      </w:pPr>
      <w:rPr>
        <w:rFonts w:hint="default"/>
        <w:lang w:val="es-ES" w:eastAsia="es-ES" w:bidi="es-ES"/>
      </w:rPr>
    </w:lvl>
    <w:lvl w:ilvl="7">
      <w:start w:val="0"/>
      <w:numFmt w:val="bullet"/>
      <w:lvlText w:val="•"/>
      <w:lvlJc w:val="left"/>
      <w:pPr>
        <w:ind w:left="7761" w:hanging="225"/>
      </w:pPr>
      <w:rPr>
        <w:rFonts w:hint="default"/>
        <w:lang w:val="es-ES" w:eastAsia="es-ES" w:bidi="es-ES"/>
      </w:rPr>
    </w:lvl>
    <w:lvl w:ilvl="8">
      <w:start w:val="0"/>
      <w:numFmt w:val="bullet"/>
      <w:lvlText w:val="•"/>
      <w:lvlJc w:val="left"/>
      <w:pPr>
        <w:ind w:left="8716" w:hanging="225"/>
      </w:pPr>
      <w:rPr>
        <w:rFonts w:hint="default"/>
        <w:lang w:val="es-ES" w:eastAsia="es-ES" w:bidi="es-ES"/>
      </w:rPr>
    </w:lvl>
  </w:abstractNum>
  <w:abstractNum w:abstractNumId="449">
    <w:multiLevelType w:val="hybridMultilevel"/>
    <w:lvl w:ilvl="0">
      <w:start w:val="1"/>
      <w:numFmt w:val="lowerLetter"/>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448">
    <w:multiLevelType w:val="hybridMultilevel"/>
    <w:lvl w:ilvl="0">
      <w:start w:val="1"/>
      <w:numFmt w:val="decimal"/>
      <w:lvlText w:val="%1."/>
      <w:lvlJc w:val="left"/>
      <w:pPr>
        <w:ind w:left="107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8"/>
      </w:pPr>
      <w:rPr>
        <w:rFonts w:hint="default"/>
        <w:lang w:val="es-ES" w:eastAsia="es-ES" w:bidi="es-ES"/>
      </w:rPr>
    </w:lvl>
    <w:lvl w:ilvl="2">
      <w:start w:val="0"/>
      <w:numFmt w:val="bullet"/>
      <w:lvlText w:val="•"/>
      <w:lvlJc w:val="left"/>
      <w:pPr>
        <w:ind w:left="2989" w:hanging="238"/>
      </w:pPr>
      <w:rPr>
        <w:rFonts w:hint="default"/>
        <w:lang w:val="es-ES" w:eastAsia="es-ES" w:bidi="es-ES"/>
      </w:rPr>
    </w:lvl>
    <w:lvl w:ilvl="3">
      <w:start w:val="0"/>
      <w:numFmt w:val="bullet"/>
      <w:lvlText w:val="•"/>
      <w:lvlJc w:val="left"/>
      <w:pPr>
        <w:ind w:left="3943" w:hanging="238"/>
      </w:pPr>
      <w:rPr>
        <w:rFonts w:hint="default"/>
        <w:lang w:val="es-ES" w:eastAsia="es-ES" w:bidi="es-ES"/>
      </w:rPr>
    </w:lvl>
    <w:lvl w:ilvl="4">
      <w:start w:val="0"/>
      <w:numFmt w:val="bullet"/>
      <w:lvlText w:val="•"/>
      <w:lvlJc w:val="left"/>
      <w:pPr>
        <w:ind w:left="4898" w:hanging="238"/>
      </w:pPr>
      <w:rPr>
        <w:rFonts w:hint="default"/>
        <w:lang w:val="es-ES" w:eastAsia="es-ES" w:bidi="es-ES"/>
      </w:rPr>
    </w:lvl>
    <w:lvl w:ilvl="5">
      <w:start w:val="0"/>
      <w:numFmt w:val="bullet"/>
      <w:lvlText w:val="•"/>
      <w:lvlJc w:val="left"/>
      <w:pPr>
        <w:ind w:left="5852" w:hanging="238"/>
      </w:pPr>
      <w:rPr>
        <w:rFonts w:hint="default"/>
        <w:lang w:val="es-ES" w:eastAsia="es-ES" w:bidi="es-ES"/>
      </w:rPr>
    </w:lvl>
    <w:lvl w:ilvl="6">
      <w:start w:val="0"/>
      <w:numFmt w:val="bullet"/>
      <w:lvlText w:val="•"/>
      <w:lvlJc w:val="left"/>
      <w:pPr>
        <w:ind w:left="6807" w:hanging="238"/>
      </w:pPr>
      <w:rPr>
        <w:rFonts w:hint="default"/>
        <w:lang w:val="es-ES" w:eastAsia="es-ES" w:bidi="es-ES"/>
      </w:rPr>
    </w:lvl>
    <w:lvl w:ilvl="7">
      <w:start w:val="0"/>
      <w:numFmt w:val="bullet"/>
      <w:lvlText w:val="•"/>
      <w:lvlJc w:val="left"/>
      <w:pPr>
        <w:ind w:left="7761" w:hanging="238"/>
      </w:pPr>
      <w:rPr>
        <w:rFonts w:hint="default"/>
        <w:lang w:val="es-ES" w:eastAsia="es-ES" w:bidi="es-ES"/>
      </w:rPr>
    </w:lvl>
    <w:lvl w:ilvl="8">
      <w:start w:val="0"/>
      <w:numFmt w:val="bullet"/>
      <w:lvlText w:val="•"/>
      <w:lvlJc w:val="left"/>
      <w:pPr>
        <w:ind w:left="8716" w:hanging="238"/>
      </w:pPr>
      <w:rPr>
        <w:rFonts w:hint="default"/>
        <w:lang w:val="es-ES" w:eastAsia="es-ES" w:bidi="es-ES"/>
      </w:rPr>
    </w:lvl>
  </w:abstractNum>
  <w:abstractNum w:abstractNumId="447">
    <w:multiLevelType w:val="hybridMultilevel"/>
    <w:lvl w:ilvl="0">
      <w:start w:val="1"/>
      <w:numFmt w:val="lowerLetter"/>
      <w:lvlText w:val="%1)"/>
      <w:lvlJc w:val="left"/>
      <w:pPr>
        <w:ind w:left="1754" w:hanging="284"/>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646" w:hanging="284"/>
      </w:pPr>
      <w:rPr>
        <w:rFonts w:hint="default"/>
        <w:lang w:val="es-ES" w:eastAsia="es-ES" w:bidi="es-ES"/>
      </w:rPr>
    </w:lvl>
    <w:lvl w:ilvl="2">
      <w:start w:val="0"/>
      <w:numFmt w:val="bullet"/>
      <w:lvlText w:val="•"/>
      <w:lvlJc w:val="left"/>
      <w:pPr>
        <w:ind w:left="3533" w:hanging="284"/>
      </w:pPr>
      <w:rPr>
        <w:rFonts w:hint="default"/>
        <w:lang w:val="es-ES" w:eastAsia="es-ES" w:bidi="es-ES"/>
      </w:rPr>
    </w:lvl>
    <w:lvl w:ilvl="3">
      <w:start w:val="0"/>
      <w:numFmt w:val="bullet"/>
      <w:lvlText w:val="•"/>
      <w:lvlJc w:val="left"/>
      <w:pPr>
        <w:ind w:left="4419" w:hanging="284"/>
      </w:pPr>
      <w:rPr>
        <w:rFonts w:hint="default"/>
        <w:lang w:val="es-ES" w:eastAsia="es-ES" w:bidi="es-ES"/>
      </w:rPr>
    </w:lvl>
    <w:lvl w:ilvl="4">
      <w:start w:val="0"/>
      <w:numFmt w:val="bullet"/>
      <w:lvlText w:val="•"/>
      <w:lvlJc w:val="left"/>
      <w:pPr>
        <w:ind w:left="5306" w:hanging="284"/>
      </w:pPr>
      <w:rPr>
        <w:rFonts w:hint="default"/>
        <w:lang w:val="es-ES" w:eastAsia="es-ES" w:bidi="es-ES"/>
      </w:rPr>
    </w:lvl>
    <w:lvl w:ilvl="5">
      <w:start w:val="0"/>
      <w:numFmt w:val="bullet"/>
      <w:lvlText w:val="•"/>
      <w:lvlJc w:val="left"/>
      <w:pPr>
        <w:ind w:left="6192" w:hanging="284"/>
      </w:pPr>
      <w:rPr>
        <w:rFonts w:hint="default"/>
        <w:lang w:val="es-ES" w:eastAsia="es-ES" w:bidi="es-ES"/>
      </w:rPr>
    </w:lvl>
    <w:lvl w:ilvl="6">
      <w:start w:val="0"/>
      <w:numFmt w:val="bullet"/>
      <w:lvlText w:val="•"/>
      <w:lvlJc w:val="left"/>
      <w:pPr>
        <w:ind w:left="7079" w:hanging="284"/>
      </w:pPr>
      <w:rPr>
        <w:rFonts w:hint="default"/>
        <w:lang w:val="es-ES" w:eastAsia="es-ES" w:bidi="es-ES"/>
      </w:rPr>
    </w:lvl>
    <w:lvl w:ilvl="7">
      <w:start w:val="0"/>
      <w:numFmt w:val="bullet"/>
      <w:lvlText w:val="•"/>
      <w:lvlJc w:val="left"/>
      <w:pPr>
        <w:ind w:left="7965" w:hanging="284"/>
      </w:pPr>
      <w:rPr>
        <w:rFonts w:hint="default"/>
        <w:lang w:val="es-ES" w:eastAsia="es-ES" w:bidi="es-ES"/>
      </w:rPr>
    </w:lvl>
    <w:lvl w:ilvl="8">
      <w:start w:val="0"/>
      <w:numFmt w:val="bullet"/>
      <w:lvlText w:val="•"/>
      <w:lvlJc w:val="left"/>
      <w:pPr>
        <w:ind w:left="8852" w:hanging="284"/>
      </w:pPr>
      <w:rPr>
        <w:rFonts w:hint="default"/>
        <w:lang w:val="es-ES" w:eastAsia="es-ES" w:bidi="es-ES"/>
      </w:rPr>
    </w:lvl>
  </w:abstractNum>
  <w:abstractNum w:abstractNumId="446">
    <w:multiLevelType w:val="hybridMultilevel"/>
    <w:lvl w:ilvl="0">
      <w:start w:val="1"/>
      <w:numFmt w:val="decimal"/>
      <w:lvlText w:val="%1."/>
      <w:lvlJc w:val="left"/>
      <w:pPr>
        <w:ind w:left="1754" w:hanging="259"/>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646" w:hanging="259"/>
      </w:pPr>
      <w:rPr>
        <w:rFonts w:hint="default"/>
        <w:lang w:val="es-ES" w:eastAsia="es-ES" w:bidi="es-ES"/>
      </w:rPr>
    </w:lvl>
    <w:lvl w:ilvl="2">
      <w:start w:val="0"/>
      <w:numFmt w:val="bullet"/>
      <w:lvlText w:val="•"/>
      <w:lvlJc w:val="left"/>
      <w:pPr>
        <w:ind w:left="3533" w:hanging="259"/>
      </w:pPr>
      <w:rPr>
        <w:rFonts w:hint="default"/>
        <w:lang w:val="es-ES" w:eastAsia="es-ES" w:bidi="es-ES"/>
      </w:rPr>
    </w:lvl>
    <w:lvl w:ilvl="3">
      <w:start w:val="0"/>
      <w:numFmt w:val="bullet"/>
      <w:lvlText w:val="•"/>
      <w:lvlJc w:val="left"/>
      <w:pPr>
        <w:ind w:left="4419" w:hanging="259"/>
      </w:pPr>
      <w:rPr>
        <w:rFonts w:hint="default"/>
        <w:lang w:val="es-ES" w:eastAsia="es-ES" w:bidi="es-ES"/>
      </w:rPr>
    </w:lvl>
    <w:lvl w:ilvl="4">
      <w:start w:val="0"/>
      <w:numFmt w:val="bullet"/>
      <w:lvlText w:val="•"/>
      <w:lvlJc w:val="left"/>
      <w:pPr>
        <w:ind w:left="5306" w:hanging="259"/>
      </w:pPr>
      <w:rPr>
        <w:rFonts w:hint="default"/>
        <w:lang w:val="es-ES" w:eastAsia="es-ES" w:bidi="es-ES"/>
      </w:rPr>
    </w:lvl>
    <w:lvl w:ilvl="5">
      <w:start w:val="0"/>
      <w:numFmt w:val="bullet"/>
      <w:lvlText w:val="•"/>
      <w:lvlJc w:val="left"/>
      <w:pPr>
        <w:ind w:left="6192" w:hanging="259"/>
      </w:pPr>
      <w:rPr>
        <w:rFonts w:hint="default"/>
        <w:lang w:val="es-ES" w:eastAsia="es-ES" w:bidi="es-ES"/>
      </w:rPr>
    </w:lvl>
    <w:lvl w:ilvl="6">
      <w:start w:val="0"/>
      <w:numFmt w:val="bullet"/>
      <w:lvlText w:val="•"/>
      <w:lvlJc w:val="left"/>
      <w:pPr>
        <w:ind w:left="7079" w:hanging="259"/>
      </w:pPr>
      <w:rPr>
        <w:rFonts w:hint="default"/>
        <w:lang w:val="es-ES" w:eastAsia="es-ES" w:bidi="es-ES"/>
      </w:rPr>
    </w:lvl>
    <w:lvl w:ilvl="7">
      <w:start w:val="0"/>
      <w:numFmt w:val="bullet"/>
      <w:lvlText w:val="•"/>
      <w:lvlJc w:val="left"/>
      <w:pPr>
        <w:ind w:left="7965" w:hanging="259"/>
      </w:pPr>
      <w:rPr>
        <w:rFonts w:hint="default"/>
        <w:lang w:val="es-ES" w:eastAsia="es-ES" w:bidi="es-ES"/>
      </w:rPr>
    </w:lvl>
    <w:lvl w:ilvl="8">
      <w:start w:val="0"/>
      <w:numFmt w:val="bullet"/>
      <w:lvlText w:val="•"/>
      <w:lvlJc w:val="left"/>
      <w:pPr>
        <w:ind w:left="8852" w:hanging="259"/>
      </w:pPr>
      <w:rPr>
        <w:rFonts w:hint="default"/>
        <w:lang w:val="es-ES" w:eastAsia="es-ES" w:bidi="es-ES"/>
      </w:rPr>
    </w:lvl>
  </w:abstractNum>
  <w:abstractNum w:abstractNumId="445">
    <w:multiLevelType w:val="hybridMultilevel"/>
    <w:lvl w:ilvl="0">
      <w:start w:val="1"/>
      <w:numFmt w:val="lowerLetter"/>
      <w:lvlText w:val="%1)"/>
      <w:lvlJc w:val="left"/>
      <w:pPr>
        <w:ind w:left="1754" w:hanging="272"/>
        <w:jc w:val="left"/>
      </w:pPr>
      <w:rPr>
        <w:rFonts w:hint="default" w:ascii="Arial" w:hAnsi="Arial" w:eastAsia="Arial" w:cs="Arial"/>
        <w:spacing w:val="-18"/>
        <w:w w:val="95"/>
        <w:sz w:val="20"/>
        <w:szCs w:val="20"/>
        <w:lang w:val="es-ES" w:eastAsia="es-ES" w:bidi="es-ES"/>
      </w:rPr>
    </w:lvl>
    <w:lvl w:ilvl="1">
      <w:start w:val="0"/>
      <w:numFmt w:val="bullet"/>
      <w:lvlText w:val="•"/>
      <w:lvlJc w:val="left"/>
      <w:pPr>
        <w:ind w:left="2646" w:hanging="272"/>
      </w:pPr>
      <w:rPr>
        <w:rFonts w:hint="default"/>
        <w:lang w:val="es-ES" w:eastAsia="es-ES" w:bidi="es-ES"/>
      </w:rPr>
    </w:lvl>
    <w:lvl w:ilvl="2">
      <w:start w:val="0"/>
      <w:numFmt w:val="bullet"/>
      <w:lvlText w:val="•"/>
      <w:lvlJc w:val="left"/>
      <w:pPr>
        <w:ind w:left="3533" w:hanging="272"/>
      </w:pPr>
      <w:rPr>
        <w:rFonts w:hint="default"/>
        <w:lang w:val="es-ES" w:eastAsia="es-ES" w:bidi="es-ES"/>
      </w:rPr>
    </w:lvl>
    <w:lvl w:ilvl="3">
      <w:start w:val="0"/>
      <w:numFmt w:val="bullet"/>
      <w:lvlText w:val="•"/>
      <w:lvlJc w:val="left"/>
      <w:pPr>
        <w:ind w:left="4419" w:hanging="272"/>
      </w:pPr>
      <w:rPr>
        <w:rFonts w:hint="default"/>
        <w:lang w:val="es-ES" w:eastAsia="es-ES" w:bidi="es-ES"/>
      </w:rPr>
    </w:lvl>
    <w:lvl w:ilvl="4">
      <w:start w:val="0"/>
      <w:numFmt w:val="bullet"/>
      <w:lvlText w:val="•"/>
      <w:lvlJc w:val="left"/>
      <w:pPr>
        <w:ind w:left="5306" w:hanging="272"/>
      </w:pPr>
      <w:rPr>
        <w:rFonts w:hint="default"/>
        <w:lang w:val="es-ES" w:eastAsia="es-ES" w:bidi="es-ES"/>
      </w:rPr>
    </w:lvl>
    <w:lvl w:ilvl="5">
      <w:start w:val="0"/>
      <w:numFmt w:val="bullet"/>
      <w:lvlText w:val="•"/>
      <w:lvlJc w:val="left"/>
      <w:pPr>
        <w:ind w:left="6192" w:hanging="272"/>
      </w:pPr>
      <w:rPr>
        <w:rFonts w:hint="default"/>
        <w:lang w:val="es-ES" w:eastAsia="es-ES" w:bidi="es-ES"/>
      </w:rPr>
    </w:lvl>
    <w:lvl w:ilvl="6">
      <w:start w:val="0"/>
      <w:numFmt w:val="bullet"/>
      <w:lvlText w:val="•"/>
      <w:lvlJc w:val="left"/>
      <w:pPr>
        <w:ind w:left="7079" w:hanging="272"/>
      </w:pPr>
      <w:rPr>
        <w:rFonts w:hint="default"/>
        <w:lang w:val="es-ES" w:eastAsia="es-ES" w:bidi="es-ES"/>
      </w:rPr>
    </w:lvl>
    <w:lvl w:ilvl="7">
      <w:start w:val="0"/>
      <w:numFmt w:val="bullet"/>
      <w:lvlText w:val="•"/>
      <w:lvlJc w:val="left"/>
      <w:pPr>
        <w:ind w:left="7965" w:hanging="272"/>
      </w:pPr>
      <w:rPr>
        <w:rFonts w:hint="default"/>
        <w:lang w:val="es-ES" w:eastAsia="es-ES" w:bidi="es-ES"/>
      </w:rPr>
    </w:lvl>
    <w:lvl w:ilvl="8">
      <w:start w:val="0"/>
      <w:numFmt w:val="bullet"/>
      <w:lvlText w:val="•"/>
      <w:lvlJc w:val="left"/>
      <w:pPr>
        <w:ind w:left="8852" w:hanging="272"/>
      </w:pPr>
      <w:rPr>
        <w:rFonts w:hint="default"/>
        <w:lang w:val="es-ES" w:eastAsia="es-ES" w:bidi="es-ES"/>
      </w:rPr>
    </w:lvl>
  </w:abstractNum>
  <w:abstractNum w:abstractNumId="444">
    <w:multiLevelType w:val="hybridMultilevel"/>
    <w:lvl w:ilvl="0">
      <w:start w:val="1"/>
      <w:numFmt w:val="decimal"/>
      <w:lvlText w:val="%1."/>
      <w:lvlJc w:val="left"/>
      <w:pPr>
        <w:ind w:left="1074" w:hanging="310"/>
        <w:jc w:val="left"/>
      </w:pPr>
      <w:rPr>
        <w:rFonts w:hint="default" w:ascii="Arial" w:hAnsi="Arial" w:eastAsia="Arial" w:cs="Arial"/>
        <w:spacing w:val="-25"/>
        <w:w w:val="100"/>
        <w:sz w:val="20"/>
        <w:szCs w:val="20"/>
        <w:lang w:val="es-ES" w:eastAsia="es-ES" w:bidi="es-ES"/>
      </w:rPr>
    </w:lvl>
    <w:lvl w:ilvl="1">
      <w:start w:val="1"/>
      <w:numFmt w:val="decimal"/>
      <w:lvlText w:val="%2."/>
      <w:lvlJc w:val="left"/>
      <w:pPr>
        <w:ind w:left="2352" w:hanging="258"/>
        <w:jc w:val="left"/>
      </w:pPr>
      <w:rPr>
        <w:rFonts w:hint="default" w:ascii="Arial" w:hAnsi="Arial" w:eastAsia="Arial" w:cs="Arial"/>
        <w:spacing w:val="-21"/>
        <w:w w:val="100"/>
        <w:sz w:val="20"/>
        <w:szCs w:val="20"/>
        <w:lang w:val="es-ES" w:eastAsia="es-ES" w:bidi="es-ES"/>
      </w:rPr>
    </w:lvl>
    <w:lvl w:ilvl="2">
      <w:start w:val="0"/>
      <w:numFmt w:val="bullet"/>
      <w:lvlText w:val="•"/>
      <w:lvlJc w:val="left"/>
      <w:pPr>
        <w:ind w:left="3278" w:hanging="258"/>
      </w:pPr>
      <w:rPr>
        <w:rFonts w:hint="default"/>
        <w:lang w:val="es-ES" w:eastAsia="es-ES" w:bidi="es-ES"/>
      </w:rPr>
    </w:lvl>
    <w:lvl w:ilvl="3">
      <w:start w:val="0"/>
      <w:numFmt w:val="bullet"/>
      <w:lvlText w:val="•"/>
      <w:lvlJc w:val="left"/>
      <w:pPr>
        <w:ind w:left="4196" w:hanging="258"/>
      </w:pPr>
      <w:rPr>
        <w:rFonts w:hint="default"/>
        <w:lang w:val="es-ES" w:eastAsia="es-ES" w:bidi="es-ES"/>
      </w:rPr>
    </w:lvl>
    <w:lvl w:ilvl="4">
      <w:start w:val="0"/>
      <w:numFmt w:val="bullet"/>
      <w:lvlText w:val="•"/>
      <w:lvlJc w:val="left"/>
      <w:pPr>
        <w:ind w:left="5115" w:hanging="258"/>
      </w:pPr>
      <w:rPr>
        <w:rFonts w:hint="default"/>
        <w:lang w:val="es-ES" w:eastAsia="es-ES" w:bidi="es-ES"/>
      </w:rPr>
    </w:lvl>
    <w:lvl w:ilvl="5">
      <w:start w:val="0"/>
      <w:numFmt w:val="bullet"/>
      <w:lvlText w:val="•"/>
      <w:lvlJc w:val="left"/>
      <w:pPr>
        <w:ind w:left="6033" w:hanging="258"/>
      </w:pPr>
      <w:rPr>
        <w:rFonts w:hint="default"/>
        <w:lang w:val="es-ES" w:eastAsia="es-ES" w:bidi="es-ES"/>
      </w:rPr>
    </w:lvl>
    <w:lvl w:ilvl="6">
      <w:start w:val="0"/>
      <w:numFmt w:val="bullet"/>
      <w:lvlText w:val="•"/>
      <w:lvlJc w:val="left"/>
      <w:pPr>
        <w:ind w:left="6951" w:hanging="258"/>
      </w:pPr>
      <w:rPr>
        <w:rFonts w:hint="default"/>
        <w:lang w:val="es-ES" w:eastAsia="es-ES" w:bidi="es-ES"/>
      </w:rPr>
    </w:lvl>
    <w:lvl w:ilvl="7">
      <w:start w:val="0"/>
      <w:numFmt w:val="bullet"/>
      <w:lvlText w:val="•"/>
      <w:lvlJc w:val="left"/>
      <w:pPr>
        <w:ind w:left="7870" w:hanging="258"/>
      </w:pPr>
      <w:rPr>
        <w:rFonts w:hint="default"/>
        <w:lang w:val="es-ES" w:eastAsia="es-ES" w:bidi="es-ES"/>
      </w:rPr>
    </w:lvl>
    <w:lvl w:ilvl="8">
      <w:start w:val="0"/>
      <w:numFmt w:val="bullet"/>
      <w:lvlText w:val="•"/>
      <w:lvlJc w:val="left"/>
      <w:pPr>
        <w:ind w:left="8788" w:hanging="258"/>
      </w:pPr>
      <w:rPr>
        <w:rFonts w:hint="default"/>
        <w:lang w:val="es-ES" w:eastAsia="es-ES" w:bidi="es-ES"/>
      </w:rPr>
    </w:lvl>
  </w:abstractNum>
  <w:abstractNum w:abstractNumId="443">
    <w:multiLevelType w:val="hybridMultilevel"/>
    <w:lvl w:ilvl="0">
      <w:start w:val="1"/>
      <w:numFmt w:val="decimal"/>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442">
    <w:multiLevelType w:val="hybridMultilevel"/>
    <w:lvl w:ilvl="0">
      <w:start w:val="1"/>
      <w:numFmt w:val="decimal"/>
      <w:lvlText w:val="%1."/>
      <w:lvlJc w:val="left"/>
      <w:pPr>
        <w:ind w:left="1074" w:hanging="23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3"/>
      </w:pPr>
      <w:rPr>
        <w:rFonts w:hint="default"/>
        <w:lang w:val="es-ES" w:eastAsia="es-ES" w:bidi="es-ES"/>
      </w:rPr>
    </w:lvl>
    <w:lvl w:ilvl="2">
      <w:start w:val="0"/>
      <w:numFmt w:val="bullet"/>
      <w:lvlText w:val="•"/>
      <w:lvlJc w:val="left"/>
      <w:pPr>
        <w:ind w:left="2989" w:hanging="233"/>
      </w:pPr>
      <w:rPr>
        <w:rFonts w:hint="default"/>
        <w:lang w:val="es-ES" w:eastAsia="es-ES" w:bidi="es-ES"/>
      </w:rPr>
    </w:lvl>
    <w:lvl w:ilvl="3">
      <w:start w:val="0"/>
      <w:numFmt w:val="bullet"/>
      <w:lvlText w:val="•"/>
      <w:lvlJc w:val="left"/>
      <w:pPr>
        <w:ind w:left="3943" w:hanging="233"/>
      </w:pPr>
      <w:rPr>
        <w:rFonts w:hint="default"/>
        <w:lang w:val="es-ES" w:eastAsia="es-ES" w:bidi="es-ES"/>
      </w:rPr>
    </w:lvl>
    <w:lvl w:ilvl="4">
      <w:start w:val="0"/>
      <w:numFmt w:val="bullet"/>
      <w:lvlText w:val="•"/>
      <w:lvlJc w:val="left"/>
      <w:pPr>
        <w:ind w:left="4898" w:hanging="233"/>
      </w:pPr>
      <w:rPr>
        <w:rFonts w:hint="default"/>
        <w:lang w:val="es-ES" w:eastAsia="es-ES" w:bidi="es-ES"/>
      </w:rPr>
    </w:lvl>
    <w:lvl w:ilvl="5">
      <w:start w:val="0"/>
      <w:numFmt w:val="bullet"/>
      <w:lvlText w:val="•"/>
      <w:lvlJc w:val="left"/>
      <w:pPr>
        <w:ind w:left="5852" w:hanging="233"/>
      </w:pPr>
      <w:rPr>
        <w:rFonts w:hint="default"/>
        <w:lang w:val="es-ES" w:eastAsia="es-ES" w:bidi="es-ES"/>
      </w:rPr>
    </w:lvl>
    <w:lvl w:ilvl="6">
      <w:start w:val="0"/>
      <w:numFmt w:val="bullet"/>
      <w:lvlText w:val="•"/>
      <w:lvlJc w:val="left"/>
      <w:pPr>
        <w:ind w:left="6807" w:hanging="233"/>
      </w:pPr>
      <w:rPr>
        <w:rFonts w:hint="default"/>
        <w:lang w:val="es-ES" w:eastAsia="es-ES" w:bidi="es-ES"/>
      </w:rPr>
    </w:lvl>
    <w:lvl w:ilvl="7">
      <w:start w:val="0"/>
      <w:numFmt w:val="bullet"/>
      <w:lvlText w:val="•"/>
      <w:lvlJc w:val="left"/>
      <w:pPr>
        <w:ind w:left="7761" w:hanging="233"/>
      </w:pPr>
      <w:rPr>
        <w:rFonts w:hint="default"/>
        <w:lang w:val="es-ES" w:eastAsia="es-ES" w:bidi="es-ES"/>
      </w:rPr>
    </w:lvl>
    <w:lvl w:ilvl="8">
      <w:start w:val="0"/>
      <w:numFmt w:val="bullet"/>
      <w:lvlText w:val="•"/>
      <w:lvlJc w:val="left"/>
      <w:pPr>
        <w:ind w:left="8716" w:hanging="233"/>
      </w:pPr>
      <w:rPr>
        <w:rFonts w:hint="default"/>
        <w:lang w:val="es-ES" w:eastAsia="es-ES" w:bidi="es-ES"/>
      </w:rPr>
    </w:lvl>
  </w:abstractNum>
  <w:abstractNum w:abstractNumId="441">
    <w:multiLevelType w:val="hybridMultilevel"/>
    <w:lvl w:ilvl="0">
      <w:start w:val="1"/>
      <w:numFmt w:val="lowerLetter"/>
      <w:lvlText w:val="%1)"/>
      <w:lvlJc w:val="left"/>
      <w:pPr>
        <w:ind w:left="1074" w:hanging="25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2"/>
      </w:pPr>
      <w:rPr>
        <w:rFonts w:hint="default"/>
        <w:lang w:val="es-ES" w:eastAsia="es-ES" w:bidi="es-ES"/>
      </w:rPr>
    </w:lvl>
    <w:lvl w:ilvl="2">
      <w:start w:val="0"/>
      <w:numFmt w:val="bullet"/>
      <w:lvlText w:val="•"/>
      <w:lvlJc w:val="left"/>
      <w:pPr>
        <w:ind w:left="2989" w:hanging="252"/>
      </w:pPr>
      <w:rPr>
        <w:rFonts w:hint="default"/>
        <w:lang w:val="es-ES" w:eastAsia="es-ES" w:bidi="es-ES"/>
      </w:rPr>
    </w:lvl>
    <w:lvl w:ilvl="3">
      <w:start w:val="0"/>
      <w:numFmt w:val="bullet"/>
      <w:lvlText w:val="•"/>
      <w:lvlJc w:val="left"/>
      <w:pPr>
        <w:ind w:left="3943" w:hanging="252"/>
      </w:pPr>
      <w:rPr>
        <w:rFonts w:hint="default"/>
        <w:lang w:val="es-ES" w:eastAsia="es-ES" w:bidi="es-ES"/>
      </w:rPr>
    </w:lvl>
    <w:lvl w:ilvl="4">
      <w:start w:val="0"/>
      <w:numFmt w:val="bullet"/>
      <w:lvlText w:val="•"/>
      <w:lvlJc w:val="left"/>
      <w:pPr>
        <w:ind w:left="4898" w:hanging="252"/>
      </w:pPr>
      <w:rPr>
        <w:rFonts w:hint="default"/>
        <w:lang w:val="es-ES" w:eastAsia="es-ES" w:bidi="es-ES"/>
      </w:rPr>
    </w:lvl>
    <w:lvl w:ilvl="5">
      <w:start w:val="0"/>
      <w:numFmt w:val="bullet"/>
      <w:lvlText w:val="•"/>
      <w:lvlJc w:val="left"/>
      <w:pPr>
        <w:ind w:left="5852" w:hanging="252"/>
      </w:pPr>
      <w:rPr>
        <w:rFonts w:hint="default"/>
        <w:lang w:val="es-ES" w:eastAsia="es-ES" w:bidi="es-ES"/>
      </w:rPr>
    </w:lvl>
    <w:lvl w:ilvl="6">
      <w:start w:val="0"/>
      <w:numFmt w:val="bullet"/>
      <w:lvlText w:val="•"/>
      <w:lvlJc w:val="left"/>
      <w:pPr>
        <w:ind w:left="6807" w:hanging="252"/>
      </w:pPr>
      <w:rPr>
        <w:rFonts w:hint="default"/>
        <w:lang w:val="es-ES" w:eastAsia="es-ES" w:bidi="es-ES"/>
      </w:rPr>
    </w:lvl>
    <w:lvl w:ilvl="7">
      <w:start w:val="0"/>
      <w:numFmt w:val="bullet"/>
      <w:lvlText w:val="•"/>
      <w:lvlJc w:val="left"/>
      <w:pPr>
        <w:ind w:left="7761" w:hanging="252"/>
      </w:pPr>
      <w:rPr>
        <w:rFonts w:hint="default"/>
        <w:lang w:val="es-ES" w:eastAsia="es-ES" w:bidi="es-ES"/>
      </w:rPr>
    </w:lvl>
    <w:lvl w:ilvl="8">
      <w:start w:val="0"/>
      <w:numFmt w:val="bullet"/>
      <w:lvlText w:val="•"/>
      <w:lvlJc w:val="left"/>
      <w:pPr>
        <w:ind w:left="8716" w:hanging="252"/>
      </w:pPr>
      <w:rPr>
        <w:rFonts w:hint="default"/>
        <w:lang w:val="es-ES" w:eastAsia="es-ES" w:bidi="es-ES"/>
      </w:rPr>
    </w:lvl>
  </w:abstractNum>
  <w:abstractNum w:abstractNumId="440">
    <w:multiLevelType w:val="hybridMultilevel"/>
    <w:lvl w:ilvl="0">
      <w:start w:val="1"/>
      <w:numFmt w:val="decimal"/>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439">
    <w:multiLevelType w:val="hybridMultilevel"/>
    <w:lvl w:ilvl="0">
      <w:start w:val="1"/>
      <w:numFmt w:val="decimal"/>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438">
    <w:multiLevelType w:val="hybridMultilevel"/>
    <w:lvl w:ilvl="0">
      <w:start w:val="1"/>
      <w:numFmt w:val="decimal"/>
      <w:lvlText w:val="%1."/>
      <w:lvlJc w:val="left"/>
      <w:pPr>
        <w:ind w:left="1074" w:hanging="262"/>
        <w:jc w:val="left"/>
      </w:pPr>
      <w:rPr>
        <w:rFonts w:hint="default" w:ascii="Arial" w:hAnsi="Arial" w:eastAsia="Arial" w:cs="Arial"/>
        <w:spacing w:val="-20"/>
        <w:w w:val="100"/>
        <w:sz w:val="20"/>
        <w:szCs w:val="20"/>
        <w:lang w:val="es-ES" w:eastAsia="es-ES" w:bidi="es-ES"/>
      </w:rPr>
    </w:lvl>
    <w:lvl w:ilvl="1">
      <w:start w:val="0"/>
      <w:numFmt w:val="bullet"/>
      <w:lvlText w:val="•"/>
      <w:lvlJc w:val="left"/>
      <w:pPr>
        <w:ind w:left="2034" w:hanging="262"/>
      </w:pPr>
      <w:rPr>
        <w:rFonts w:hint="default"/>
        <w:lang w:val="es-ES" w:eastAsia="es-ES" w:bidi="es-ES"/>
      </w:rPr>
    </w:lvl>
    <w:lvl w:ilvl="2">
      <w:start w:val="0"/>
      <w:numFmt w:val="bullet"/>
      <w:lvlText w:val="•"/>
      <w:lvlJc w:val="left"/>
      <w:pPr>
        <w:ind w:left="2989" w:hanging="262"/>
      </w:pPr>
      <w:rPr>
        <w:rFonts w:hint="default"/>
        <w:lang w:val="es-ES" w:eastAsia="es-ES" w:bidi="es-ES"/>
      </w:rPr>
    </w:lvl>
    <w:lvl w:ilvl="3">
      <w:start w:val="0"/>
      <w:numFmt w:val="bullet"/>
      <w:lvlText w:val="•"/>
      <w:lvlJc w:val="left"/>
      <w:pPr>
        <w:ind w:left="3943" w:hanging="262"/>
      </w:pPr>
      <w:rPr>
        <w:rFonts w:hint="default"/>
        <w:lang w:val="es-ES" w:eastAsia="es-ES" w:bidi="es-ES"/>
      </w:rPr>
    </w:lvl>
    <w:lvl w:ilvl="4">
      <w:start w:val="0"/>
      <w:numFmt w:val="bullet"/>
      <w:lvlText w:val="•"/>
      <w:lvlJc w:val="left"/>
      <w:pPr>
        <w:ind w:left="4898" w:hanging="262"/>
      </w:pPr>
      <w:rPr>
        <w:rFonts w:hint="default"/>
        <w:lang w:val="es-ES" w:eastAsia="es-ES" w:bidi="es-ES"/>
      </w:rPr>
    </w:lvl>
    <w:lvl w:ilvl="5">
      <w:start w:val="0"/>
      <w:numFmt w:val="bullet"/>
      <w:lvlText w:val="•"/>
      <w:lvlJc w:val="left"/>
      <w:pPr>
        <w:ind w:left="5852" w:hanging="262"/>
      </w:pPr>
      <w:rPr>
        <w:rFonts w:hint="default"/>
        <w:lang w:val="es-ES" w:eastAsia="es-ES" w:bidi="es-ES"/>
      </w:rPr>
    </w:lvl>
    <w:lvl w:ilvl="6">
      <w:start w:val="0"/>
      <w:numFmt w:val="bullet"/>
      <w:lvlText w:val="•"/>
      <w:lvlJc w:val="left"/>
      <w:pPr>
        <w:ind w:left="6807" w:hanging="262"/>
      </w:pPr>
      <w:rPr>
        <w:rFonts w:hint="default"/>
        <w:lang w:val="es-ES" w:eastAsia="es-ES" w:bidi="es-ES"/>
      </w:rPr>
    </w:lvl>
    <w:lvl w:ilvl="7">
      <w:start w:val="0"/>
      <w:numFmt w:val="bullet"/>
      <w:lvlText w:val="•"/>
      <w:lvlJc w:val="left"/>
      <w:pPr>
        <w:ind w:left="7761" w:hanging="262"/>
      </w:pPr>
      <w:rPr>
        <w:rFonts w:hint="default"/>
        <w:lang w:val="es-ES" w:eastAsia="es-ES" w:bidi="es-ES"/>
      </w:rPr>
    </w:lvl>
    <w:lvl w:ilvl="8">
      <w:start w:val="0"/>
      <w:numFmt w:val="bullet"/>
      <w:lvlText w:val="•"/>
      <w:lvlJc w:val="left"/>
      <w:pPr>
        <w:ind w:left="8716" w:hanging="262"/>
      </w:pPr>
      <w:rPr>
        <w:rFonts w:hint="default"/>
        <w:lang w:val="es-ES" w:eastAsia="es-ES" w:bidi="es-ES"/>
      </w:rPr>
    </w:lvl>
  </w:abstractNum>
  <w:abstractNum w:abstractNumId="437">
    <w:multiLevelType w:val="hybridMultilevel"/>
    <w:lvl w:ilvl="0">
      <w:start w:val="1"/>
      <w:numFmt w:val="decimal"/>
      <w:lvlText w:val="%1."/>
      <w:lvlJc w:val="left"/>
      <w:pPr>
        <w:ind w:left="1074" w:hanging="22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8"/>
      </w:pPr>
      <w:rPr>
        <w:rFonts w:hint="default"/>
        <w:lang w:val="es-ES" w:eastAsia="es-ES" w:bidi="es-ES"/>
      </w:rPr>
    </w:lvl>
    <w:lvl w:ilvl="2">
      <w:start w:val="0"/>
      <w:numFmt w:val="bullet"/>
      <w:lvlText w:val="•"/>
      <w:lvlJc w:val="left"/>
      <w:pPr>
        <w:ind w:left="2989" w:hanging="228"/>
      </w:pPr>
      <w:rPr>
        <w:rFonts w:hint="default"/>
        <w:lang w:val="es-ES" w:eastAsia="es-ES" w:bidi="es-ES"/>
      </w:rPr>
    </w:lvl>
    <w:lvl w:ilvl="3">
      <w:start w:val="0"/>
      <w:numFmt w:val="bullet"/>
      <w:lvlText w:val="•"/>
      <w:lvlJc w:val="left"/>
      <w:pPr>
        <w:ind w:left="3943" w:hanging="228"/>
      </w:pPr>
      <w:rPr>
        <w:rFonts w:hint="default"/>
        <w:lang w:val="es-ES" w:eastAsia="es-ES" w:bidi="es-ES"/>
      </w:rPr>
    </w:lvl>
    <w:lvl w:ilvl="4">
      <w:start w:val="0"/>
      <w:numFmt w:val="bullet"/>
      <w:lvlText w:val="•"/>
      <w:lvlJc w:val="left"/>
      <w:pPr>
        <w:ind w:left="4898" w:hanging="228"/>
      </w:pPr>
      <w:rPr>
        <w:rFonts w:hint="default"/>
        <w:lang w:val="es-ES" w:eastAsia="es-ES" w:bidi="es-ES"/>
      </w:rPr>
    </w:lvl>
    <w:lvl w:ilvl="5">
      <w:start w:val="0"/>
      <w:numFmt w:val="bullet"/>
      <w:lvlText w:val="•"/>
      <w:lvlJc w:val="left"/>
      <w:pPr>
        <w:ind w:left="5852" w:hanging="228"/>
      </w:pPr>
      <w:rPr>
        <w:rFonts w:hint="default"/>
        <w:lang w:val="es-ES" w:eastAsia="es-ES" w:bidi="es-ES"/>
      </w:rPr>
    </w:lvl>
    <w:lvl w:ilvl="6">
      <w:start w:val="0"/>
      <w:numFmt w:val="bullet"/>
      <w:lvlText w:val="•"/>
      <w:lvlJc w:val="left"/>
      <w:pPr>
        <w:ind w:left="6807" w:hanging="228"/>
      </w:pPr>
      <w:rPr>
        <w:rFonts w:hint="default"/>
        <w:lang w:val="es-ES" w:eastAsia="es-ES" w:bidi="es-ES"/>
      </w:rPr>
    </w:lvl>
    <w:lvl w:ilvl="7">
      <w:start w:val="0"/>
      <w:numFmt w:val="bullet"/>
      <w:lvlText w:val="•"/>
      <w:lvlJc w:val="left"/>
      <w:pPr>
        <w:ind w:left="7761" w:hanging="228"/>
      </w:pPr>
      <w:rPr>
        <w:rFonts w:hint="default"/>
        <w:lang w:val="es-ES" w:eastAsia="es-ES" w:bidi="es-ES"/>
      </w:rPr>
    </w:lvl>
    <w:lvl w:ilvl="8">
      <w:start w:val="0"/>
      <w:numFmt w:val="bullet"/>
      <w:lvlText w:val="•"/>
      <w:lvlJc w:val="left"/>
      <w:pPr>
        <w:ind w:left="8716" w:hanging="228"/>
      </w:pPr>
      <w:rPr>
        <w:rFonts w:hint="default"/>
        <w:lang w:val="es-ES" w:eastAsia="es-ES" w:bidi="es-ES"/>
      </w:rPr>
    </w:lvl>
  </w:abstractNum>
  <w:abstractNum w:abstractNumId="436">
    <w:multiLevelType w:val="hybridMultilevel"/>
    <w:lvl w:ilvl="0">
      <w:start w:val="1"/>
      <w:numFmt w:val="decimal"/>
      <w:lvlText w:val="%1."/>
      <w:lvlJc w:val="left"/>
      <w:pPr>
        <w:ind w:left="1074" w:hanging="283"/>
        <w:jc w:val="left"/>
      </w:pPr>
      <w:rPr>
        <w:rFonts w:hint="default" w:ascii="Arial" w:hAnsi="Arial" w:eastAsia="Arial" w:cs="Arial"/>
        <w:spacing w:val="-11"/>
        <w:w w:val="100"/>
        <w:sz w:val="20"/>
        <w:szCs w:val="20"/>
        <w:lang w:val="es-ES" w:eastAsia="es-ES" w:bidi="es-ES"/>
      </w:rPr>
    </w:lvl>
    <w:lvl w:ilvl="1">
      <w:start w:val="0"/>
      <w:numFmt w:val="bullet"/>
      <w:lvlText w:val="•"/>
      <w:lvlJc w:val="left"/>
      <w:pPr>
        <w:ind w:left="2034" w:hanging="283"/>
      </w:pPr>
      <w:rPr>
        <w:rFonts w:hint="default"/>
        <w:lang w:val="es-ES" w:eastAsia="es-ES" w:bidi="es-ES"/>
      </w:rPr>
    </w:lvl>
    <w:lvl w:ilvl="2">
      <w:start w:val="0"/>
      <w:numFmt w:val="bullet"/>
      <w:lvlText w:val="•"/>
      <w:lvlJc w:val="left"/>
      <w:pPr>
        <w:ind w:left="2989" w:hanging="283"/>
      </w:pPr>
      <w:rPr>
        <w:rFonts w:hint="default"/>
        <w:lang w:val="es-ES" w:eastAsia="es-ES" w:bidi="es-ES"/>
      </w:rPr>
    </w:lvl>
    <w:lvl w:ilvl="3">
      <w:start w:val="0"/>
      <w:numFmt w:val="bullet"/>
      <w:lvlText w:val="•"/>
      <w:lvlJc w:val="left"/>
      <w:pPr>
        <w:ind w:left="3943" w:hanging="283"/>
      </w:pPr>
      <w:rPr>
        <w:rFonts w:hint="default"/>
        <w:lang w:val="es-ES" w:eastAsia="es-ES" w:bidi="es-ES"/>
      </w:rPr>
    </w:lvl>
    <w:lvl w:ilvl="4">
      <w:start w:val="0"/>
      <w:numFmt w:val="bullet"/>
      <w:lvlText w:val="•"/>
      <w:lvlJc w:val="left"/>
      <w:pPr>
        <w:ind w:left="4898" w:hanging="283"/>
      </w:pPr>
      <w:rPr>
        <w:rFonts w:hint="default"/>
        <w:lang w:val="es-ES" w:eastAsia="es-ES" w:bidi="es-ES"/>
      </w:rPr>
    </w:lvl>
    <w:lvl w:ilvl="5">
      <w:start w:val="0"/>
      <w:numFmt w:val="bullet"/>
      <w:lvlText w:val="•"/>
      <w:lvlJc w:val="left"/>
      <w:pPr>
        <w:ind w:left="5852" w:hanging="283"/>
      </w:pPr>
      <w:rPr>
        <w:rFonts w:hint="default"/>
        <w:lang w:val="es-ES" w:eastAsia="es-ES" w:bidi="es-ES"/>
      </w:rPr>
    </w:lvl>
    <w:lvl w:ilvl="6">
      <w:start w:val="0"/>
      <w:numFmt w:val="bullet"/>
      <w:lvlText w:val="•"/>
      <w:lvlJc w:val="left"/>
      <w:pPr>
        <w:ind w:left="6807" w:hanging="283"/>
      </w:pPr>
      <w:rPr>
        <w:rFonts w:hint="default"/>
        <w:lang w:val="es-ES" w:eastAsia="es-ES" w:bidi="es-ES"/>
      </w:rPr>
    </w:lvl>
    <w:lvl w:ilvl="7">
      <w:start w:val="0"/>
      <w:numFmt w:val="bullet"/>
      <w:lvlText w:val="•"/>
      <w:lvlJc w:val="left"/>
      <w:pPr>
        <w:ind w:left="7761" w:hanging="283"/>
      </w:pPr>
      <w:rPr>
        <w:rFonts w:hint="default"/>
        <w:lang w:val="es-ES" w:eastAsia="es-ES" w:bidi="es-ES"/>
      </w:rPr>
    </w:lvl>
    <w:lvl w:ilvl="8">
      <w:start w:val="0"/>
      <w:numFmt w:val="bullet"/>
      <w:lvlText w:val="•"/>
      <w:lvlJc w:val="left"/>
      <w:pPr>
        <w:ind w:left="8716" w:hanging="283"/>
      </w:pPr>
      <w:rPr>
        <w:rFonts w:hint="default"/>
        <w:lang w:val="es-ES" w:eastAsia="es-ES" w:bidi="es-ES"/>
      </w:rPr>
    </w:lvl>
  </w:abstractNum>
  <w:abstractNum w:abstractNumId="435">
    <w:multiLevelType w:val="hybridMultilevel"/>
    <w:lvl w:ilvl="0">
      <w:start w:val="1"/>
      <w:numFmt w:val="lowerLetter"/>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434">
    <w:multiLevelType w:val="hybridMultilevel"/>
    <w:lvl w:ilvl="0">
      <w:start w:val="1"/>
      <w:numFmt w:val="lowerLetter"/>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433">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432">
    <w:multiLevelType w:val="hybridMultilevel"/>
    <w:lvl w:ilvl="0">
      <w:start w:val="1"/>
      <w:numFmt w:val="decimal"/>
      <w:lvlText w:val="%1."/>
      <w:lvlJc w:val="left"/>
      <w:pPr>
        <w:ind w:left="1074" w:hanging="295"/>
        <w:jc w:val="left"/>
      </w:pPr>
      <w:rPr>
        <w:rFonts w:hint="default" w:ascii="Arial" w:hAnsi="Arial" w:eastAsia="Arial" w:cs="Arial"/>
        <w:spacing w:val="-2"/>
        <w:w w:val="100"/>
        <w:sz w:val="20"/>
        <w:szCs w:val="20"/>
        <w:lang w:val="es-ES" w:eastAsia="es-ES" w:bidi="es-ES"/>
      </w:rPr>
    </w:lvl>
    <w:lvl w:ilvl="1">
      <w:start w:val="0"/>
      <w:numFmt w:val="bullet"/>
      <w:lvlText w:val="•"/>
      <w:lvlJc w:val="left"/>
      <w:pPr>
        <w:ind w:left="2034" w:hanging="295"/>
      </w:pPr>
      <w:rPr>
        <w:rFonts w:hint="default"/>
        <w:lang w:val="es-ES" w:eastAsia="es-ES" w:bidi="es-ES"/>
      </w:rPr>
    </w:lvl>
    <w:lvl w:ilvl="2">
      <w:start w:val="0"/>
      <w:numFmt w:val="bullet"/>
      <w:lvlText w:val="•"/>
      <w:lvlJc w:val="left"/>
      <w:pPr>
        <w:ind w:left="2989" w:hanging="295"/>
      </w:pPr>
      <w:rPr>
        <w:rFonts w:hint="default"/>
        <w:lang w:val="es-ES" w:eastAsia="es-ES" w:bidi="es-ES"/>
      </w:rPr>
    </w:lvl>
    <w:lvl w:ilvl="3">
      <w:start w:val="0"/>
      <w:numFmt w:val="bullet"/>
      <w:lvlText w:val="•"/>
      <w:lvlJc w:val="left"/>
      <w:pPr>
        <w:ind w:left="3943" w:hanging="295"/>
      </w:pPr>
      <w:rPr>
        <w:rFonts w:hint="default"/>
        <w:lang w:val="es-ES" w:eastAsia="es-ES" w:bidi="es-ES"/>
      </w:rPr>
    </w:lvl>
    <w:lvl w:ilvl="4">
      <w:start w:val="0"/>
      <w:numFmt w:val="bullet"/>
      <w:lvlText w:val="•"/>
      <w:lvlJc w:val="left"/>
      <w:pPr>
        <w:ind w:left="4898" w:hanging="295"/>
      </w:pPr>
      <w:rPr>
        <w:rFonts w:hint="default"/>
        <w:lang w:val="es-ES" w:eastAsia="es-ES" w:bidi="es-ES"/>
      </w:rPr>
    </w:lvl>
    <w:lvl w:ilvl="5">
      <w:start w:val="0"/>
      <w:numFmt w:val="bullet"/>
      <w:lvlText w:val="•"/>
      <w:lvlJc w:val="left"/>
      <w:pPr>
        <w:ind w:left="5852" w:hanging="295"/>
      </w:pPr>
      <w:rPr>
        <w:rFonts w:hint="default"/>
        <w:lang w:val="es-ES" w:eastAsia="es-ES" w:bidi="es-ES"/>
      </w:rPr>
    </w:lvl>
    <w:lvl w:ilvl="6">
      <w:start w:val="0"/>
      <w:numFmt w:val="bullet"/>
      <w:lvlText w:val="•"/>
      <w:lvlJc w:val="left"/>
      <w:pPr>
        <w:ind w:left="6807" w:hanging="295"/>
      </w:pPr>
      <w:rPr>
        <w:rFonts w:hint="default"/>
        <w:lang w:val="es-ES" w:eastAsia="es-ES" w:bidi="es-ES"/>
      </w:rPr>
    </w:lvl>
    <w:lvl w:ilvl="7">
      <w:start w:val="0"/>
      <w:numFmt w:val="bullet"/>
      <w:lvlText w:val="•"/>
      <w:lvlJc w:val="left"/>
      <w:pPr>
        <w:ind w:left="7761" w:hanging="295"/>
      </w:pPr>
      <w:rPr>
        <w:rFonts w:hint="default"/>
        <w:lang w:val="es-ES" w:eastAsia="es-ES" w:bidi="es-ES"/>
      </w:rPr>
    </w:lvl>
    <w:lvl w:ilvl="8">
      <w:start w:val="0"/>
      <w:numFmt w:val="bullet"/>
      <w:lvlText w:val="•"/>
      <w:lvlJc w:val="left"/>
      <w:pPr>
        <w:ind w:left="8716" w:hanging="295"/>
      </w:pPr>
      <w:rPr>
        <w:rFonts w:hint="default"/>
        <w:lang w:val="es-ES" w:eastAsia="es-ES" w:bidi="es-ES"/>
      </w:rPr>
    </w:lvl>
  </w:abstractNum>
  <w:abstractNum w:abstractNumId="431">
    <w:multiLevelType w:val="hybridMultilevel"/>
    <w:lvl w:ilvl="0">
      <w:start w:val="1"/>
      <w:numFmt w:val="lowerLetter"/>
      <w:lvlText w:val="%1)"/>
      <w:lvlJc w:val="left"/>
      <w:pPr>
        <w:ind w:left="1754" w:hanging="275"/>
        <w:jc w:val="left"/>
      </w:pPr>
      <w:rPr>
        <w:rFonts w:hint="default" w:ascii="Arial" w:hAnsi="Arial" w:eastAsia="Arial" w:cs="Arial"/>
        <w:spacing w:val="-15"/>
        <w:w w:val="100"/>
        <w:sz w:val="20"/>
        <w:szCs w:val="20"/>
        <w:lang w:val="es-ES" w:eastAsia="es-ES" w:bidi="es-ES"/>
      </w:rPr>
    </w:lvl>
    <w:lvl w:ilvl="1">
      <w:start w:val="0"/>
      <w:numFmt w:val="bullet"/>
      <w:lvlText w:val="•"/>
      <w:lvlJc w:val="left"/>
      <w:pPr>
        <w:ind w:left="2646" w:hanging="275"/>
      </w:pPr>
      <w:rPr>
        <w:rFonts w:hint="default"/>
        <w:lang w:val="es-ES" w:eastAsia="es-ES" w:bidi="es-ES"/>
      </w:rPr>
    </w:lvl>
    <w:lvl w:ilvl="2">
      <w:start w:val="0"/>
      <w:numFmt w:val="bullet"/>
      <w:lvlText w:val="•"/>
      <w:lvlJc w:val="left"/>
      <w:pPr>
        <w:ind w:left="3533" w:hanging="275"/>
      </w:pPr>
      <w:rPr>
        <w:rFonts w:hint="default"/>
        <w:lang w:val="es-ES" w:eastAsia="es-ES" w:bidi="es-ES"/>
      </w:rPr>
    </w:lvl>
    <w:lvl w:ilvl="3">
      <w:start w:val="0"/>
      <w:numFmt w:val="bullet"/>
      <w:lvlText w:val="•"/>
      <w:lvlJc w:val="left"/>
      <w:pPr>
        <w:ind w:left="4419" w:hanging="275"/>
      </w:pPr>
      <w:rPr>
        <w:rFonts w:hint="default"/>
        <w:lang w:val="es-ES" w:eastAsia="es-ES" w:bidi="es-ES"/>
      </w:rPr>
    </w:lvl>
    <w:lvl w:ilvl="4">
      <w:start w:val="0"/>
      <w:numFmt w:val="bullet"/>
      <w:lvlText w:val="•"/>
      <w:lvlJc w:val="left"/>
      <w:pPr>
        <w:ind w:left="5306" w:hanging="275"/>
      </w:pPr>
      <w:rPr>
        <w:rFonts w:hint="default"/>
        <w:lang w:val="es-ES" w:eastAsia="es-ES" w:bidi="es-ES"/>
      </w:rPr>
    </w:lvl>
    <w:lvl w:ilvl="5">
      <w:start w:val="0"/>
      <w:numFmt w:val="bullet"/>
      <w:lvlText w:val="•"/>
      <w:lvlJc w:val="left"/>
      <w:pPr>
        <w:ind w:left="6192" w:hanging="275"/>
      </w:pPr>
      <w:rPr>
        <w:rFonts w:hint="default"/>
        <w:lang w:val="es-ES" w:eastAsia="es-ES" w:bidi="es-ES"/>
      </w:rPr>
    </w:lvl>
    <w:lvl w:ilvl="6">
      <w:start w:val="0"/>
      <w:numFmt w:val="bullet"/>
      <w:lvlText w:val="•"/>
      <w:lvlJc w:val="left"/>
      <w:pPr>
        <w:ind w:left="7079" w:hanging="275"/>
      </w:pPr>
      <w:rPr>
        <w:rFonts w:hint="default"/>
        <w:lang w:val="es-ES" w:eastAsia="es-ES" w:bidi="es-ES"/>
      </w:rPr>
    </w:lvl>
    <w:lvl w:ilvl="7">
      <w:start w:val="0"/>
      <w:numFmt w:val="bullet"/>
      <w:lvlText w:val="•"/>
      <w:lvlJc w:val="left"/>
      <w:pPr>
        <w:ind w:left="7965" w:hanging="275"/>
      </w:pPr>
      <w:rPr>
        <w:rFonts w:hint="default"/>
        <w:lang w:val="es-ES" w:eastAsia="es-ES" w:bidi="es-ES"/>
      </w:rPr>
    </w:lvl>
    <w:lvl w:ilvl="8">
      <w:start w:val="0"/>
      <w:numFmt w:val="bullet"/>
      <w:lvlText w:val="•"/>
      <w:lvlJc w:val="left"/>
      <w:pPr>
        <w:ind w:left="8852" w:hanging="275"/>
      </w:pPr>
      <w:rPr>
        <w:rFonts w:hint="default"/>
        <w:lang w:val="es-ES" w:eastAsia="es-ES" w:bidi="es-ES"/>
      </w:rPr>
    </w:lvl>
  </w:abstractNum>
  <w:abstractNum w:abstractNumId="430">
    <w:multiLevelType w:val="hybridMultilevel"/>
    <w:lvl w:ilvl="0">
      <w:start w:val="7"/>
      <w:numFmt w:val="decimal"/>
      <w:lvlText w:val="%1."/>
      <w:lvlJc w:val="left"/>
      <w:pPr>
        <w:ind w:left="1754" w:hanging="264"/>
        <w:jc w:val="left"/>
      </w:pPr>
      <w:rPr>
        <w:rFonts w:hint="default" w:ascii="Arial" w:hAnsi="Arial" w:eastAsia="Arial" w:cs="Arial"/>
        <w:spacing w:val="-15"/>
        <w:w w:val="100"/>
        <w:sz w:val="20"/>
        <w:szCs w:val="20"/>
        <w:lang w:val="es-ES" w:eastAsia="es-ES" w:bidi="es-ES"/>
      </w:rPr>
    </w:lvl>
    <w:lvl w:ilvl="1">
      <w:start w:val="0"/>
      <w:numFmt w:val="bullet"/>
      <w:lvlText w:val="•"/>
      <w:lvlJc w:val="left"/>
      <w:pPr>
        <w:ind w:left="2646" w:hanging="264"/>
      </w:pPr>
      <w:rPr>
        <w:rFonts w:hint="default"/>
        <w:lang w:val="es-ES" w:eastAsia="es-ES" w:bidi="es-ES"/>
      </w:rPr>
    </w:lvl>
    <w:lvl w:ilvl="2">
      <w:start w:val="0"/>
      <w:numFmt w:val="bullet"/>
      <w:lvlText w:val="•"/>
      <w:lvlJc w:val="left"/>
      <w:pPr>
        <w:ind w:left="3533" w:hanging="264"/>
      </w:pPr>
      <w:rPr>
        <w:rFonts w:hint="default"/>
        <w:lang w:val="es-ES" w:eastAsia="es-ES" w:bidi="es-ES"/>
      </w:rPr>
    </w:lvl>
    <w:lvl w:ilvl="3">
      <w:start w:val="0"/>
      <w:numFmt w:val="bullet"/>
      <w:lvlText w:val="•"/>
      <w:lvlJc w:val="left"/>
      <w:pPr>
        <w:ind w:left="4419" w:hanging="264"/>
      </w:pPr>
      <w:rPr>
        <w:rFonts w:hint="default"/>
        <w:lang w:val="es-ES" w:eastAsia="es-ES" w:bidi="es-ES"/>
      </w:rPr>
    </w:lvl>
    <w:lvl w:ilvl="4">
      <w:start w:val="0"/>
      <w:numFmt w:val="bullet"/>
      <w:lvlText w:val="•"/>
      <w:lvlJc w:val="left"/>
      <w:pPr>
        <w:ind w:left="5306" w:hanging="264"/>
      </w:pPr>
      <w:rPr>
        <w:rFonts w:hint="default"/>
        <w:lang w:val="es-ES" w:eastAsia="es-ES" w:bidi="es-ES"/>
      </w:rPr>
    </w:lvl>
    <w:lvl w:ilvl="5">
      <w:start w:val="0"/>
      <w:numFmt w:val="bullet"/>
      <w:lvlText w:val="•"/>
      <w:lvlJc w:val="left"/>
      <w:pPr>
        <w:ind w:left="6192" w:hanging="264"/>
      </w:pPr>
      <w:rPr>
        <w:rFonts w:hint="default"/>
        <w:lang w:val="es-ES" w:eastAsia="es-ES" w:bidi="es-ES"/>
      </w:rPr>
    </w:lvl>
    <w:lvl w:ilvl="6">
      <w:start w:val="0"/>
      <w:numFmt w:val="bullet"/>
      <w:lvlText w:val="•"/>
      <w:lvlJc w:val="left"/>
      <w:pPr>
        <w:ind w:left="7079" w:hanging="264"/>
      </w:pPr>
      <w:rPr>
        <w:rFonts w:hint="default"/>
        <w:lang w:val="es-ES" w:eastAsia="es-ES" w:bidi="es-ES"/>
      </w:rPr>
    </w:lvl>
    <w:lvl w:ilvl="7">
      <w:start w:val="0"/>
      <w:numFmt w:val="bullet"/>
      <w:lvlText w:val="•"/>
      <w:lvlJc w:val="left"/>
      <w:pPr>
        <w:ind w:left="7965" w:hanging="264"/>
      </w:pPr>
      <w:rPr>
        <w:rFonts w:hint="default"/>
        <w:lang w:val="es-ES" w:eastAsia="es-ES" w:bidi="es-ES"/>
      </w:rPr>
    </w:lvl>
    <w:lvl w:ilvl="8">
      <w:start w:val="0"/>
      <w:numFmt w:val="bullet"/>
      <w:lvlText w:val="•"/>
      <w:lvlJc w:val="left"/>
      <w:pPr>
        <w:ind w:left="8852" w:hanging="264"/>
      </w:pPr>
      <w:rPr>
        <w:rFonts w:hint="default"/>
        <w:lang w:val="es-ES" w:eastAsia="es-ES" w:bidi="es-ES"/>
      </w:rPr>
    </w:lvl>
  </w:abstractNum>
  <w:abstractNum w:abstractNumId="429">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428">
    <w:multiLevelType w:val="hybridMultilevel"/>
    <w:lvl w:ilvl="0">
      <w:start w:val="2"/>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427">
    <w:multiLevelType w:val="hybridMultilevel"/>
    <w:lvl w:ilvl="0">
      <w:start w:val="1"/>
      <w:numFmt w:val="decimal"/>
      <w:lvlText w:val="%1."/>
      <w:lvlJc w:val="left"/>
      <w:pPr>
        <w:ind w:left="175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26"/>
      </w:pPr>
      <w:rPr>
        <w:rFonts w:hint="default"/>
        <w:lang w:val="es-ES" w:eastAsia="es-ES" w:bidi="es-ES"/>
      </w:rPr>
    </w:lvl>
    <w:lvl w:ilvl="2">
      <w:start w:val="0"/>
      <w:numFmt w:val="bullet"/>
      <w:lvlText w:val="•"/>
      <w:lvlJc w:val="left"/>
      <w:pPr>
        <w:ind w:left="3533" w:hanging="226"/>
      </w:pPr>
      <w:rPr>
        <w:rFonts w:hint="default"/>
        <w:lang w:val="es-ES" w:eastAsia="es-ES" w:bidi="es-ES"/>
      </w:rPr>
    </w:lvl>
    <w:lvl w:ilvl="3">
      <w:start w:val="0"/>
      <w:numFmt w:val="bullet"/>
      <w:lvlText w:val="•"/>
      <w:lvlJc w:val="left"/>
      <w:pPr>
        <w:ind w:left="4419" w:hanging="226"/>
      </w:pPr>
      <w:rPr>
        <w:rFonts w:hint="default"/>
        <w:lang w:val="es-ES" w:eastAsia="es-ES" w:bidi="es-ES"/>
      </w:rPr>
    </w:lvl>
    <w:lvl w:ilvl="4">
      <w:start w:val="0"/>
      <w:numFmt w:val="bullet"/>
      <w:lvlText w:val="•"/>
      <w:lvlJc w:val="left"/>
      <w:pPr>
        <w:ind w:left="5306" w:hanging="226"/>
      </w:pPr>
      <w:rPr>
        <w:rFonts w:hint="default"/>
        <w:lang w:val="es-ES" w:eastAsia="es-ES" w:bidi="es-ES"/>
      </w:rPr>
    </w:lvl>
    <w:lvl w:ilvl="5">
      <w:start w:val="0"/>
      <w:numFmt w:val="bullet"/>
      <w:lvlText w:val="•"/>
      <w:lvlJc w:val="left"/>
      <w:pPr>
        <w:ind w:left="6192" w:hanging="226"/>
      </w:pPr>
      <w:rPr>
        <w:rFonts w:hint="default"/>
        <w:lang w:val="es-ES" w:eastAsia="es-ES" w:bidi="es-ES"/>
      </w:rPr>
    </w:lvl>
    <w:lvl w:ilvl="6">
      <w:start w:val="0"/>
      <w:numFmt w:val="bullet"/>
      <w:lvlText w:val="•"/>
      <w:lvlJc w:val="left"/>
      <w:pPr>
        <w:ind w:left="7079" w:hanging="226"/>
      </w:pPr>
      <w:rPr>
        <w:rFonts w:hint="default"/>
        <w:lang w:val="es-ES" w:eastAsia="es-ES" w:bidi="es-ES"/>
      </w:rPr>
    </w:lvl>
    <w:lvl w:ilvl="7">
      <w:start w:val="0"/>
      <w:numFmt w:val="bullet"/>
      <w:lvlText w:val="•"/>
      <w:lvlJc w:val="left"/>
      <w:pPr>
        <w:ind w:left="7965" w:hanging="226"/>
      </w:pPr>
      <w:rPr>
        <w:rFonts w:hint="default"/>
        <w:lang w:val="es-ES" w:eastAsia="es-ES" w:bidi="es-ES"/>
      </w:rPr>
    </w:lvl>
    <w:lvl w:ilvl="8">
      <w:start w:val="0"/>
      <w:numFmt w:val="bullet"/>
      <w:lvlText w:val="•"/>
      <w:lvlJc w:val="left"/>
      <w:pPr>
        <w:ind w:left="8852" w:hanging="226"/>
      </w:pPr>
      <w:rPr>
        <w:rFonts w:hint="default"/>
        <w:lang w:val="es-ES" w:eastAsia="es-ES" w:bidi="es-ES"/>
      </w:rPr>
    </w:lvl>
  </w:abstractNum>
  <w:abstractNum w:abstractNumId="426">
    <w:multiLevelType w:val="hybridMultilevel"/>
    <w:lvl w:ilvl="0">
      <w:start w:val="1"/>
      <w:numFmt w:val="lowerLetter"/>
      <w:lvlText w:val="%1)"/>
      <w:lvlJc w:val="left"/>
      <w:pPr>
        <w:ind w:left="175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46"/>
      </w:pPr>
      <w:rPr>
        <w:rFonts w:hint="default"/>
        <w:lang w:val="es-ES" w:eastAsia="es-ES" w:bidi="es-ES"/>
      </w:rPr>
    </w:lvl>
    <w:lvl w:ilvl="2">
      <w:start w:val="0"/>
      <w:numFmt w:val="bullet"/>
      <w:lvlText w:val="•"/>
      <w:lvlJc w:val="left"/>
      <w:pPr>
        <w:ind w:left="3533" w:hanging="246"/>
      </w:pPr>
      <w:rPr>
        <w:rFonts w:hint="default"/>
        <w:lang w:val="es-ES" w:eastAsia="es-ES" w:bidi="es-ES"/>
      </w:rPr>
    </w:lvl>
    <w:lvl w:ilvl="3">
      <w:start w:val="0"/>
      <w:numFmt w:val="bullet"/>
      <w:lvlText w:val="•"/>
      <w:lvlJc w:val="left"/>
      <w:pPr>
        <w:ind w:left="4419" w:hanging="246"/>
      </w:pPr>
      <w:rPr>
        <w:rFonts w:hint="default"/>
        <w:lang w:val="es-ES" w:eastAsia="es-ES" w:bidi="es-ES"/>
      </w:rPr>
    </w:lvl>
    <w:lvl w:ilvl="4">
      <w:start w:val="0"/>
      <w:numFmt w:val="bullet"/>
      <w:lvlText w:val="•"/>
      <w:lvlJc w:val="left"/>
      <w:pPr>
        <w:ind w:left="5306" w:hanging="246"/>
      </w:pPr>
      <w:rPr>
        <w:rFonts w:hint="default"/>
        <w:lang w:val="es-ES" w:eastAsia="es-ES" w:bidi="es-ES"/>
      </w:rPr>
    </w:lvl>
    <w:lvl w:ilvl="5">
      <w:start w:val="0"/>
      <w:numFmt w:val="bullet"/>
      <w:lvlText w:val="•"/>
      <w:lvlJc w:val="left"/>
      <w:pPr>
        <w:ind w:left="6192" w:hanging="246"/>
      </w:pPr>
      <w:rPr>
        <w:rFonts w:hint="default"/>
        <w:lang w:val="es-ES" w:eastAsia="es-ES" w:bidi="es-ES"/>
      </w:rPr>
    </w:lvl>
    <w:lvl w:ilvl="6">
      <w:start w:val="0"/>
      <w:numFmt w:val="bullet"/>
      <w:lvlText w:val="•"/>
      <w:lvlJc w:val="left"/>
      <w:pPr>
        <w:ind w:left="7079" w:hanging="246"/>
      </w:pPr>
      <w:rPr>
        <w:rFonts w:hint="default"/>
        <w:lang w:val="es-ES" w:eastAsia="es-ES" w:bidi="es-ES"/>
      </w:rPr>
    </w:lvl>
    <w:lvl w:ilvl="7">
      <w:start w:val="0"/>
      <w:numFmt w:val="bullet"/>
      <w:lvlText w:val="•"/>
      <w:lvlJc w:val="left"/>
      <w:pPr>
        <w:ind w:left="7965" w:hanging="246"/>
      </w:pPr>
      <w:rPr>
        <w:rFonts w:hint="default"/>
        <w:lang w:val="es-ES" w:eastAsia="es-ES" w:bidi="es-ES"/>
      </w:rPr>
    </w:lvl>
    <w:lvl w:ilvl="8">
      <w:start w:val="0"/>
      <w:numFmt w:val="bullet"/>
      <w:lvlText w:val="•"/>
      <w:lvlJc w:val="left"/>
      <w:pPr>
        <w:ind w:left="8852" w:hanging="246"/>
      </w:pPr>
      <w:rPr>
        <w:rFonts w:hint="default"/>
        <w:lang w:val="es-ES" w:eastAsia="es-ES" w:bidi="es-ES"/>
      </w:rPr>
    </w:lvl>
  </w:abstractNum>
  <w:abstractNum w:abstractNumId="425">
    <w:multiLevelType w:val="hybridMultilevel"/>
    <w:lvl w:ilvl="0">
      <w:start w:val="2"/>
      <w:numFmt w:val="decimal"/>
      <w:lvlText w:val="%1."/>
      <w:lvlJc w:val="left"/>
      <w:pPr>
        <w:ind w:left="175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7"/>
      </w:pPr>
      <w:rPr>
        <w:rFonts w:hint="default"/>
        <w:lang w:val="es-ES" w:eastAsia="es-ES" w:bidi="es-ES"/>
      </w:rPr>
    </w:lvl>
    <w:lvl w:ilvl="2">
      <w:start w:val="0"/>
      <w:numFmt w:val="bullet"/>
      <w:lvlText w:val="•"/>
      <w:lvlJc w:val="left"/>
      <w:pPr>
        <w:ind w:left="3533" w:hanging="237"/>
      </w:pPr>
      <w:rPr>
        <w:rFonts w:hint="default"/>
        <w:lang w:val="es-ES" w:eastAsia="es-ES" w:bidi="es-ES"/>
      </w:rPr>
    </w:lvl>
    <w:lvl w:ilvl="3">
      <w:start w:val="0"/>
      <w:numFmt w:val="bullet"/>
      <w:lvlText w:val="•"/>
      <w:lvlJc w:val="left"/>
      <w:pPr>
        <w:ind w:left="4419" w:hanging="237"/>
      </w:pPr>
      <w:rPr>
        <w:rFonts w:hint="default"/>
        <w:lang w:val="es-ES" w:eastAsia="es-ES" w:bidi="es-ES"/>
      </w:rPr>
    </w:lvl>
    <w:lvl w:ilvl="4">
      <w:start w:val="0"/>
      <w:numFmt w:val="bullet"/>
      <w:lvlText w:val="•"/>
      <w:lvlJc w:val="left"/>
      <w:pPr>
        <w:ind w:left="5306" w:hanging="237"/>
      </w:pPr>
      <w:rPr>
        <w:rFonts w:hint="default"/>
        <w:lang w:val="es-ES" w:eastAsia="es-ES" w:bidi="es-ES"/>
      </w:rPr>
    </w:lvl>
    <w:lvl w:ilvl="5">
      <w:start w:val="0"/>
      <w:numFmt w:val="bullet"/>
      <w:lvlText w:val="•"/>
      <w:lvlJc w:val="left"/>
      <w:pPr>
        <w:ind w:left="6192" w:hanging="237"/>
      </w:pPr>
      <w:rPr>
        <w:rFonts w:hint="default"/>
        <w:lang w:val="es-ES" w:eastAsia="es-ES" w:bidi="es-ES"/>
      </w:rPr>
    </w:lvl>
    <w:lvl w:ilvl="6">
      <w:start w:val="0"/>
      <w:numFmt w:val="bullet"/>
      <w:lvlText w:val="•"/>
      <w:lvlJc w:val="left"/>
      <w:pPr>
        <w:ind w:left="7079" w:hanging="237"/>
      </w:pPr>
      <w:rPr>
        <w:rFonts w:hint="default"/>
        <w:lang w:val="es-ES" w:eastAsia="es-ES" w:bidi="es-ES"/>
      </w:rPr>
    </w:lvl>
    <w:lvl w:ilvl="7">
      <w:start w:val="0"/>
      <w:numFmt w:val="bullet"/>
      <w:lvlText w:val="•"/>
      <w:lvlJc w:val="left"/>
      <w:pPr>
        <w:ind w:left="7965" w:hanging="237"/>
      </w:pPr>
      <w:rPr>
        <w:rFonts w:hint="default"/>
        <w:lang w:val="es-ES" w:eastAsia="es-ES" w:bidi="es-ES"/>
      </w:rPr>
    </w:lvl>
    <w:lvl w:ilvl="8">
      <w:start w:val="0"/>
      <w:numFmt w:val="bullet"/>
      <w:lvlText w:val="•"/>
      <w:lvlJc w:val="left"/>
      <w:pPr>
        <w:ind w:left="8852" w:hanging="237"/>
      </w:pPr>
      <w:rPr>
        <w:rFonts w:hint="default"/>
        <w:lang w:val="es-ES" w:eastAsia="es-ES" w:bidi="es-ES"/>
      </w:rPr>
    </w:lvl>
  </w:abstractNum>
  <w:abstractNum w:abstractNumId="424">
    <w:multiLevelType w:val="hybridMultilevel"/>
    <w:lvl w:ilvl="0">
      <w:start w:val="1"/>
      <w:numFmt w:val="lowerLetter"/>
      <w:lvlText w:val="%1)"/>
      <w:lvlJc w:val="left"/>
      <w:pPr>
        <w:ind w:left="1754" w:hanging="271"/>
        <w:jc w:val="left"/>
      </w:pPr>
      <w:rPr>
        <w:rFonts w:hint="default" w:ascii="Arial" w:hAnsi="Arial" w:eastAsia="Arial" w:cs="Arial"/>
        <w:spacing w:val="-19"/>
        <w:w w:val="100"/>
        <w:sz w:val="20"/>
        <w:szCs w:val="20"/>
        <w:lang w:val="es-ES" w:eastAsia="es-ES" w:bidi="es-ES"/>
      </w:rPr>
    </w:lvl>
    <w:lvl w:ilvl="1">
      <w:start w:val="0"/>
      <w:numFmt w:val="bullet"/>
      <w:lvlText w:val="•"/>
      <w:lvlJc w:val="left"/>
      <w:pPr>
        <w:ind w:left="2646" w:hanging="271"/>
      </w:pPr>
      <w:rPr>
        <w:rFonts w:hint="default"/>
        <w:lang w:val="es-ES" w:eastAsia="es-ES" w:bidi="es-ES"/>
      </w:rPr>
    </w:lvl>
    <w:lvl w:ilvl="2">
      <w:start w:val="0"/>
      <w:numFmt w:val="bullet"/>
      <w:lvlText w:val="•"/>
      <w:lvlJc w:val="left"/>
      <w:pPr>
        <w:ind w:left="3533" w:hanging="271"/>
      </w:pPr>
      <w:rPr>
        <w:rFonts w:hint="default"/>
        <w:lang w:val="es-ES" w:eastAsia="es-ES" w:bidi="es-ES"/>
      </w:rPr>
    </w:lvl>
    <w:lvl w:ilvl="3">
      <w:start w:val="0"/>
      <w:numFmt w:val="bullet"/>
      <w:lvlText w:val="•"/>
      <w:lvlJc w:val="left"/>
      <w:pPr>
        <w:ind w:left="4419" w:hanging="271"/>
      </w:pPr>
      <w:rPr>
        <w:rFonts w:hint="default"/>
        <w:lang w:val="es-ES" w:eastAsia="es-ES" w:bidi="es-ES"/>
      </w:rPr>
    </w:lvl>
    <w:lvl w:ilvl="4">
      <w:start w:val="0"/>
      <w:numFmt w:val="bullet"/>
      <w:lvlText w:val="•"/>
      <w:lvlJc w:val="left"/>
      <w:pPr>
        <w:ind w:left="5306" w:hanging="271"/>
      </w:pPr>
      <w:rPr>
        <w:rFonts w:hint="default"/>
        <w:lang w:val="es-ES" w:eastAsia="es-ES" w:bidi="es-ES"/>
      </w:rPr>
    </w:lvl>
    <w:lvl w:ilvl="5">
      <w:start w:val="0"/>
      <w:numFmt w:val="bullet"/>
      <w:lvlText w:val="•"/>
      <w:lvlJc w:val="left"/>
      <w:pPr>
        <w:ind w:left="6192" w:hanging="271"/>
      </w:pPr>
      <w:rPr>
        <w:rFonts w:hint="default"/>
        <w:lang w:val="es-ES" w:eastAsia="es-ES" w:bidi="es-ES"/>
      </w:rPr>
    </w:lvl>
    <w:lvl w:ilvl="6">
      <w:start w:val="0"/>
      <w:numFmt w:val="bullet"/>
      <w:lvlText w:val="•"/>
      <w:lvlJc w:val="left"/>
      <w:pPr>
        <w:ind w:left="7079" w:hanging="271"/>
      </w:pPr>
      <w:rPr>
        <w:rFonts w:hint="default"/>
        <w:lang w:val="es-ES" w:eastAsia="es-ES" w:bidi="es-ES"/>
      </w:rPr>
    </w:lvl>
    <w:lvl w:ilvl="7">
      <w:start w:val="0"/>
      <w:numFmt w:val="bullet"/>
      <w:lvlText w:val="•"/>
      <w:lvlJc w:val="left"/>
      <w:pPr>
        <w:ind w:left="7965" w:hanging="271"/>
      </w:pPr>
      <w:rPr>
        <w:rFonts w:hint="default"/>
        <w:lang w:val="es-ES" w:eastAsia="es-ES" w:bidi="es-ES"/>
      </w:rPr>
    </w:lvl>
    <w:lvl w:ilvl="8">
      <w:start w:val="0"/>
      <w:numFmt w:val="bullet"/>
      <w:lvlText w:val="•"/>
      <w:lvlJc w:val="left"/>
      <w:pPr>
        <w:ind w:left="8852" w:hanging="271"/>
      </w:pPr>
      <w:rPr>
        <w:rFonts w:hint="default"/>
        <w:lang w:val="es-ES" w:eastAsia="es-ES" w:bidi="es-ES"/>
      </w:rPr>
    </w:lvl>
  </w:abstractNum>
  <w:abstractNum w:abstractNumId="423">
    <w:multiLevelType w:val="hybridMultilevel"/>
    <w:lvl w:ilvl="0">
      <w:start w:val="1"/>
      <w:numFmt w:val="lowerLetter"/>
      <w:lvlText w:val="%1)"/>
      <w:lvlJc w:val="left"/>
      <w:pPr>
        <w:ind w:left="1754" w:hanging="271"/>
        <w:jc w:val="left"/>
      </w:pPr>
      <w:rPr>
        <w:rFonts w:hint="default" w:ascii="Arial" w:hAnsi="Arial" w:eastAsia="Arial" w:cs="Arial"/>
        <w:spacing w:val="-19"/>
        <w:w w:val="100"/>
        <w:sz w:val="20"/>
        <w:szCs w:val="20"/>
        <w:lang w:val="es-ES" w:eastAsia="es-ES" w:bidi="es-ES"/>
      </w:rPr>
    </w:lvl>
    <w:lvl w:ilvl="1">
      <w:start w:val="0"/>
      <w:numFmt w:val="bullet"/>
      <w:lvlText w:val="•"/>
      <w:lvlJc w:val="left"/>
      <w:pPr>
        <w:ind w:left="2646" w:hanging="271"/>
      </w:pPr>
      <w:rPr>
        <w:rFonts w:hint="default"/>
        <w:lang w:val="es-ES" w:eastAsia="es-ES" w:bidi="es-ES"/>
      </w:rPr>
    </w:lvl>
    <w:lvl w:ilvl="2">
      <w:start w:val="0"/>
      <w:numFmt w:val="bullet"/>
      <w:lvlText w:val="•"/>
      <w:lvlJc w:val="left"/>
      <w:pPr>
        <w:ind w:left="3533" w:hanging="271"/>
      </w:pPr>
      <w:rPr>
        <w:rFonts w:hint="default"/>
        <w:lang w:val="es-ES" w:eastAsia="es-ES" w:bidi="es-ES"/>
      </w:rPr>
    </w:lvl>
    <w:lvl w:ilvl="3">
      <w:start w:val="0"/>
      <w:numFmt w:val="bullet"/>
      <w:lvlText w:val="•"/>
      <w:lvlJc w:val="left"/>
      <w:pPr>
        <w:ind w:left="4419" w:hanging="271"/>
      </w:pPr>
      <w:rPr>
        <w:rFonts w:hint="default"/>
        <w:lang w:val="es-ES" w:eastAsia="es-ES" w:bidi="es-ES"/>
      </w:rPr>
    </w:lvl>
    <w:lvl w:ilvl="4">
      <w:start w:val="0"/>
      <w:numFmt w:val="bullet"/>
      <w:lvlText w:val="•"/>
      <w:lvlJc w:val="left"/>
      <w:pPr>
        <w:ind w:left="5306" w:hanging="271"/>
      </w:pPr>
      <w:rPr>
        <w:rFonts w:hint="default"/>
        <w:lang w:val="es-ES" w:eastAsia="es-ES" w:bidi="es-ES"/>
      </w:rPr>
    </w:lvl>
    <w:lvl w:ilvl="5">
      <w:start w:val="0"/>
      <w:numFmt w:val="bullet"/>
      <w:lvlText w:val="•"/>
      <w:lvlJc w:val="left"/>
      <w:pPr>
        <w:ind w:left="6192" w:hanging="271"/>
      </w:pPr>
      <w:rPr>
        <w:rFonts w:hint="default"/>
        <w:lang w:val="es-ES" w:eastAsia="es-ES" w:bidi="es-ES"/>
      </w:rPr>
    </w:lvl>
    <w:lvl w:ilvl="6">
      <w:start w:val="0"/>
      <w:numFmt w:val="bullet"/>
      <w:lvlText w:val="•"/>
      <w:lvlJc w:val="left"/>
      <w:pPr>
        <w:ind w:left="7079" w:hanging="271"/>
      </w:pPr>
      <w:rPr>
        <w:rFonts w:hint="default"/>
        <w:lang w:val="es-ES" w:eastAsia="es-ES" w:bidi="es-ES"/>
      </w:rPr>
    </w:lvl>
    <w:lvl w:ilvl="7">
      <w:start w:val="0"/>
      <w:numFmt w:val="bullet"/>
      <w:lvlText w:val="•"/>
      <w:lvlJc w:val="left"/>
      <w:pPr>
        <w:ind w:left="7965" w:hanging="271"/>
      </w:pPr>
      <w:rPr>
        <w:rFonts w:hint="default"/>
        <w:lang w:val="es-ES" w:eastAsia="es-ES" w:bidi="es-ES"/>
      </w:rPr>
    </w:lvl>
    <w:lvl w:ilvl="8">
      <w:start w:val="0"/>
      <w:numFmt w:val="bullet"/>
      <w:lvlText w:val="•"/>
      <w:lvlJc w:val="left"/>
      <w:pPr>
        <w:ind w:left="8852" w:hanging="271"/>
      </w:pPr>
      <w:rPr>
        <w:rFonts w:hint="default"/>
        <w:lang w:val="es-ES" w:eastAsia="es-ES" w:bidi="es-ES"/>
      </w:rPr>
    </w:lvl>
  </w:abstractNum>
  <w:abstractNum w:abstractNumId="422">
    <w:multiLevelType w:val="hybridMultilevel"/>
    <w:lvl w:ilvl="0">
      <w:start w:val="1"/>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421">
    <w:multiLevelType w:val="hybridMultilevel"/>
    <w:lvl w:ilvl="0">
      <w:start w:val="1"/>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420">
    <w:multiLevelType w:val="hybridMultilevel"/>
    <w:lvl w:ilvl="0">
      <w:start w:val="1"/>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419">
    <w:multiLevelType w:val="hybridMultilevel"/>
    <w:lvl w:ilvl="0">
      <w:start w:val="1"/>
      <w:numFmt w:val="lowerLetter"/>
      <w:lvlText w:val="%1)"/>
      <w:lvlJc w:val="left"/>
      <w:pPr>
        <w:ind w:left="2328"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418">
    <w:multiLevelType w:val="hybridMultilevel"/>
    <w:lvl w:ilvl="0">
      <w:start w:val="5"/>
      <w:numFmt w:val="decimal"/>
      <w:lvlText w:val="%1."/>
      <w:lvlJc w:val="left"/>
      <w:pPr>
        <w:ind w:left="226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3096" w:hanging="168"/>
      </w:pPr>
      <w:rPr>
        <w:rFonts w:hint="default"/>
        <w:lang w:val="es-ES" w:eastAsia="es-ES" w:bidi="es-ES"/>
      </w:rPr>
    </w:lvl>
    <w:lvl w:ilvl="2">
      <w:start w:val="0"/>
      <w:numFmt w:val="bullet"/>
      <w:lvlText w:val="•"/>
      <w:lvlJc w:val="left"/>
      <w:pPr>
        <w:ind w:left="3933" w:hanging="168"/>
      </w:pPr>
      <w:rPr>
        <w:rFonts w:hint="default"/>
        <w:lang w:val="es-ES" w:eastAsia="es-ES" w:bidi="es-ES"/>
      </w:rPr>
    </w:lvl>
    <w:lvl w:ilvl="3">
      <w:start w:val="0"/>
      <w:numFmt w:val="bullet"/>
      <w:lvlText w:val="•"/>
      <w:lvlJc w:val="left"/>
      <w:pPr>
        <w:ind w:left="4769" w:hanging="168"/>
      </w:pPr>
      <w:rPr>
        <w:rFonts w:hint="default"/>
        <w:lang w:val="es-ES" w:eastAsia="es-ES" w:bidi="es-ES"/>
      </w:rPr>
    </w:lvl>
    <w:lvl w:ilvl="4">
      <w:start w:val="0"/>
      <w:numFmt w:val="bullet"/>
      <w:lvlText w:val="•"/>
      <w:lvlJc w:val="left"/>
      <w:pPr>
        <w:ind w:left="5606" w:hanging="168"/>
      </w:pPr>
      <w:rPr>
        <w:rFonts w:hint="default"/>
        <w:lang w:val="es-ES" w:eastAsia="es-ES" w:bidi="es-ES"/>
      </w:rPr>
    </w:lvl>
    <w:lvl w:ilvl="5">
      <w:start w:val="0"/>
      <w:numFmt w:val="bullet"/>
      <w:lvlText w:val="•"/>
      <w:lvlJc w:val="left"/>
      <w:pPr>
        <w:ind w:left="6442" w:hanging="168"/>
      </w:pPr>
      <w:rPr>
        <w:rFonts w:hint="default"/>
        <w:lang w:val="es-ES" w:eastAsia="es-ES" w:bidi="es-ES"/>
      </w:rPr>
    </w:lvl>
    <w:lvl w:ilvl="6">
      <w:start w:val="0"/>
      <w:numFmt w:val="bullet"/>
      <w:lvlText w:val="•"/>
      <w:lvlJc w:val="left"/>
      <w:pPr>
        <w:ind w:left="7279" w:hanging="168"/>
      </w:pPr>
      <w:rPr>
        <w:rFonts w:hint="default"/>
        <w:lang w:val="es-ES" w:eastAsia="es-ES" w:bidi="es-ES"/>
      </w:rPr>
    </w:lvl>
    <w:lvl w:ilvl="7">
      <w:start w:val="0"/>
      <w:numFmt w:val="bullet"/>
      <w:lvlText w:val="•"/>
      <w:lvlJc w:val="left"/>
      <w:pPr>
        <w:ind w:left="8115" w:hanging="168"/>
      </w:pPr>
      <w:rPr>
        <w:rFonts w:hint="default"/>
        <w:lang w:val="es-ES" w:eastAsia="es-ES" w:bidi="es-ES"/>
      </w:rPr>
    </w:lvl>
    <w:lvl w:ilvl="8">
      <w:start w:val="0"/>
      <w:numFmt w:val="bullet"/>
      <w:lvlText w:val="•"/>
      <w:lvlJc w:val="left"/>
      <w:pPr>
        <w:ind w:left="8952" w:hanging="168"/>
      </w:pPr>
      <w:rPr>
        <w:rFonts w:hint="default"/>
        <w:lang w:val="es-ES" w:eastAsia="es-ES" w:bidi="es-ES"/>
      </w:rPr>
    </w:lvl>
  </w:abstractNum>
  <w:abstractNum w:abstractNumId="417">
    <w:multiLevelType w:val="hybridMultilevel"/>
    <w:lvl w:ilvl="0">
      <w:start w:val="1"/>
      <w:numFmt w:val="decimal"/>
      <w:lvlText w:val="%1."/>
      <w:lvlJc w:val="left"/>
      <w:pPr>
        <w:ind w:left="226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3096" w:hanging="168"/>
      </w:pPr>
      <w:rPr>
        <w:rFonts w:hint="default"/>
        <w:lang w:val="es-ES" w:eastAsia="es-ES" w:bidi="es-ES"/>
      </w:rPr>
    </w:lvl>
    <w:lvl w:ilvl="2">
      <w:start w:val="0"/>
      <w:numFmt w:val="bullet"/>
      <w:lvlText w:val="•"/>
      <w:lvlJc w:val="left"/>
      <w:pPr>
        <w:ind w:left="3933" w:hanging="168"/>
      </w:pPr>
      <w:rPr>
        <w:rFonts w:hint="default"/>
        <w:lang w:val="es-ES" w:eastAsia="es-ES" w:bidi="es-ES"/>
      </w:rPr>
    </w:lvl>
    <w:lvl w:ilvl="3">
      <w:start w:val="0"/>
      <w:numFmt w:val="bullet"/>
      <w:lvlText w:val="•"/>
      <w:lvlJc w:val="left"/>
      <w:pPr>
        <w:ind w:left="4769" w:hanging="168"/>
      </w:pPr>
      <w:rPr>
        <w:rFonts w:hint="default"/>
        <w:lang w:val="es-ES" w:eastAsia="es-ES" w:bidi="es-ES"/>
      </w:rPr>
    </w:lvl>
    <w:lvl w:ilvl="4">
      <w:start w:val="0"/>
      <w:numFmt w:val="bullet"/>
      <w:lvlText w:val="•"/>
      <w:lvlJc w:val="left"/>
      <w:pPr>
        <w:ind w:left="5606" w:hanging="168"/>
      </w:pPr>
      <w:rPr>
        <w:rFonts w:hint="default"/>
        <w:lang w:val="es-ES" w:eastAsia="es-ES" w:bidi="es-ES"/>
      </w:rPr>
    </w:lvl>
    <w:lvl w:ilvl="5">
      <w:start w:val="0"/>
      <w:numFmt w:val="bullet"/>
      <w:lvlText w:val="•"/>
      <w:lvlJc w:val="left"/>
      <w:pPr>
        <w:ind w:left="6442" w:hanging="168"/>
      </w:pPr>
      <w:rPr>
        <w:rFonts w:hint="default"/>
        <w:lang w:val="es-ES" w:eastAsia="es-ES" w:bidi="es-ES"/>
      </w:rPr>
    </w:lvl>
    <w:lvl w:ilvl="6">
      <w:start w:val="0"/>
      <w:numFmt w:val="bullet"/>
      <w:lvlText w:val="•"/>
      <w:lvlJc w:val="left"/>
      <w:pPr>
        <w:ind w:left="7279" w:hanging="168"/>
      </w:pPr>
      <w:rPr>
        <w:rFonts w:hint="default"/>
        <w:lang w:val="es-ES" w:eastAsia="es-ES" w:bidi="es-ES"/>
      </w:rPr>
    </w:lvl>
    <w:lvl w:ilvl="7">
      <w:start w:val="0"/>
      <w:numFmt w:val="bullet"/>
      <w:lvlText w:val="•"/>
      <w:lvlJc w:val="left"/>
      <w:pPr>
        <w:ind w:left="8115" w:hanging="168"/>
      </w:pPr>
      <w:rPr>
        <w:rFonts w:hint="default"/>
        <w:lang w:val="es-ES" w:eastAsia="es-ES" w:bidi="es-ES"/>
      </w:rPr>
    </w:lvl>
    <w:lvl w:ilvl="8">
      <w:start w:val="0"/>
      <w:numFmt w:val="bullet"/>
      <w:lvlText w:val="•"/>
      <w:lvlJc w:val="left"/>
      <w:pPr>
        <w:ind w:left="8952" w:hanging="168"/>
      </w:pPr>
      <w:rPr>
        <w:rFonts w:hint="default"/>
        <w:lang w:val="es-ES" w:eastAsia="es-ES" w:bidi="es-ES"/>
      </w:rPr>
    </w:lvl>
  </w:abstractNum>
  <w:abstractNum w:abstractNumId="416">
    <w:multiLevelType w:val="hybridMultilevel"/>
    <w:lvl w:ilvl="0">
      <w:start w:val="1"/>
      <w:numFmt w:val="upperLetter"/>
      <w:lvlText w:val="%1)"/>
      <w:lvlJc w:val="left"/>
      <w:pPr>
        <w:ind w:left="1754" w:hanging="32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321"/>
      </w:pPr>
      <w:rPr>
        <w:rFonts w:hint="default"/>
        <w:lang w:val="es-ES" w:eastAsia="es-ES" w:bidi="es-ES"/>
      </w:rPr>
    </w:lvl>
    <w:lvl w:ilvl="2">
      <w:start w:val="0"/>
      <w:numFmt w:val="bullet"/>
      <w:lvlText w:val="•"/>
      <w:lvlJc w:val="left"/>
      <w:pPr>
        <w:ind w:left="3533" w:hanging="321"/>
      </w:pPr>
      <w:rPr>
        <w:rFonts w:hint="default"/>
        <w:lang w:val="es-ES" w:eastAsia="es-ES" w:bidi="es-ES"/>
      </w:rPr>
    </w:lvl>
    <w:lvl w:ilvl="3">
      <w:start w:val="0"/>
      <w:numFmt w:val="bullet"/>
      <w:lvlText w:val="•"/>
      <w:lvlJc w:val="left"/>
      <w:pPr>
        <w:ind w:left="4419" w:hanging="321"/>
      </w:pPr>
      <w:rPr>
        <w:rFonts w:hint="default"/>
        <w:lang w:val="es-ES" w:eastAsia="es-ES" w:bidi="es-ES"/>
      </w:rPr>
    </w:lvl>
    <w:lvl w:ilvl="4">
      <w:start w:val="0"/>
      <w:numFmt w:val="bullet"/>
      <w:lvlText w:val="•"/>
      <w:lvlJc w:val="left"/>
      <w:pPr>
        <w:ind w:left="5306" w:hanging="321"/>
      </w:pPr>
      <w:rPr>
        <w:rFonts w:hint="default"/>
        <w:lang w:val="es-ES" w:eastAsia="es-ES" w:bidi="es-ES"/>
      </w:rPr>
    </w:lvl>
    <w:lvl w:ilvl="5">
      <w:start w:val="0"/>
      <w:numFmt w:val="bullet"/>
      <w:lvlText w:val="•"/>
      <w:lvlJc w:val="left"/>
      <w:pPr>
        <w:ind w:left="6192" w:hanging="321"/>
      </w:pPr>
      <w:rPr>
        <w:rFonts w:hint="default"/>
        <w:lang w:val="es-ES" w:eastAsia="es-ES" w:bidi="es-ES"/>
      </w:rPr>
    </w:lvl>
    <w:lvl w:ilvl="6">
      <w:start w:val="0"/>
      <w:numFmt w:val="bullet"/>
      <w:lvlText w:val="•"/>
      <w:lvlJc w:val="left"/>
      <w:pPr>
        <w:ind w:left="7079" w:hanging="321"/>
      </w:pPr>
      <w:rPr>
        <w:rFonts w:hint="default"/>
        <w:lang w:val="es-ES" w:eastAsia="es-ES" w:bidi="es-ES"/>
      </w:rPr>
    </w:lvl>
    <w:lvl w:ilvl="7">
      <w:start w:val="0"/>
      <w:numFmt w:val="bullet"/>
      <w:lvlText w:val="•"/>
      <w:lvlJc w:val="left"/>
      <w:pPr>
        <w:ind w:left="7965" w:hanging="321"/>
      </w:pPr>
      <w:rPr>
        <w:rFonts w:hint="default"/>
        <w:lang w:val="es-ES" w:eastAsia="es-ES" w:bidi="es-ES"/>
      </w:rPr>
    </w:lvl>
    <w:lvl w:ilvl="8">
      <w:start w:val="0"/>
      <w:numFmt w:val="bullet"/>
      <w:lvlText w:val="•"/>
      <w:lvlJc w:val="left"/>
      <w:pPr>
        <w:ind w:left="8852" w:hanging="321"/>
      </w:pPr>
      <w:rPr>
        <w:rFonts w:hint="default"/>
        <w:lang w:val="es-ES" w:eastAsia="es-ES" w:bidi="es-ES"/>
      </w:rPr>
    </w:lvl>
  </w:abstractNum>
  <w:abstractNum w:abstractNumId="415">
    <w:multiLevelType w:val="hybridMultilevel"/>
    <w:lvl w:ilvl="0">
      <w:start w:val="1"/>
      <w:numFmt w:val="lowerLetter"/>
      <w:lvlText w:val="%1)"/>
      <w:lvlJc w:val="left"/>
      <w:pPr>
        <w:ind w:left="175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42"/>
      </w:pPr>
      <w:rPr>
        <w:rFonts w:hint="default"/>
        <w:lang w:val="es-ES" w:eastAsia="es-ES" w:bidi="es-ES"/>
      </w:rPr>
    </w:lvl>
    <w:lvl w:ilvl="2">
      <w:start w:val="0"/>
      <w:numFmt w:val="bullet"/>
      <w:lvlText w:val="•"/>
      <w:lvlJc w:val="left"/>
      <w:pPr>
        <w:ind w:left="3533" w:hanging="242"/>
      </w:pPr>
      <w:rPr>
        <w:rFonts w:hint="default"/>
        <w:lang w:val="es-ES" w:eastAsia="es-ES" w:bidi="es-ES"/>
      </w:rPr>
    </w:lvl>
    <w:lvl w:ilvl="3">
      <w:start w:val="0"/>
      <w:numFmt w:val="bullet"/>
      <w:lvlText w:val="•"/>
      <w:lvlJc w:val="left"/>
      <w:pPr>
        <w:ind w:left="4419" w:hanging="242"/>
      </w:pPr>
      <w:rPr>
        <w:rFonts w:hint="default"/>
        <w:lang w:val="es-ES" w:eastAsia="es-ES" w:bidi="es-ES"/>
      </w:rPr>
    </w:lvl>
    <w:lvl w:ilvl="4">
      <w:start w:val="0"/>
      <w:numFmt w:val="bullet"/>
      <w:lvlText w:val="•"/>
      <w:lvlJc w:val="left"/>
      <w:pPr>
        <w:ind w:left="5306" w:hanging="242"/>
      </w:pPr>
      <w:rPr>
        <w:rFonts w:hint="default"/>
        <w:lang w:val="es-ES" w:eastAsia="es-ES" w:bidi="es-ES"/>
      </w:rPr>
    </w:lvl>
    <w:lvl w:ilvl="5">
      <w:start w:val="0"/>
      <w:numFmt w:val="bullet"/>
      <w:lvlText w:val="•"/>
      <w:lvlJc w:val="left"/>
      <w:pPr>
        <w:ind w:left="6192" w:hanging="242"/>
      </w:pPr>
      <w:rPr>
        <w:rFonts w:hint="default"/>
        <w:lang w:val="es-ES" w:eastAsia="es-ES" w:bidi="es-ES"/>
      </w:rPr>
    </w:lvl>
    <w:lvl w:ilvl="6">
      <w:start w:val="0"/>
      <w:numFmt w:val="bullet"/>
      <w:lvlText w:val="•"/>
      <w:lvlJc w:val="left"/>
      <w:pPr>
        <w:ind w:left="7079" w:hanging="242"/>
      </w:pPr>
      <w:rPr>
        <w:rFonts w:hint="default"/>
        <w:lang w:val="es-ES" w:eastAsia="es-ES" w:bidi="es-ES"/>
      </w:rPr>
    </w:lvl>
    <w:lvl w:ilvl="7">
      <w:start w:val="0"/>
      <w:numFmt w:val="bullet"/>
      <w:lvlText w:val="•"/>
      <w:lvlJc w:val="left"/>
      <w:pPr>
        <w:ind w:left="7965" w:hanging="242"/>
      </w:pPr>
      <w:rPr>
        <w:rFonts w:hint="default"/>
        <w:lang w:val="es-ES" w:eastAsia="es-ES" w:bidi="es-ES"/>
      </w:rPr>
    </w:lvl>
    <w:lvl w:ilvl="8">
      <w:start w:val="0"/>
      <w:numFmt w:val="bullet"/>
      <w:lvlText w:val="•"/>
      <w:lvlJc w:val="left"/>
      <w:pPr>
        <w:ind w:left="8852" w:hanging="242"/>
      </w:pPr>
      <w:rPr>
        <w:rFonts w:hint="default"/>
        <w:lang w:val="es-ES" w:eastAsia="es-ES" w:bidi="es-ES"/>
      </w:rPr>
    </w:lvl>
  </w:abstractNum>
  <w:abstractNum w:abstractNumId="414">
    <w:multiLevelType w:val="hybridMultilevel"/>
    <w:lvl w:ilvl="0">
      <w:start w:val="0"/>
      <w:numFmt w:val="bullet"/>
      <w:lvlText w:val="–"/>
      <w:lvlJc w:val="left"/>
      <w:pPr>
        <w:ind w:left="1754" w:hanging="187"/>
      </w:pPr>
      <w:rPr>
        <w:rFonts w:hint="default" w:ascii="Arial" w:hAnsi="Arial" w:eastAsia="Arial" w:cs="Arial"/>
        <w:w w:val="89"/>
        <w:sz w:val="20"/>
        <w:szCs w:val="20"/>
        <w:lang w:val="es-ES" w:eastAsia="es-ES" w:bidi="es-ES"/>
      </w:rPr>
    </w:lvl>
    <w:lvl w:ilvl="1">
      <w:start w:val="0"/>
      <w:numFmt w:val="bullet"/>
      <w:lvlText w:val="•"/>
      <w:lvlJc w:val="left"/>
      <w:pPr>
        <w:ind w:left="2646" w:hanging="187"/>
      </w:pPr>
      <w:rPr>
        <w:rFonts w:hint="default"/>
        <w:lang w:val="es-ES" w:eastAsia="es-ES" w:bidi="es-ES"/>
      </w:rPr>
    </w:lvl>
    <w:lvl w:ilvl="2">
      <w:start w:val="0"/>
      <w:numFmt w:val="bullet"/>
      <w:lvlText w:val="•"/>
      <w:lvlJc w:val="left"/>
      <w:pPr>
        <w:ind w:left="3533" w:hanging="187"/>
      </w:pPr>
      <w:rPr>
        <w:rFonts w:hint="default"/>
        <w:lang w:val="es-ES" w:eastAsia="es-ES" w:bidi="es-ES"/>
      </w:rPr>
    </w:lvl>
    <w:lvl w:ilvl="3">
      <w:start w:val="0"/>
      <w:numFmt w:val="bullet"/>
      <w:lvlText w:val="•"/>
      <w:lvlJc w:val="left"/>
      <w:pPr>
        <w:ind w:left="4419" w:hanging="187"/>
      </w:pPr>
      <w:rPr>
        <w:rFonts w:hint="default"/>
        <w:lang w:val="es-ES" w:eastAsia="es-ES" w:bidi="es-ES"/>
      </w:rPr>
    </w:lvl>
    <w:lvl w:ilvl="4">
      <w:start w:val="0"/>
      <w:numFmt w:val="bullet"/>
      <w:lvlText w:val="•"/>
      <w:lvlJc w:val="left"/>
      <w:pPr>
        <w:ind w:left="5306" w:hanging="187"/>
      </w:pPr>
      <w:rPr>
        <w:rFonts w:hint="default"/>
        <w:lang w:val="es-ES" w:eastAsia="es-ES" w:bidi="es-ES"/>
      </w:rPr>
    </w:lvl>
    <w:lvl w:ilvl="5">
      <w:start w:val="0"/>
      <w:numFmt w:val="bullet"/>
      <w:lvlText w:val="•"/>
      <w:lvlJc w:val="left"/>
      <w:pPr>
        <w:ind w:left="6192" w:hanging="187"/>
      </w:pPr>
      <w:rPr>
        <w:rFonts w:hint="default"/>
        <w:lang w:val="es-ES" w:eastAsia="es-ES" w:bidi="es-ES"/>
      </w:rPr>
    </w:lvl>
    <w:lvl w:ilvl="6">
      <w:start w:val="0"/>
      <w:numFmt w:val="bullet"/>
      <w:lvlText w:val="•"/>
      <w:lvlJc w:val="left"/>
      <w:pPr>
        <w:ind w:left="7079" w:hanging="187"/>
      </w:pPr>
      <w:rPr>
        <w:rFonts w:hint="default"/>
        <w:lang w:val="es-ES" w:eastAsia="es-ES" w:bidi="es-ES"/>
      </w:rPr>
    </w:lvl>
    <w:lvl w:ilvl="7">
      <w:start w:val="0"/>
      <w:numFmt w:val="bullet"/>
      <w:lvlText w:val="•"/>
      <w:lvlJc w:val="left"/>
      <w:pPr>
        <w:ind w:left="7965" w:hanging="187"/>
      </w:pPr>
      <w:rPr>
        <w:rFonts w:hint="default"/>
        <w:lang w:val="es-ES" w:eastAsia="es-ES" w:bidi="es-ES"/>
      </w:rPr>
    </w:lvl>
    <w:lvl w:ilvl="8">
      <w:start w:val="0"/>
      <w:numFmt w:val="bullet"/>
      <w:lvlText w:val="•"/>
      <w:lvlJc w:val="left"/>
      <w:pPr>
        <w:ind w:left="8852" w:hanging="187"/>
      </w:pPr>
      <w:rPr>
        <w:rFonts w:hint="default"/>
        <w:lang w:val="es-ES" w:eastAsia="es-ES" w:bidi="es-ES"/>
      </w:rPr>
    </w:lvl>
  </w:abstractNum>
  <w:abstractNum w:abstractNumId="413">
    <w:multiLevelType w:val="hybridMultilevel"/>
    <w:lvl w:ilvl="0">
      <w:start w:val="2"/>
      <w:numFmt w:val="upperLetter"/>
      <w:lvlText w:val="%1)"/>
      <w:lvlJc w:val="left"/>
      <w:pPr>
        <w:ind w:left="1754" w:hanging="301"/>
        <w:jc w:val="left"/>
      </w:pPr>
      <w:rPr>
        <w:rFonts w:hint="default" w:ascii="Arial" w:hAnsi="Arial" w:eastAsia="Arial" w:cs="Arial"/>
        <w:spacing w:val="-21"/>
        <w:w w:val="100"/>
        <w:sz w:val="20"/>
        <w:szCs w:val="20"/>
        <w:lang w:val="es-ES" w:eastAsia="es-ES" w:bidi="es-ES"/>
      </w:rPr>
    </w:lvl>
    <w:lvl w:ilvl="1">
      <w:start w:val="1"/>
      <w:numFmt w:val="lowerLetter"/>
      <w:lvlText w:val="%2)"/>
      <w:lvlJc w:val="left"/>
      <w:pPr>
        <w:ind w:left="1754" w:hanging="254"/>
        <w:jc w:val="left"/>
      </w:pPr>
      <w:rPr>
        <w:rFonts w:hint="default" w:ascii="Arial" w:hAnsi="Arial" w:eastAsia="Arial" w:cs="Arial"/>
        <w:spacing w:val="-1"/>
        <w:w w:val="100"/>
        <w:sz w:val="20"/>
        <w:szCs w:val="20"/>
        <w:lang w:val="es-ES" w:eastAsia="es-ES" w:bidi="es-ES"/>
      </w:rPr>
    </w:lvl>
    <w:lvl w:ilvl="2">
      <w:start w:val="0"/>
      <w:numFmt w:val="bullet"/>
      <w:lvlText w:val="•"/>
      <w:lvlJc w:val="left"/>
      <w:pPr>
        <w:ind w:left="3533" w:hanging="254"/>
      </w:pPr>
      <w:rPr>
        <w:rFonts w:hint="default"/>
        <w:lang w:val="es-ES" w:eastAsia="es-ES" w:bidi="es-ES"/>
      </w:rPr>
    </w:lvl>
    <w:lvl w:ilvl="3">
      <w:start w:val="0"/>
      <w:numFmt w:val="bullet"/>
      <w:lvlText w:val="•"/>
      <w:lvlJc w:val="left"/>
      <w:pPr>
        <w:ind w:left="4419" w:hanging="254"/>
      </w:pPr>
      <w:rPr>
        <w:rFonts w:hint="default"/>
        <w:lang w:val="es-ES" w:eastAsia="es-ES" w:bidi="es-ES"/>
      </w:rPr>
    </w:lvl>
    <w:lvl w:ilvl="4">
      <w:start w:val="0"/>
      <w:numFmt w:val="bullet"/>
      <w:lvlText w:val="•"/>
      <w:lvlJc w:val="left"/>
      <w:pPr>
        <w:ind w:left="5306" w:hanging="254"/>
      </w:pPr>
      <w:rPr>
        <w:rFonts w:hint="default"/>
        <w:lang w:val="es-ES" w:eastAsia="es-ES" w:bidi="es-ES"/>
      </w:rPr>
    </w:lvl>
    <w:lvl w:ilvl="5">
      <w:start w:val="0"/>
      <w:numFmt w:val="bullet"/>
      <w:lvlText w:val="•"/>
      <w:lvlJc w:val="left"/>
      <w:pPr>
        <w:ind w:left="6192" w:hanging="254"/>
      </w:pPr>
      <w:rPr>
        <w:rFonts w:hint="default"/>
        <w:lang w:val="es-ES" w:eastAsia="es-ES" w:bidi="es-ES"/>
      </w:rPr>
    </w:lvl>
    <w:lvl w:ilvl="6">
      <w:start w:val="0"/>
      <w:numFmt w:val="bullet"/>
      <w:lvlText w:val="•"/>
      <w:lvlJc w:val="left"/>
      <w:pPr>
        <w:ind w:left="7079" w:hanging="254"/>
      </w:pPr>
      <w:rPr>
        <w:rFonts w:hint="default"/>
        <w:lang w:val="es-ES" w:eastAsia="es-ES" w:bidi="es-ES"/>
      </w:rPr>
    </w:lvl>
    <w:lvl w:ilvl="7">
      <w:start w:val="0"/>
      <w:numFmt w:val="bullet"/>
      <w:lvlText w:val="•"/>
      <w:lvlJc w:val="left"/>
      <w:pPr>
        <w:ind w:left="7965" w:hanging="254"/>
      </w:pPr>
      <w:rPr>
        <w:rFonts w:hint="default"/>
        <w:lang w:val="es-ES" w:eastAsia="es-ES" w:bidi="es-ES"/>
      </w:rPr>
    </w:lvl>
    <w:lvl w:ilvl="8">
      <w:start w:val="0"/>
      <w:numFmt w:val="bullet"/>
      <w:lvlText w:val="•"/>
      <w:lvlJc w:val="left"/>
      <w:pPr>
        <w:ind w:left="8852" w:hanging="254"/>
      </w:pPr>
      <w:rPr>
        <w:rFonts w:hint="default"/>
        <w:lang w:val="es-ES" w:eastAsia="es-ES" w:bidi="es-ES"/>
      </w:rPr>
    </w:lvl>
  </w:abstractNum>
  <w:abstractNum w:abstractNumId="412">
    <w:multiLevelType w:val="hybridMultilevel"/>
    <w:lvl w:ilvl="0">
      <w:start w:val="1"/>
      <w:numFmt w:val="lowerLetter"/>
      <w:lvlText w:val="%1)"/>
      <w:lvlJc w:val="left"/>
      <w:pPr>
        <w:ind w:left="1754" w:hanging="300"/>
        <w:jc w:val="left"/>
      </w:pPr>
      <w:rPr>
        <w:rFonts w:hint="default" w:ascii="Arial" w:hAnsi="Arial" w:eastAsia="Arial" w:cs="Arial"/>
        <w:spacing w:val="-13"/>
        <w:w w:val="100"/>
        <w:sz w:val="20"/>
        <w:szCs w:val="20"/>
        <w:lang w:val="es-ES" w:eastAsia="es-ES" w:bidi="es-ES"/>
      </w:rPr>
    </w:lvl>
    <w:lvl w:ilvl="1">
      <w:start w:val="0"/>
      <w:numFmt w:val="bullet"/>
      <w:lvlText w:val="•"/>
      <w:lvlJc w:val="left"/>
      <w:pPr>
        <w:ind w:left="2646" w:hanging="300"/>
      </w:pPr>
      <w:rPr>
        <w:rFonts w:hint="default"/>
        <w:lang w:val="es-ES" w:eastAsia="es-ES" w:bidi="es-ES"/>
      </w:rPr>
    </w:lvl>
    <w:lvl w:ilvl="2">
      <w:start w:val="0"/>
      <w:numFmt w:val="bullet"/>
      <w:lvlText w:val="•"/>
      <w:lvlJc w:val="left"/>
      <w:pPr>
        <w:ind w:left="3533" w:hanging="300"/>
      </w:pPr>
      <w:rPr>
        <w:rFonts w:hint="default"/>
        <w:lang w:val="es-ES" w:eastAsia="es-ES" w:bidi="es-ES"/>
      </w:rPr>
    </w:lvl>
    <w:lvl w:ilvl="3">
      <w:start w:val="0"/>
      <w:numFmt w:val="bullet"/>
      <w:lvlText w:val="•"/>
      <w:lvlJc w:val="left"/>
      <w:pPr>
        <w:ind w:left="4419" w:hanging="300"/>
      </w:pPr>
      <w:rPr>
        <w:rFonts w:hint="default"/>
        <w:lang w:val="es-ES" w:eastAsia="es-ES" w:bidi="es-ES"/>
      </w:rPr>
    </w:lvl>
    <w:lvl w:ilvl="4">
      <w:start w:val="0"/>
      <w:numFmt w:val="bullet"/>
      <w:lvlText w:val="•"/>
      <w:lvlJc w:val="left"/>
      <w:pPr>
        <w:ind w:left="5306" w:hanging="300"/>
      </w:pPr>
      <w:rPr>
        <w:rFonts w:hint="default"/>
        <w:lang w:val="es-ES" w:eastAsia="es-ES" w:bidi="es-ES"/>
      </w:rPr>
    </w:lvl>
    <w:lvl w:ilvl="5">
      <w:start w:val="0"/>
      <w:numFmt w:val="bullet"/>
      <w:lvlText w:val="•"/>
      <w:lvlJc w:val="left"/>
      <w:pPr>
        <w:ind w:left="6192" w:hanging="300"/>
      </w:pPr>
      <w:rPr>
        <w:rFonts w:hint="default"/>
        <w:lang w:val="es-ES" w:eastAsia="es-ES" w:bidi="es-ES"/>
      </w:rPr>
    </w:lvl>
    <w:lvl w:ilvl="6">
      <w:start w:val="0"/>
      <w:numFmt w:val="bullet"/>
      <w:lvlText w:val="•"/>
      <w:lvlJc w:val="left"/>
      <w:pPr>
        <w:ind w:left="7079" w:hanging="300"/>
      </w:pPr>
      <w:rPr>
        <w:rFonts w:hint="default"/>
        <w:lang w:val="es-ES" w:eastAsia="es-ES" w:bidi="es-ES"/>
      </w:rPr>
    </w:lvl>
    <w:lvl w:ilvl="7">
      <w:start w:val="0"/>
      <w:numFmt w:val="bullet"/>
      <w:lvlText w:val="•"/>
      <w:lvlJc w:val="left"/>
      <w:pPr>
        <w:ind w:left="7965" w:hanging="300"/>
      </w:pPr>
      <w:rPr>
        <w:rFonts w:hint="default"/>
        <w:lang w:val="es-ES" w:eastAsia="es-ES" w:bidi="es-ES"/>
      </w:rPr>
    </w:lvl>
    <w:lvl w:ilvl="8">
      <w:start w:val="0"/>
      <w:numFmt w:val="bullet"/>
      <w:lvlText w:val="•"/>
      <w:lvlJc w:val="left"/>
      <w:pPr>
        <w:ind w:left="8852" w:hanging="300"/>
      </w:pPr>
      <w:rPr>
        <w:rFonts w:hint="default"/>
        <w:lang w:val="es-ES" w:eastAsia="es-ES" w:bidi="es-ES"/>
      </w:rPr>
    </w:lvl>
  </w:abstractNum>
  <w:abstractNum w:abstractNumId="411">
    <w:multiLevelType w:val="hybridMultilevel"/>
    <w:lvl w:ilvl="0">
      <w:start w:val="1"/>
      <w:numFmt w:val="lowerLetter"/>
      <w:lvlText w:val="%1)"/>
      <w:lvlJc w:val="left"/>
      <w:pPr>
        <w:ind w:left="175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7"/>
      </w:pPr>
      <w:rPr>
        <w:rFonts w:hint="default"/>
        <w:lang w:val="es-ES" w:eastAsia="es-ES" w:bidi="es-ES"/>
      </w:rPr>
    </w:lvl>
    <w:lvl w:ilvl="2">
      <w:start w:val="0"/>
      <w:numFmt w:val="bullet"/>
      <w:lvlText w:val="•"/>
      <w:lvlJc w:val="left"/>
      <w:pPr>
        <w:ind w:left="3533" w:hanging="237"/>
      </w:pPr>
      <w:rPr>
        <w:rFonts w:hint="default"/>
        <w:lang w:val="es-ES" w:eastAsia="es-ES" w:bidi="es-ES"/>
      </w:rPr>
    </w:lvl>
    <w:lvl w:ilvl="3">
      <w:start w:val="0"/>
      <w:numFmt w:val="bullet"/>
      <w:lvlText w:val="•"/>
      <w:lvlJc w:val="left"/>
      <w:pPr>
        <w:ind w:left="4419" w:hanging="237"/>
      </w:pPr>
      <w:rPr>
        <w:rFonts w:hint="default"/>
        <w:lang w:val="es-ES" w:eastAsia="es-ES" w:bidi="es-ES"/>
      </w:rPr>
    </w:lvl>
    <w:lvl w:ilvl="4">
      <w:start w:val="0"/>
      <w:numFmt w:val="bullet"/>
      <w:lvlText w:val="•"/>
      <w:lvlJc w:val="left"/>
      <w:pPr>
        <w:ind w:left="5306" w:hanging="237"/>
      </w:pPr>
      <w:rPr>
        <w:rFonts w:hint="default"/>
        <w:lang w:val="es-ES" w:eastAsia="es-ES" w:bidi="es-ES"/>
      </w:rPr>
    </w:lvl>
    <w:lvl w:ilvl="5">
      <w:start w:val="0"/>
      <w:numFmt w:val="bullet"/>
      <w:lvlText w:val="•"/>
      <w:lvlJc w:val="left"/>
      <w:pPr>
        <w:ind w:left="6192" w:hanging="237"/>
      </w:pPr>
      <w:rPr>
        <w:rFonts w:hint="default"/>
        <w:lang w:val="es-ES" w:eastAsia="es-ES" w:bidi="es-ES"/>
      </w:rPr>
    </w:lvl>
    <w:lvl w:ilvl="6">
      <w:start w:val="0"/>
      <w:numFmt w:val="bullet"/>
      <w:lvlText w:val="•"/>
      <w:lvlJc w:val="left"/>
      <w:pPr>
        <w:ind w:left="7079" w:hanging="237"/>
      </w:pPr>
      <w:rPr>
        <w:rFonts w:hint="default"/>
        <w:lang w:val="es-ES" w:eastAsia="es-ES" w:bidi="es-ES"/>
      </w:rPr>
    </w:lvl>
    <w:lvl w:ilvl="7">
      <w:start w:val="0"/>
      <w:numFmt w:val="bullet"/>
      <w:lvlText w:val="•"/>
      <w:lvlJc w:val="left"/>
      <w:pPr>
        <w:ind w:left="7965" w:hanging="237"/>
      </w:pPr>
      <w:rPr>
        <w:rFonts w:hint="default"/>
        <w:lang w:val="es-ES" w:eastAsia="es-ES" w:bidi="es-ES"/>
      </w:rPr>
    </w:lvl>
    <w:lvl w:ilvl="8">
      <w:start w:val="0"/>
      <w:numFmt w:val="bullet"/>
      <w:lvlText w:val="•"/>
      <w:lvlJc w:val="left"/>
      <w:pPr>
        <w:ind w:left="8852" w:hanging="237"/>
      </w:pPr>
      <w:rPr>
        <w:rFonts w:hint="default"/>
        <w:lang w:val="es-ES" w:eastAsia="es-ES" w:bidi="es-ES"/>
      </w:rPr>
    </w:lvl>
  </w:abstractNum>
  <w:abstractNum w:abstractNumId="410">
    <w:multiLevelType w:val="hybridMultilevel"/>
    <w:lvl w:ilvl="0">
      <w:start w:val="1"/>
      <w:numFmt w:val="lowerLetter"/>
      <w:lvlText w:val="%1)"/>
      <w:lvlJc w:val="left"/>
      <w:pPr>
        <w:ind w:left="175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4"/>
      </w:pPr>
      <w:rPr>
        <w:rFonts w:hint="default"/>
        <w:lang w:val="es-ES" w:eastAsia="es-ES" w:bidi="es-ES"/>
      </w:rPr>
    </w:lvl>
    <w:lvl w:ilvl="2">
      <w:start w:val="0"/>
      <w:numFmt w:val="bullet"/>
      <w:lvlText w:val="•"/>
      <w:lvlJc w:val="left"/>
      <w:pPr>
        <w:ind w:left="3533" w:hanging="234"/>
      </w:pPr>
      <w:rPr>
        <w:rFonts w:hint="default"/>
        <w:lang w:val="es-ES" w:eastAsia="es-ES" w:bidi="es-ES"/>
      </w:rPr>
    </w:lvl>
    <w:lvl w:ilvl="3">
      <w:start w:val="0"/>
      <w:numFmt w:val="bullet"/>
      <w:lvlText w:val="•"/>
      <w:lvlJc w:val="left"/>
      <w:pPr>
        <w:ind w:left="4419" w:hanging="234"/>
      </w:pPr>
      <w:rPr>
        <w:rFonts w:hint="default"/>
        <w:lang w:val="es-ES" w:eastAsia="es-ES" w:bidi="es-ES"/>
      </w:rPr>
    </w:lvl>
    <w:lvl w:ilvl="4">
      <w:start w:val="0"/>
      <w:numFmt w:val="bullet"/>
      <w:lvlText w:val="•"/>
      <w:lvlJc w:val="left"/>
      <w:pPr>
        <w:ind w:left="5306" w:hanging="234"/>
      </w:pPr>
      <w:rPr>
        <w:rFonts w:hint="default"/>
        <w:lang w:val="es-ES" w:eastAsia="es-ES" w:bidi="es-ES"/>
      </w:rPr>
    </w:lvl>
    <w:lvl w:ilvl="5">
      <w:start w:val="0"/>
      <w:numFmt w:val="bullet"/>
      <w:lvlText w:val="•"/>
      <w:lvlJc w:val="left"/>
      <w:pPr>
        <w:ind w:left="6192" w:hanging="234"/>
      </w:pPr>
      <w:rPr>
        <w:rFonts w:hint="default"/>
        <w:lang w:val="es-ES" w:eastAsia="es-ES" w:bidi="es-ES"/>
      </w:rPr>
    </w:lvl>
    <w:lvl w:ilvl="6">
      <w:start w:val="0"/>
      <w:numFmt w:val="bullet"/>
      <w:lvlText w:val="•"/>
      <w:lvlJc w:val="left"/>
      <w:pPr>
        <w:ind w:left="7079" w:hanging="234"/>
      </w:pPr>
      <w:rPr>
        <w:rFonts w:hint="default"/>
        <w:lang w:val="es-ES" w:eastAsia="es-ES" w:bidi="es-ES"/>
      </w:rPr>
    </w:lvl>
    <w:lvl w:ilvl="7">
      <w:start w:val="0"/>
      <w:numFmt w:val="bullet"/>
      <w:lvlText w:val="•"/>
      <w:lvlJc w:val="left"/>
      <w:pPr>
        <w:ind w:left="7965" w:hanging="234"/>
      </w:pPr>
      <w:rPr>
        <w:rFonts w:hint="default"/>
        <w:lang w:val="es-ES" w:eastAsia="es-ES" w:bidi="es-ES"/>
      </w:rPr>
    </w:lvl>
    <w:lvl w:ilvl="8">
      <w:start w:val="0"/>
      <w:numFmt w:val="bullet"/>
      <w:lvlText w:val="•"/>
      <w:lvlJc w:val="left"/>
      <w:pPr>
        <w:ind w:left="8852" w:hanging="234"/>
      </w:pPr>
      <w:rPr>
        <w:rFonts w:hint="default"/>
        <w:lang w:val="es-ES" w:eastAsia="es-ES" w:bidi="es-ES"/>
      </w:rPr>
    </w:lvl>
  </w:abstractNum>
  <w:abstractNum w:abstractNumId="409">
    <w:multiLevelType w:val="hybridMultilevel"/>
    <w:lvl w:ilvl="0">
      <w:start w:val="1"/>
      <w:numFmt w:val="lowerLetter"/>
      <w:lvlText w:val="%1)"/>
      <w:lvlJc w:val="left"/>
      <w:pPr>
        <w:ind w:left="175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41"/>
      </w:pPr>
      <w:rPr>
        <w:rFonts w:hint="default"/>
        <w:lang w:val="es-ES" w:eastAsia="es-ES" w:bidi="es-ES"/>
      </w:rPr>
    </w:lvl>
    <w:lvl w:ilvl="2">
      <w:start w:val="0"/>
      <w:numFmt w:val="bullet"/>
      <w:lvlText w:val="•"/>
      <w:lvlJc w:val="left"/>
      <w:pPr>
        <w:ind w:left="3533" w:hanging="241"/>
      </w:pPr>
      <w:rPr>
        <w:rFonts w:hint="default"/>
        <w:lang w:val="es-ES" w:eastAsia="es-ES" w:bidi="es-ES"/>
      </w:rPr>
    </w:lvl>
    <w:lvl w:ilvl="3">
      <w:start w:val="0"/>
      <w:numFmt w:val="bullet"/>
      <w:lvlText w:val="•"/>
      <w:lvlJc w:val="left"/>
      <w:pPr>
        <w:ind w:left="4419" w:hanging="241"/>
      </w:pPr>
      <w:rPr>
        <w:rFonts w:hint="default"/>
        <w:lang w:val="es-ES" w:eastAsia="es-ES" w:bidi="es-ES"/>
      </w:rPr>
    </w:lvl>
    <w:lvl w:ilvl="4">
      <w:start w:val="0"/>
      <w:numFmt w:val="bullet"/>
      <w:lvlText w:val="•"/>
      <w:lvlJc w:val="left"/>
      <w:pPr>
        <w:ind w:left="5306" w:hanging="241"/>
      </w:pPr>
      <w:rPr>
        <w:rFonts w:hint="default"/>
        <w:lang w:val="es-ES" w:eastAsia="es-ES" w:bidi="es-ES"/>
      </w:rPr>
    </w:lvl>
    <w:lvl w:ilvl="5">
      <w:start w:val="0"/>
      <w:numFmt w:val="bullet"/>
      <w:lvlText w:val="•"/>
      <w:lvlJc w:val="left"/>
      <w:pPr>
        <w:ind w:left="6192" w:hanging="241"/>
      </w:pPr>
      <w:rPr>
        <w:rFonts w:hint="default"/>
        <w:lang w:val="es-ES" w:eastAsia="es-ES" w:bidi="es-ES"/>
      </w:rPr>
    </w:lvl>
    <w:lvl w:ilvl="6">
      <w:start w:val="0"/>
      <w:numFmt w:val="bullet"/>
      <w:lvlText w:val="•"/>
      <w:lvlJc w:val="left"/>
      <w:pPr>
        <w:ind w:left="7079" w:hanging="241"/>
      </w:pPr>
      <w:rPr>
        <w:rFonts w:hint="default"/>
        <w:lang w:val="es-ES" w:eastAsia="es-ES" w:bidi="es-ES"/>
      </w:rPr>
    </w:lvl>
    <w:lvl w:ilvl="7">
      <w:start w:val="0"/>
      <w:numFmt w:val="bullet"/>
      <w:lvlText w:val="•"/>
      <w:lvlJc w:val="left"/>
      <w:pPr>
        <w:ind w:left="7965" w:hanging="241"/>
      </w:pPr>
      <w:rPr>
        <w:rFonts w:hint="default"/>
        <w:lang w:val="es-ES" w:eastAsia="es-ES" w:bidi="es-ES"/>
      </w:rPr>
    </w:lvl>
    <w:lvl w:ilvl="8">
      <w:start w:val="0"/>
      <w:numFmt w:val="bullet"/>
      <w:lvlText w:val="•"/>
      <w:lvlJc w:val="left"/>
      <w:pPr>
        <w:ind w:left="8852" w:hanging="241"/>
      </w:pPr>
      <w:rPr>
        <w:rFonts w:hint="default"/>
        <w:lang w:val="es-ES" w:eastAsia="es-ES" w:bidi="es-ES"/>
      </w:rPr>
    </w:lvl>
  </w:abstractNum>
  <w:abstractNum w:abstractNumId="408">
    <w:multiLevelType w:val="hybridMultilevel"/>
    <w:lvl w:ilvl="0">
      <w:start w:val="1"/>
      <w:numFmt w:val="decimal"/>
      <w:lvlText w:val="%1."/>
      <w:lvlJc w:val="left"/>
      <w:pPr>
        <w:ind w:left="226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3096" w:hanging="168"/>
      </w:pPr>
      <w:rPr>
        <w:rFonts w:hint="default"/>
        <w:lang w:val="es-ES" w:eastAsia="es-ES" w:bidi="es-ES"/>
      </w:rPr>
    </w:lvl>
    <w:lvl w:ilvl="2">
      <w:start w:val="0"/>
      <w:numFmt w:val="bullet"/>
      <w:lvlText w:val="•"/>
      <w:lvlJc w:val="left"/>
      <w:pPr>
        <w:ind w:left="3933" w:hanging="168"/>
      </w:pPr>
      <w:rPr>
        <w:rFonts w:hint="default"/>
        <w:lang w:val="es-ES" w:eastAsia="es-ES" w:bidi="es-ES"/>
      </w:rPr>
    </w:lvl>
    <w:lvl w:ilvl="3">
      <w:start w:val="0"/>
      <w:numFmt w:val="bullet"/>
      <w:lvlText w:val="•"/>
      <w:lvlJc w:val="left"/>
      <w:pPr>
        <w:ind w:left="4769" w:hanging="168"/>
      </w:pPr>
      <w:rPr>
        <w:rFonts w:hint="default"/>
        <w:lang w:val="es-ES" w:eastAsia="es-ES" w:bidi="es-ES"/>
      </w:rPr>
    </w:lvl>
    <w:lvl w:ilvl="4">
      <w:start w:val="0"/>
      <w:numFmt w:val="bullet"/>
      <w:lvlText w:val="•"/>
      <w:lvlJc w:val="left"/>
      <w:pPr>
        <w:ind w:left="5606" w:hanging="168"/>
      </w:pPr>
      <w:rPr>
        <w:rFonts w:hint="default"/>
        <w:lang w:val="es-ES" w:eastAsia="es-ES" w:bidi="es-ES"/>
      </w:rPr>
    </w:lvl>
    <w:lvl w:ilvl="5">
      <w:start w:val="0"/>
      <w:numFmt w:val="bullet"/>
      <w:lvlText w:val="•"/>
      <w:lvlJc w:val="left"/>
      <w:pPr>
        <w:ind w:left="6442" w:hanging="168"/>
      </w:pPr>
      <w:rPr>
        <w:rFonts w:hint="default"/>
        <w:lang w:val="es-ES" w:eastAsia="es-ES" w:bidi="es-ES"/>
      </w:rPr>
    </w:lvl>
    <w:lvl w:ilvl="6">
      <w:start w:val="0"/>
      <w:numFmt w:val="bullet"/>
      <w:lvlText w:val="•"/>
      <w:lvlJc w:val="left"/>
      <w:pPr>
        <w:ind w:left="7279" w:hanging="168"/>
      </w:pPr>
      <w:rPr>
        <w:rFonts w:hint="default"/>
        <w:lang w:val="es-ES" w:eastAsia="es-ES" w:bidi="es-ES"/>
      </w:rPr>
    </w:lvl>
    <w:lvl w:ilvl="7">
      <w:start w:val="0"/>
      <w:numFmt w:val="bullet"/>
      <w:lvlText w:val="•"/>
      <w:lvlJc w:val="left"/>
      <w:pPr>
        <w:ind w:left="8115" w:hanging="168"/>
      </w:pPr>
      <w:rPr>
        <w:rFonts w:hint="default"/>
        <w:lang w:val="es-ES" w:eastAsia="es-ES" w:bidi="es-ES"/>
      </w:rPr>
    </w:lvl>
    <w:lvl w:ilvl="8">
      <w:start w:val="0"/>
      <w:numFmt w:val="bullet"/>
      <w:lvlText w:val="•"/>
      <w:lvlJc w:val="left"/>
      <w:pPr>
        <w:ind w:left="8952" w:hanging="168"/>
      </w:pPr>
      <w:rPr>
        <w:rFonts w:hint="default"/>
        <w:lang w:val="es-ES" w:eastAsia="es-ES" w:bidi="es-ES"/>
      </w:rPr>
    </w:lvl>
  </w:abstractNum>
  <w:abstractNum w:abstractNumId="407">
    <w:multiLevelType w:val="hybridMultilevel"/>
    <w:lvl w:ilvl="0">
      <w:start w:val="4"/>
      <w:numFmt w:val="decimal"/>
      <w:lvlText w:val="%1."/>
      <w:lvlJc w:val="left"/>
      <w:pPr>
        <w:ind w:left="226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3096" w:hanging="168"/>
      </w:pPr>
      <w:rPr>
        <w:rFonts w:hint="default"/>
        <w:lang w:val="es-ES" w:eastAsia="es-ES" w:bidi="es-ES"/>
      </w:rPr>
    </w:lvl>
    <w:lvl w:ilvl="2">
      <w:start w:val="0"/>
      <w:numFmt w:val="bullet"/>
      <w:lvlText w:val="•"/>
      <w:lvlJc w:val="left"/>
      <w:pPr>
        <w:ind w:left="3933" w:hanging="168"/>
      </w:pPr>
      <w:rPr>
        <w:rFonts w:hint="default"/>
        <w:lang w:val="es-ES" w:eastAsia="es-ES" w:bidi="es-ES"/>
      </w:rPr>
    </w:lvl>
    <w:lvl w:ilvl="3">
      <w:start w:val="0"/>
      <w:numFmt w:val="bullet"/>
      <w:lvlText w:val="•"/>
      <w:lvlJc w:val="left"/>
      <w:pPr>
        <w:ind w:left="4769" w:hanging="168"/>
      </w:pPr>
      <w:rPr>
        <w:rFonts w:hint="default"/>
        <w:lang w:val="es-ES" w:eastAsia="es-ES" w:bidi="es-ES"/>
      </w:rPr>
    </w:lvl>
    <w:lvl w:ilvl="4">
      <w:start w:val="0"/>
      <w:numFmt w:val="bullet"/>
      <w:lvlText w:val="•"/>
      <w:lvlJc w:val="left"/>
      <w:pPr>
        <w:ind w:left="5606" w:hanging="168"/>
      </w:pPr>
      <w:rPr>
        <w:rFonts w:hint="default"/>
        <w:lang w:val="es-ES" w:eastAsia="es-ES" w:bidi="es-ES"/>
      </w:rPr>
    </w:lvl>
    <w:lvl w:ilvl="5">
      <w:start w:val="0"/>
      <w:numFmt w:val="bullet"/>
      <w:lvlText w:val="•"/>
      <w:lvlJc w:val="left"/>
      <w:pPr>
        <w:ind w:left="6442" w:hanging="168"/>
      </w:pPr>
      <w:rPr>
        <w:rFonts w:hint="default"/>
        <w:lang w:val="es-ES" w:eastAsia="es-ES" w:bidi="es-ES"/>
      </w:rPr>
    </w:lvl>
    <w:lvl w:ilvl="6">
      <w:start w:val="0"/>
      <w:numFmt w:val="bullet"/>
      <w:lvlText w:val="•"/>
      <w:lvlJc w:val="left"/>
      <w:pPr>
        <w:ind w:left="7279" w:hanging="168"/>
      </w:pPr>
      <w:rPr>
        <w:rFonts w:hint="default"/>
        <w:lang w:val="es-ES" w:eastAsia="es-ES" w:bidi="es-ES"/>
      </w:rPr>
    </w:lvl>
    <w:lvl w:ilvl="7">
      <w:start w:val="0"/>
      <w:numFmt w:val="bullet"/>
      <w:lvlText w:val="•"/>
      <w:lvlJc w:val="left"/>
      <w:pPr>
        <w:ind w:left="8115" w:hanging="168"/>
      </w:pPr>
      <w:rPr>
        <w:rFonts w:hint="default"/>
        <w:lang w:val="es-ES" w:eastAsia="es-ES" w:bidi="es-ES"/>
      </w:rPr>
    </w:lvl>
    <w:lvl w:ilvl="8">
      <w:start w:val="0"/>
      <w:numFmt w:val="bullet"/>
      <w:lvlText w:val="•"/>
      <w:lvlJc w:val="left"/>
      <w:pPr>
        <w:ind w:left="8952" w:hanging="168"/>
      </w:pPr>
      <w:rPr>
        <w:rFonts w:hint="default"/>
        <w:lang w:val="es-ES" w:eastAsia="es-ES" w:bidi="es-ES"/>
      </w:rPr>
    </w:lvl>
  </w:abstractNum>
  <w:abstractNum w:abstractNumId="406">
    <w:multiLevelType w:val="hybridMultilevel"/>
    <w:lvl w:ilvl="0">
      <w:start w:val="1"/>
      <w:numFmt w:val="decimal"/>
      <w:lvlText w:val="%1."/>
      <w:lvlJc w:val="left"/>
      <w:pPr>
        <w:ind w:left="226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3096" w:hanging="168"/>
      </w:pPr>
      <w:rPr>
        <w:rFonts w:hint="default"/>
        <w:lang w:val="es-ES" w:eastAsia="es-ES" w:bidi="es-ES"/>
      </w:rPr>
    </w:lvl>
    <w:lvl w:ilvl="2">
      <w:start w:val="0"/>
      <w:numFmt w:val="bullet"/>
      <w:lvlText w:val="•"/>
      <w:lvlJc w:val="left"/>
      <w:pPr>
        <w:ind w:left="3933" w:hanging="168"/>
      </w:pPr>
      <w:rPr>
        <w:rFonts w:hint="default"/>
        <w:lang w:val="es-ES" w:eastAsia="es-ES" w:bidi="es-ES"/>
      </w:rPr>
    </w:lvl>
    <w:lvl w:ilvl="3">
      <w:start w:val="0"/>
      <w:numFmt w:val="bullet"/>
      <w:lvlText w:val="•"/>
      <w:lvlJc w:val="left"/>
      <w:pPr>
        <w:ind w:left="4769" w:hanging="168"/>
      </w:pPr>
      <w:rPr>
        <w:rFonts w:hint="default"/>
        <w:lang w:val="es-ES" w:eastAsia="es-ES" w:bidi="es-ES"/>
      </w:rPr>
    </w:lvl>
    <w:lvl w:ilvl="4">
      <w:start w:val="0"/>
      <w:numFmt w:val="bullet"/>
      <w:lvlText w:val="•"/>
      <w:lvlJc w:val="left"/>
      <w:pPr>
        <w:ind w:left="5606" w:hanging="168"/>
      </w:pPr>
      <w:rPr>
        <w:rFonts w:hint="default"/>
        <w:lang w:val="es-ES" w:eastAsia="es-ES" w:bidi="es-ES"/>
      </w:rPr>
    </w:lvl>
    <w:lvl w:ilvl="5">
      <w:start w:val="0"/>
      <w:numFmt w:val="bullet"/>
      <w:lvlText w:val="•"/>
      <w:lvlJc w:val="left"/>
      <w:pPr>
        <w:ind w:left="6442" w:hanging="168"/>
      </w:pPr>
      <w:rPr>
        <w:rFonts w:hint="default"/>
        <w:lang w:val="es-ES" w:eastAsia="es-ES" w:bidi="es-ES"/>
      </w:rPr>
    </w:lvl>
    <w:lvl w:ilvl="6">
      <w:start w:val="0"/>
      <w:numFmt w:val="bullet"/>
      <w:lvlText w:val="•"/>
      <w:lvlJc w:val="left"/>
      <w:pPr>
        <w:ind w:left="7279" w:hanging="168"/>
      </w:pPr>
      <w:rPr>
        <w:rFonts w:hint="default"/>
        <w:lang w:val="es-ES" w:eastAsia="es-ES" w:bidi="es-ES"/>
      </w:rPr>
    </w:lvl>
    <w:lvl w:ilvl="7">
      <w:start w:val="0"/>
      <w:numFmt w:val="bullet"/>
      <w:lvlText w:val="•"/>
      <w:lvlJc w:val="left"/>
      <w:pPr>
        <w:ind w:left="8115" w:hanging="168"/>
      </w:pPr>
      <w:rPr>
        <w:rFonts w:hint="default"/>
        <w:lang w:val="es-ES" w:eastAsia="es-ES" w:bidi="es-ES"/>
      </w:rPr>
    </w:lvl>
    <w:lvl w:ilvl="8">
      <w:start w:val="0"/>
      <w:numFmt w:val="bullet"/>
      <w:lvlText w:val="•"/>
      <w:lvlJc w:val="left"/>
      <w:pPr>
        <w:ind w:left="8952" w:hanging="168"/>
      </w:pPr>
      <w:rPr>
        <w:rFonts w:hint="default"/>
        <w:lang w:val="es-ES" w:eastAsia="es-ES" w:bidi="es-ES"/>
      </w:rPr>
    </w:lvl>
  </w:abstractNum>
  <w:abstractNum w:abstractNumId="405">
    <w:multiLevelType w:val="hybridMultilevel"/>
    <w:lvl w:ilvl="0">
      <w:start w:val="1"/>
      <w:numFmt w:val="lowerLetter"/>
      <w:lvlText w:val="%1)"/>
      <w:lvlJc w:val="left"/>
      <w:pPr>
        <w:ind w:left="175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57"/>
      </w:pPr>
      <w:rPr>
        <w:rFonts w:hint="default"/>
        <w:lang w:val="es-ES" w:eastAsia="es-ES" w:bidi="es-ES"/>
      </w:rPr>
    </w:lvl>
    <w:lvl w:ilvl="2">
      <w:start w:val="0"/>
      <w:numFmt w:val="bullet"/>
      <w:lvlText w:val="•"/>
      <w:lvlJc w:val="left"/>
      <w:pPr>
        <w:ind w:left="3533" w:hanging="257"/>
      </w:pPr>
      <w:rPr>
        <w:rFonts w:hint="default"/>
        <w:lang w:val="es-ES" w:eastAsia="es-ES" w:bidi="es-ES"/>
      </w:rPr>
    </w:lvl>
    <w:lvl w:ilvl="3">
      <w:start w:val="0"/>
      <w:numFmt w:val="bullet"/>
      <w:lvlText w:val="•"/>
      <w:lvlJc w:val="left"/>
      <w:pPr>
        <w:ind w:left="4419" w:hanging="257"/>
      </w:pPr>
      <w:rPr>
        <w:rFonts w:hint="default"/>
        <w:lang w:val="es-ES" w:eastAsia="es-ES" w:bidi="es-ES"/>
      </w:rPr>
    </w:lvl>
    <w:lvl w:ilvl="4">
      <w:start w:val="0"/>
      <w:numFmt w:val="bullet"/>
      <w:lvlText w:val="•"/>
      <w:lvlJc w:val="left"/>
      <w:pPr>
        <w:ind w:left="5306" w:hanging="257"/>
      </w:pPr>
      <w:rPr>
        <w:rFonts w:hint="default"/>
        <w:lang w:val="es-ES" w:eastAsia="es-ES" w:bidi="es-ES"/>
      </w:rPr>
    </w:lvl>
    <w:lvl w:ilvl="5">
      <w:start w:val="0"/>
      <w:numFmt w:val="bullet"/>
      <w:lvlText w:val="•"/>
      <w:lvlJc w:val="left"/>
      <w:pPr>
        <w:ind w:left="6192" w:hanging="257"/>
      </w:pPr>
      <w:rPr>
        <w:rFonts w:hint="default"/>
        <w:lang w:val="es-ES" w:eastAsia="es-ES" w:bidi="es-ES"/>
      </w:rPr>
    </w:lvl>
    <w:lvl w:ilvl="6">
      <w:start w:val="0"/>
      <w:numFmt w:val="bullet"/>
      <w:lvlText w:val="•"/>
      <w:lvlJc w:val="left"/>
      <w:pPr>
        <w:ind w:left="7079" w:hanging="257"/>
      </w:pPr>
      <w:rPr>
        <w:rFonts w:hint="default"/>
        <w:lang w:val="es-ES" w:eastAsia="es-ES" w:bidi="es-ES"/>
      </w:rPr>
    </w:lvl>
    <w:lvl w:ilvl="7">
      <w:start w:val="0"/>
      <w:numFmt w:val="bullet"/>
      <w:lvlText w:val="•"/>
      <w:lvlJc w:val="left"/>
      <w:pPr>
        <w:ind w:left="7965" w:hanging="257"/>
      </w:pPr>
      <w:rPr>
        <w:rFonts w:hint="default"/>
        <w:lang w:val="es-ES" w:eastAsia="es-ES" w:bidi="es-ES"/>
      </w:rPr>
    </w:lvl>
    <w:lvl w:ilvl="8">
      <w:start w:val="0"/>
      <w:numFmt w:val="bullet"/>
      <w:lvlText w:val="•"/>
      <w:lvlJc w:val="left"/>
      <w:pPr>
        <w:ind w:left="8852" w:hanging="257"/>
      </w:pPr>
      <w:rPr>
        <w:rFonts w:hint="default"/>
        <w:lang w:val="es-ES" w:eastAsia="es-ES" w:bidi="es-ES"/>
      </w:rPr>
    </w:lvl>
  </w:abstractNum>
  <w:abstractNum w:abstractNumId="404">
    <w:multiLevelType w:val="hybridMultilevel"/>
    <w:lvl w:ilvl="0">
      <w:start w:val="1"/>
      <w:numFmt w:val="lowerLetter"/>
      <w:lvlText w:val="%1)"/>
      <w:lvlJc w:val="left"/>
      <w:pPr>
        <w:ind w:left="1754" w:hanging="2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646" w:hanging="267"/>
      </w:pPr>
      <w:rPr>
        <w:rFonts w:hint="default"/>
        <w:lang w:val="es-ES" w:eastAsia="es-ES" w:bidi="es-ES"/>
      </w:rPr>
    </w:lvl>
    <w:lvl w:ilvl="2">
      <w:start w:val="0"/>
      <w:numFmt w:val="bullet"/>
      <w:lvlText w:val="•"/>
      <w:lvlJc w:val="left"/>
      <w:pPr>
        <w:ind w:left="3533" w:hanging="267"/>
      </w:pPr>
      <w:rPr>
        <w:rFonts w:hint="default"/>
        <w:lang w:val="es-ES" w:eastAsia="es-ES" w:bidi="es-ES"/>
      </w:rPr>
    </w:lvl>
    <w:lvl w:ilvl="3">
      <w:start w:val="0"/>
      <w:numFmt w:val="bullet"/>
      <w:lvlText w:val="•"/>
      <w:lvlJc w:val="left"/>
      <w:pPr>
        <w:ind w:left="4419" w:hanging="267"/>
      </w:pPr>
      <w:rPr>
        <w:rFonts w:hint="default"/>
        <w:lang w:val="es-ES" w:eastAsia="es-ES" w:bidi="es-ES"/>
      </w:rPr>
    </w:lvl>
    <w:lvl w:ilvl="4">
      <w:start w:val="0"/>
      <w:numFmt w:val="bullet"/>
      <w:lvlText w:val="•"/>
      <w:lvlJc w:val="left"/>
      <w:pPr>
        <w:ind w:left="5306" w:hanging="267"/>
      </w:pPr>
      <w:rPr>
        <w:rFonts w:hint="default"/>
        <w:lang w:val="es-ES" w:eastAsia="es-ES" w:bidi="es-ES"/>
      </w:rPr>
    </w:lvl>
    <w:lvl w:ilvl="5">
      <w:start w:val="0"/>
      <w:numFmt w:val="bullet"/>
      <w:lvlText w:val="•"/>
      <w:lvlJc w:val="left"/>
      <w:pPr>
        <w:ind w:left="6192" w:hanging="267"/>
      </w:pPr>
      <w:rPr>
        <w:rFonts w:hint="default"/>
        <w:lang w:val="es-ES" w:eastAsia="es-ES" w:bidi="es-ES"/>
      </w:rPr>
    </w:lvl>
    <w:lvl w:ilvl="6">
      <w:start w:val="0"/>
      <w:numFmt w:val="bullet"/>
      <w:lvlText w:val="•"/>
      <w:lvlJc w:val="left"/>
      <w:pPr>
        <w:ind w:left="7079" w:hanging="267"/>
      </w:pPr>
      <w:rPr>
        <w:rFonts w:hint="default"/>
        <w:lang w:val="es-ES" w:eastAsia="es-ES" w:bidi="es-ES"/>
      </w:rPr>
    </w:lvl>
    <w:lvl w:ilvl="7">
      <w:start w:val="0"/>
      <w:numFmt w:val="bullet"/>
      <w:lvlText w:val="•"/>
      <w:lvlJc w:val="left"/>
      <w:pPr>
        <w:ind w:left="7965" w:hanging="267"/>
      </w:pPr>
      <w:rPr>
        <w:rFonts w:hint="default"/>
        <w:lang w:val="es-ES" w:eastAsia="es-ES" w:bidi="es-ES"/>
      </w:rPr>
    </w:lvl>
    <w:lvl w:ilvl="8">
      <w:start w:val="0"/>
      <w:numFmt w:val="bullet"/>
      <w:lvlText w:val="•"/>
      <w:lvlJc w:val="left"/>
      <w:pPr>
        <w:ind w:left="8852" w:hanging="267"/>
      </w:pPr>
      <w:rPr>
        <w:rFonts w:hint="default"/>
        <w:lang w:val="es-ES" w:eastAsia="es-ES" w:bidi="es-ES"/>
      </w:rPr>
    </w:lvl>
  </w:abstractNum>
  <w:abstractNum w:abstractNumId="403">
    <w:multiLevelType w:val="hybridMultilevel"/>
    <w:lvl w:ilvl="0">
      <w:start w:val="1"/>
      <w:numFmt w:val="lowerLetter"/>
      <w:lvlText w:val="%1)"/>
      <w:lvlJc w:val="left"/>
      <w:pPr>
        <w:ind w:left="1754" w:hanging="270"/>
        <w:jc w:val="left"/>
      </w:pPr>
      <w:rPr>
        <w:rFonts w:hint="default" w:ascii="Arial" w:hAnsi="Arial" w:eastAsia="Arial" w:cs="Arial"/>
        <w:spacing w:val="-22"/>
        <w:w w:val="100"/>
        <w:sz w:val="20"/>
        <w:szCs w:val="20"/>
        <w:lang w:val="es-ES" w:eastAsia="es-ES" w:bidi="es-ES"/>
      </w:rPr>
    </w:lvl>
    <w:lvl w:ilvl="1">
      <w:start w:val="0"/>
      <w:numFmt w:val="bullet"/>
      <w:lvlText w:val="•"/>
      <w:lvlJc w:val="left"/>
      <w:pPr>
        <w:ind w:left="2646" w:hanging="270"/>
      </w:pPr>
      <w:rPr>
        <w:rFonts w:hint="default"/>
        <w:lang w:val="es-ES" w:eastAsia="es-ES" w:bidi="es-ES"/>
      </w:rPr>
    </w:lvl>
    <w:lvl w:ilvl="2">
      <w:start w:val="0"/>
      <w:numFmt w:val="bullet"/>
      <w:lvlText w:val="•"/>
      <w:lvlJc w:val="left"/>
      <w:pPr>
        <w:ind w:left="3533" w:hanging="270"/>
      </w:pPr>
      <w:rPr>
        <w:rFonts w:hint="default"/>
        <w:lang w:val="es-ES" w:eastAsia="es-ES" w:bidi="es-ES"/>
      </w:rPr>
    </w:lvl>
    <w:lvl w:ilvl="3">
      <w:start w:val="0"/>
      <w:numFmt w:val="bullet"/>
      <w:lvlText w:val="•"/>
      <w:lvlJc w:val="left"/>
      <w:pPr>
        <w:ind w:left="4419" w:hanging="270"/>
      </w:pPr>
      <w:rPr>
        <w:rFonts w:hint="default"/>
        <w:lang w:val="es-ES" w:eastAsia="es-ES" w:bidi="es-ES"/>
      </w:rPr>
    </w:lvl>
    <w:lvl w:ilvl="4">
      <w:start w:val="0"/>
      <w:numFmt w:val="bullet"/>
      <w:lvlText w:val="•"/>
      <w:lvlJc w:val="left"/>
      <w:pPr>
        <w:ind w:left="5306" w:hanging="270"/>
      </w:pPr>
      <w:rPr>
        <w:rFonts w:hint="default"/>
        <w:lang w:val="es-ES" w:eastAsia="es-ES" w:bidi="es-ES"/>
      </w:rPr>
    </w:lvl>
    <w:lvl w:ilvl="5">
      <w:start w:val="0"/>
      <w:numFmt w:val="bullet"/>
      <w:lvlText w:val="•"/>
      <w:lvlJc w:val="left"/>
      <w:pPr>
        <w:ind w:left="6192" w:hanging="270"/>
      </w:pPr>
      <w:rPr>
        <w:rFonts w:hint="default"/>
        <w:lang w:val="es-ES" w:eastAsia="es-ES" w:bidi="es-ES"/>
      </w:rPr>
    </w:lvl>
    <w:lvl w:ilvl="6">
      <w:start w:val="0"/>
      <w:numFmt w:val="bullet"/>
      <w:lvlText w:val="•"/>
      <w:lvlJc w:val="left"/>
      <w:pPr>
        <w:ind w:left="7079" w:hanging="270"/>
      </w:pPr>
      <w:rPr>
        <w:rFonts w:hint="default"/>
        <w:lang w:val="es-ES" w:eastAsia="es-ES" w:bidi="es-ES"/>
      </w:rPr>
    </w:lvl>
    <w:lvl w:ilvl="7">
      <w:start w:val="0"/>
      <w:numFmt w:val="bullet"/>
      <w:lvlText w:val="•"/>
      <w:lvlJc w:val="left"/>
      <w:pPr>
        <w:ind w:left="7965" w:hanging="270"/>
      </w:pPr>
      <w:rPr>
        <w:rFonts w:hint="default"/>
        <w:lang w:val="es-ES" w:eastAsia="es-ES" w:bidi="es-ES"/>
      </w:rPr>
    </w:lvl>
    <w:lvl w:ilvl="8">
      <w:start w:val="0"/>
      <w:numFmt w:val="bullet"/>
      <w:lvlText w:val="•"/>
      <w:lvlJc w:val="left"/>
      <w:pPr>
        <w:ind w:left="8852" w:hanging="270"/>
      </w:pPr>
      <w:rPr>
        <w:rFonts w:hint="default"/>
        <w:lang w:val="es-ES" w:eastAsia="es-ES" w:bidi="es-ES"/>
      </w:rPr>
    </w:lvl>
  </w:abstractNum>
  <w:abstractNum w:abstractNumId="402">
    <w:multiLevelType w:val="hybridMultilevel"/>
    <w:lvl w:ilvl="0">
      <w:start w:val="1"/>
      <w:numFmt w:val="decimal"/>
      <w:lvlText w:val="%1."/>
      <w:lvlJc w:val="left"/>
      <w:pPr>
        <w:ind w:left="175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6"/>
      </w:pPr>
      <w:rPr>
        <w:rFonts w:hint="default"/>
        <w:lang w:val="es-ES" w:eastAsia="es-ES" w:bidi="es-ES"/>
      </w:rPr>
    </w:lvl>
    <w:lvl w:ilvl="2">
      <w:start w:val="0"/>
      <w:numFmt w:val="bullet"/>
      <w:lvlText w:val="•"/>
      <w:lvlJc w:val="left"/>
      <w:pPr>
        <w:ind w:left="3533" w:hanging="236"/>
      </w:pPr>
      <w:rPr>
        <w:rFonts w:hint="default"/>
        <w:lang w:val="es-ES" w:eastAsia="es-ES" w:bidi="es-ES"/>
      </w:rPr>
    </w:lvl>
    <w:lvl w:ilvl="3">
      <w:start w:val="0"/>
      <w:numFmt w:val="bullet"/>
      <w:lvlText w:val="•"/>
      <w:lvlJc w:val="left"/>
      <w:pPr>
        <w:ind w:left="4419" w:hanging="236"/>
      </w:pPr>
      <w:rPr>
        <w:rFonts w:hint="default"/>
        <w:lang w:val="es-ES" w:eastAsia="es-ES" w:bidi="es-ES"/>
      </w:rPr>
    </w:lvl>
    <w:lvl w:ilvl="4">
      <w:start w:val="0"/>
      <w:numFmt w:val="bullet"/>
      <w:lvlText w:val="•"/>
      <w:lvlJc w:val="left"/>
      <w:pPr>
        <w:ind w:left="5306" w:hanging="236"/>
      </w:pPr>
      <w:rPr>
        <w:rFonts w:hint="default"/>
        <w:lang w:val="es-ES" w:eastAsia="es-ES" w:bidi="es-ES"/>
      </w:rPr>
    </w:lvl>
    <w:lvl w:ilvl="5">
      <w:start w:val="0"/>
      <w:numFmt w:val="bullet"/>
      <w:lvlText w:val="•"/>
      <w:lvlJc w:val="left"/>
      <w:pPr>
        <w:ind w:left="6192" w:hanging="236"/>
      </w:pPr>
      <w:rPr>
        <w:rFonts w:hint="default"/>
        <w:lang w:val="es-ES" w:eastAsia="es-ES" w:bidi="es-ES"/>
      </w:rPr>
    </w:lvl>
    <w:lvl w:ilvl="6">
      <w:start w:val="0"/>
      <w:numFmt w:val="bullet"/>
      <w:lvlText w:val="•"/>
      <w:lvlJc w:val="left"/>
      <w:pPr>
        <w:ind w:left="7079" w:hanging="236"/>
      </w:pPr>
      <w:rPr>
        <w:rFonts w:hint="default"/>
        <w:lang w:val="es-ES" w:eastAsia="es-ES" w:bidi="es-ES"/>
      </w:rPr>
    </w:lvl>
    <w:lvl w:ilvl="7">
      <w:start w:val="0"/>
      <w:numFmt w:val="bullet"/>
      <w:lvlText w:val="•"/>
      <w:lvlJc w:val="left"/>
      <w:pPr>
        <w:ind w:left="7965" w:hanging="236"/>
      </w:pPr>
      <w:rPr>
        <w:rFonts w:hint="default"/>
        <w:lang w:val="es-ES" w:eastAsia="es-ES" w:bidi="es-ES"/>
      </w:rPr>
    </w:lvl>
    <w:lvl w:ilvl="8">
      <w:start w:val="0"/>
      <w:numFmt w:val="bullet"/>
      <w:lvlText w:val="•"/>
      <w:lvlJc w:val="left"/>
      <w:pPr>
        <w:ind w:left="8852" w:hanging="236"/>
      </w:pPr>
      <w:rPr>
        <w:rFonts w:hint="default"/>
        <w:lang w:val="es-ES" w:eastAsia="es-ES" w:bidi="es-ES"/>
      </w:rPr>
    </w:lvl>
  </w:abstractNum>
  <w:abstractNum w:abstractNumId="401">
    <w:multiLevelType w:val="hybridMultilevel"/>
    <w:lvl w:ilvl="0">
      <w:start w:val="1"/>
      <w:numFmt w:val="lowerLetter"/>
      <w:lvlText w:val="%1)"/>
      <w:lvlJc w:val="left"/>
      <w:pPr>
        <w:ind w:left="1754" w:hanging="263"/>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646" w:hanging="263"/>
      </w:pPr>
      <w:rPr>
        <w:rFonts w:hint="default"/>
        <w:lang w:val="es-ES" w:eastAsia="es-ES" w:bidi="es-ES"/>
      </w:rPr>
    </w:lvl>
    <w:lvl w:ilvl="2">
      <w:start w:val="0"/>
      <w:numFmt w:val="bullet"/>
      <w:lvlText w:val="•"/>
      <w:lvlJc w:val="left"/>
      <w:pPr>
        <w:ind w:left="3533" w:hanging="263"/>
      </w:pPr>
      <w:rPr>
        <w:rFonts w:hint="default"/>
        <w:lang w:val="es-ES" w:eastAsia="es-ES" w:bidi="es-ES"/>
      </w:rPr>
    </w:lvl>
    <w:lvl w:ilvl="3">
      <w:start w:val="0"/>
      <w:numFmt w:val="bullet"/>
      <w:lvlText w:val="•"/>
      <w:lvlJc w:val="left"/>
      <w:pPr>
        <w:ind w:left="4419" w:hanging="263"/>
      </w:pPr>
      <w:rPr>
        <w:rFonts w:hint="default"/>
        <w:lang w:val="es-ES" w:eastAsia="es-ES" w:bidi="es-ES"/>
      </w:rPr>
    </w:lvl>
    <w:lvl w:ilvl="4">
      <w:start w:val="0"/>
      <w:numFmt w:val="bullet"/>
      <w:lvlText w:val="•"/>
      <w:lvlJc w:val="left"/>
      <w:pPr>
        <w:ind w:left="5306" w:hanging="263"/>
      </w:pPr>
      <w:rPr>
        <w:rFonts w:hint="default"/>
        <w:lang w:val="es-ES" w:eastAsia="es-ES" w:bidi="es-ES"/>
      </w:rPr>
    </w:lvl>
    <w:lvl w:ilvl="5">
      <w:start w:val="0"/>
      <w:numFmt w:val="bullet"/>
      <w:lvlText w:val="•"/>
      <w:lvlJc w:val="left"/>
      <w:pPr>
        <w:ind w:left="6192" w:hanging="263"/>
      </w:pPr>
      <w:rPr>
        <w:rFonts w:hint="default"/>
        <w:lang w:val="es-ES" w:eastAsia="es-ES" w:bidi="es-ES"/>
      </w:rPr>
    </w:lvl>
    <w:lvl w:ilvl="6">
      <w:start w:val="0"/>
      <w:numFmt w:val="bullet"/>
      <w:lvlText w:val="•"/>
      <w:lvlJc w:val="left"/>
      <w:pPr>
        <w:ind w:left="7079" w:hanging="263"/>
      </w:pPr>
      <w:rPr>
        <w:rFonts w:hint="default"/>
        <w:lang w:val="es-ES" w:eastAsia="es-ES" w:bidi="es-ES"/>
      </w:rPr>
    </w:lvl>
    <w:lvl w:ilvl="7">
      <w:start w:val="0"/>
      <w:numFmt w:val="bullet"/>
      <w:lvlText w:val="•"/>
      <w:lvlJc w:val="left"/>
      <w:pPr>
        <w:ind w:left="7965" w:hanging="263"/>
      </w:pPr>
      <w:rPr>
        <w:rFonts w:hint="default"/>
        <w:lang w:val="es-ES" w:eastAsia="es-ES" w:bidi="es-ES"/>
      </w:rPr>
    </w:lvl>
    <w:lvl w:ilvl="8">
      <w:start w:val="0"/>
      <w:numFmt w:val="bullet"/>
      <w:lvlText w:val="•"/>
      <w:lvlJc w:val="left"/>
      <w:pPr>
        <w:ind w:left="8852" w:hanging="263"/>
      </w:pPr>
      <w:rPr>
        <w:rFonts w:hint="default"/>
        <w:lang w:val="es-ES" w:eastAsia="es-ES" w:bidi="es-ES"/>
      </w:rPr>
    </w:lvl>
  </w:abstractNum>
  <w:abstractNum w:abstractNumId="400">
    <w:multiLevelType w:val="hybridMultilevel"/>
    <w:lvl w:ilvl="0">
      <w:start w:val="1"/>
      <w:numFmt w:val="lowerLetter"/>
      <w:lvlText w:val="%1)"/>
      <w:lvlJc w:val="left"/>
      <w:pPr>
        <w:ind w:left="1754" w:hanging="270"/>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646" w:hanging="270"/>
      </w:pPr>
      <w:rPr>
        <w:rFonts w:hint="default"/>
        <w:lang w:val="es-ES" w:eastAsia="es-ES" w:bidi="es-ES"/>
      </w:rPr>
    </w:lvl>
    <w:lvl w:ilvl="2">
      <w:start w:val="0"/>
      <w:numFmt w:val="bullet"/>
      <w:lvlText w:val="•"/>
      <w:lvlJc w:val="left"/>
      <w:pPr>
        <w:ind w:left="3533" w:hanging="270"/>
      </w:pPr>
      <w:rPr>
        <w:rFonts w:hint="default"/>
        <w:lang w:val="es-ES" w:eastAsia="es-ES" w:bidi="es-ES"/>
      </w:rPr>
    </w:lvl>
    <w:lvl w:ilvl="3">
      <w:start w:val="0"/>
      <w:numFmt w:val="bullet"/>
      <w:lvlText w:val="•"/>
      <w:lvlJc w:val="left"/>
      <w:pPr>
        <w:ind w:left="4419" w:hanging="270"/>
      </w:pPr>
      <w:rPr>
        <w:rFonts w:hint="default"/>
        <w:lang w:val="es-ES" w:eastAsia="es-ES" w:bidi="es-ES"/>
      </w:rPr>
    </w:lvl>
    <w:lvl w:ilvl="4">
      <w:start w:val="0"/>
      <w:numFmt w:val="bullet"/>
      <w:lvlText w:val="•"/>
      <w:lvlJc w:val="left"/>
      <w:pPr>
        <w:ind w:left="5306" w:hanging="270"/>
      </w:pPr>
      <w:rPr>
        <w:rFonts w:hint="default"/>
        <w:lang w:val="es-ES" w:eastAsia="es-ES" w:bidi="es-ES"/>
      </w:rPr>
    </w:lvl>
    <w:lvl w:ilvl="5">
      <w:start w:val="0"/>
      <w:numFmt w:val="bullet"/>
      <w:lvlText w:val="•"/>
      <w:lvlJc w:val="left"/>
      <w:pPr>
        <w:ind w:left="6192" w:hanging="270"/>
      </w:pPr>
      <w:rPr>
        <w:rFonts w:hint="default"/>
        <w:lang w:val="es-ES" w:eastAsia="es-ES" w:bidi="es-ES"/>
      </w:rPr>
    </w:lvl>
    <w:lvl w:ilvl="6">
      <w:start w:val="0"/>
      <w:numFmt w:val="bullet"/>
      <w:lvlText w:val="•"/>
      <w:lvlJc w:val="left"/>
      <w:pPr>
        <w:ind w:left="7079" w:hanging="270"/>
      </w:pPr>
      <w:rPr>
        <w:rFonts w:hint="default"/>
        <w:lang w:val="es-ES" w:eastAsia="es-ES" w:bidi="es-ES"/>
      </w:rPr>
    </w:lvl>
    <w:lvl w:ilvl="7">
      <w:start w:val="0"/>
      <w:numFmt w:val="bullet"/>
      <w:lvlText w:val="•"/>
      <w:lvlJc w:val="left"/>
      <w:pPr>
        <w:ind w:left="7965" w:hanging="270"/>
      </w:pPr>
      <w:rPr>
        <w:rFonts w:hint="default"/>
        <w:lang w:val="es-ES" w:eastAsia="es-ES" w:bidi="es-ES"/>
      </w:rPr>
    </w:lvl>
    <w:lvl w:ilvl="8">
      <w:start w:val="0"/>
      <w:numFmt w:val="bullet"/>
      <w:lvlText w:val="•"/>
      <w:lvlJc w:val="left"/>
      <w:pPr>
        <w:ind w:left="8852" w:hanging="270"/>
      </w:pPr>
      <w:rPr>
        <w:rFonts w:hint="default"/>
        <w:lang w:val="es-ES" w:eastAsia="es-ES" w:bidi="es-ES"/>
      </w:rPr>
    </w:lvl>
  </w:abstractNum>
  <w:abstractNum w:abstractNumId="399">
    <w:multiLevelType w:val="hybridMultilevel"/>
    <w:lvl w:ilvl="0">
      <w:start w:val="1"/>
      <w:numFmt w:val="decimal"/>
      <w:lvlText w:val="%1."/>
      <w:lvlJc w:val="left"/>
      <w:pPr>
        <w:ind w:left="175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6"/>
      </w:pPr>
      <w:rPr>
        <w:rFonts w:hint="default"/>
        <w:lang w:val="es-ES" w:eastAsia="es-ES" w:bidi="es-ES"/>
      </w:rPr>
    </w:lvl>
    <w:lvl w:ilvl="2">
      <w:start w:val="0"/>
      <w:numFmt w:val="bullet"/>
      <w:lvlText w:val="•"/>
      <w:lvlJc w:val="left"/>
      <w:pPr>
        <w:ind w:left="3533" w:hanging="236"/>
      </w:pPr>
      <w:rPr>
        <w:rFonts w:hint="default"/>
        <w:lang w:val="es-ES" w:eastAsia="es-ES" w:bidi="es-ES"/>
      </w:rPr>
    </w:lvl>
    <w:lvl w:ilvl="3">
      <w:start w:val="0"/>
      <w:numFmt w:val="bullet"/>
      <w:lvlText w:val="•"/>
      <w:lvlJc w:val="left"/>
      <w:pPr>
        <w:ind w:left="4419" w:hanging="236"/>
      </w:pPr>
      <w:rPr>
        <w:rFonts w:hint="default"/>
        <w:lang w:val="es-ES" w:eastAsia="es-ES" w:bidi="es-ES"/>
      </w:rPr>
    </w:lvl>
    <w:lvl w:ilvl="4">
      <w:start w:val="0"/>
      <w:numFmt w:val="bullet"/>
      <w:lvlText w:val="•"/>
      <w:lvlJc w:val="left"/>
      <w:pPr>
        <w:ind w:left="5306" w:hanging="236"/>
      </w:pPr>
      <w:rPr>
        <w:rFonts w:hint="default"/>
        <w:lang w:val="es-ES" w:eastAsia="es-ES" w:bidi="es-ES"/>
      </w:rPr>
    </w:lvl>
    <w:lvl w:ilvl="5">
      <w:start w:val="0"/>
      <w:numFmt w:val="bullet"/>
      <w:lvlText w:val="•"/>
      <w:lvlJc w:val="left"/>
      <w:pPr>
        <w:ind w:left="6192" w:hanging="236"/>
      </w:pPr>
      <w:rPr>
        <w:rFonts w:hint="default"/>
        <w:lang w:val="es-ES" w:eastAsia="es-ES" w:bidi="es-ES"/>
      </w:rPr>
    </w:lvl>
    <w:lvl w:ilvl="6">
      <w:start w:val="0"/>
      <w:numFmt w:val="bullet"/>
      <w:lvlText w:val="•"/>
      <w:lvlJc w:val="left"/>
      <w:pPr>
        <w:ind w:left="7079" w:hanging="236"/>
      </w:pPr>
      <w:rPr>
        <w:rFonts w:hint="default"/>
        <w:lang w:val="es-ES" w:eastAsia="es-ES" w:bidi="es-ES"/>
      </w:rPr>
    </w:lvl>
    <w:lvl w:ilvl="7">
      <w:start w:val="0"/>
      <w:numFmt w:val="bullet"/>
      <w:lvlText w:val="•"/>
      <w:lvlJc w:val="left"/>
      <w:pPr>
        <w:ind w:left="7965" w:hanging="236"/>
      </w:pPr>
      <w:rPr>
        <w:rFonts w:hint="default"/>
        <w:lang w:val="es-ES" w:eastAsia="es-ES" w:bidi="es-ES"/>
      </w:rPr>
    </w:lvl>
    <w:lvl w:ilvl="8">
      <w:start w:val="0"/>
      <w:numFmt w:val="bullet"/>
      <w:lvlText w:val="•"/>
      <w:lvlJc w:val="left"/>
      <w:pPr>
        <w:ind w:left="8852" w:hanging="236"/>
      </w:pPr>
      <w:rPr>
        <w:rFonts w:hint="default"/>
        <w:lang w:val="es-ES" w:eastAsia="es-ES" w:bidi="es-ES"/>
      </w:rPr>
    </w:lvl>
  </w:abstractNum>
  <w:abstractNum w:abstractNumId="398">
    <w:multiLevelType w:val="hybridMultilevel"/>
    <w:lvl w:ilvl="0">
      <w:start w:val="1"/>
      <w:numFmt w:val="decimal"/>
      <w:lvlText w:val="%1."/>
      <w:lvlJc w:val="left"/>
      <w:pPr>
        <w:ind w:left="1754" w:hanging="277"/>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646" w:hanging="277"/>
      </w:pPr>
      <w:rPr>
        <w:rFonts w:hint="default"/>
        <w:lang w:val="es-ES" w:eastAsia="es-ES" w:bidi="es-ES"/>
      </w:rPr>
    </w:lvl>
    <w:lvl w:ilvl="2">
      <w:start w:val="0"/>
      <w:numFmt w:val="bullet"/>
      <w:lvlText w:val="•"/>
      <w:lvlJc w:val="left"/>
      <w:pPr>
        <w:ind w:left="3533" w:hanging="277"/>
      </w:pPr>
      <w:rPr>
        <w:rFonts w:hint="default"/>
        <w:lang w:val="es-ES" w:eastAsia="es-ES" w:bidi="es-ES"/>
      </w:rPr>
    </w:lvl>
    <w:lvl w:ilvl="3">
      <w:start w:val="0"/>
      <w:numFmt w:val="bullet"/>
      <w:lvlText w:val="•"/>
      <w:lvlJc w:val="left"/>
      <w:pPr>
        <w:ind w:left="4419" w:hanging="277"/>
      </w:pPr>
      <w:rPr>
        <w:rFonts w:hint="default"/>
        <w:lang w:val="es-ES" w:eastAsia="es-ES" w:bidi="es-ES"/>
      </w:rPr>
    </w:lvl>
    <w:lvl w:ilvl="4">
      <w:start w:val="0"/>
      <w:numFmt w:val="bullet"/>
      <w:lvlText w:val="•"/>
      <w:lvlJc w:val="left"/>
      <w:pPr>
        <w:ind w:left="5306" w:hanging="277"/>
      </w:pPr>
      <w:rPr>
        <w:rFonts w:hint="default"/>
        <w:lang w:val="es-ES" w:eastAsia="es-ES" w:bidi="es-ES"/>
      </w:rPr>
    </w:lvl>
    <w:lvl w:ilvl="5">
      <w:start w:val="0"/>
      <w:numFmt w:val="bullet"/>
      <w:lvlText w:val="•"/>
      <w:lvlJc w:val="left"/>
      <w:pPr>
        <w:ind w:left="6192" w:hanging="277"/>
      </w:pPr>
      <w:rPr>
        <w:rFonts w:hint="default"/>
        <w:lang w:val="es-ES" w:eastAsia="es-ES" w:bidi="es-ES"/>
      </w:rPr>
    </w:lvl>
    <w:lvl w:ilvl="6">
      <w:start w:val="0"/>
      <w:numFmt w:val="bullet"/>
      <w:lvlText w:val="•"/>
      <w:lvlJc w:val="left"/>
      <w:pPr>
        <w:ind w:left="7079" w:hanging="277"/>
      </w:pPr>
      <w:rPr>
        <w:rFonts w:hint="default"/>
        <w:lang w:val="es-ES" w:eastAsia="es-ES" w:bidi="es-ES"/>
      </w:rPr>
    </w:lvl>
    <w:lvl w:ilvl="7">
      <w:start w:val="0"/>
      <w:numFmt w:val="bullet"/>
      <w:lvlText w:val="•"/>
      <w:lvlJc w:val="left"/>
      <w:pPr>
        <w:ind w:left="7965" w:hanging="277"/>
      </w:pPr>
      <w:rPr>
        <w:rFonts w:hint="default"/>
        <w:lang w:val="es-ES" w:eastAsia="es-ES" w:bidi="es-ES"/>
      </w:rPr>
    </w:lvl>
    <w:lvl w:ilvl="8">
      <w:start w:val="0"/>
      <w:numFmt w:val="bullet"/>
      <w:lvlText w:val="•"/>
      <w:lvlJc w:val="left"/>
      <w:pPr>
        <w:ind w:left="8852" w:hanging="277"/>
      </w:pPr>
      <w:rPr>
        <w:rFonts w:hint="default"/>
        <w:lang w:val="es-ES" w:eastAsia="es-ES" w:bidi="es-ES"/>
      </w:rPr>
    </w:lvl>
  </w:abstractNum>
  <w:abstractNum w:abstractNumId="397">
    <w:multiLevelType w:val="hybridMultilevel"/>
    <w:lvl w:ilvl="0">
      <w:start w:val="5"/>
      <w:numFmt w:val="decimal"/>
      <w:lvlText w:val="%1."/>
      <w:lvlJc w:val="left"/>
      <w:pPr>
        <w:ind w:left="1754" w:hanging="27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78"/>
      </w:pPr>
      <w:rPr>
        <w:rFonts w:hint="default"/>
        <w:lang w:val="es-ES" w:eastAsia="es-ES" w:bidi="es-ES"/>
      </w:rPr>
    </w:lvl>
    <w:lvl w:ilvl="2">
      <w:start w:val="0"/>
      <w:numFmt w:val="bullet"/>
      <w:lvlText w:val="•"/>
      <w:lvlJc w:val="left"/>
      <w:pPr>
        <w:ind w:left="3533" w:hanging="278"/>
      </w:pPr>
      <w:rPr>
        <w:rFonts w:hint="default"/>
        <w:lang w:val="es-ES" w:eastAsia="es-ES" w:bidi="es-ES"/>
      </w:rPr>
    </w:lvl>
    <w:lvl w:ilvl="3">
      <w:start w:val="0"/>
      <w:numFmt w:val="bullet"/>
      <w:lvlText w:val="•"/>
      <w:lvlJc w:val="left"/>
      <w:pPr>
        <w:ind w:left="4419" w:hanging="278"/>
      </w:pPr>
      <w:rPr>
        <w:rFonts w:hint="default"/>
        <w:lang w:val="es-ES" w:eastAsia="es-ES" w:bidi="es-ES"/>
      </w:rPr>
    </w:lvl>
    <w:lvl w:ilvl="4">
      <w:start w:val="0"/>
      <w:numFmt w:val="bullet"/>
      <w:lvlText w:val="•"/>
      <w:lvlJc w:val="left"/>
      <w:pPr>
        <w:ind w:left="5306" w:hanging="278"/>
      </w:pPr>
      <w:rPr>
        <w:rFonts w:hint="default"/>
        <w:lang w:val="es-ES" w:eastAsia="es-ES" w:bidi="es-ES"/>
      </w:rPr>
    </w:lvl>
    <w:lvl w:ilvl="5">
      <w:start w:val="0"/>
      <w:numFmt w:val="bullet"/>
      <w:lvlText w:val="•"/>
      <w:lvlJc w:val="left"/>
      <w:pPr>
        <w:ind w:left="6192" w:hanging="278"/>
      </w:pPr>
      <w:rPr>
        <w:rFonts w:hint="default"/>
        <w:lang w:val="es-ES" w:eastAsia="es-ES" w:bidi="es-ES"/>
      </w:rPr>
    </w:lvl>
    <w:lvl w:ilvl="6">
      <w:start w:val="0"/>
      <w:numFmt w:val="bullet"/>
      <w:lvlText w:val="•"/>
      <w:lvlJc w:val="left"/>
      <w:pPr>
        <w:ind w:left="7079" w:hanging="278"/>
      </w:pPr>
      <w:rPr>
        <w:rFonts w:hint="default"/>
        <w:lang w:val="es-ES" w:eastAsia="es-ES" w:bidi="es-ES"/>
      </w:rPr>
    </w:lvl>
    <w:lvl w:ilvl="7">
      <w:start w:val="0"/>
      <w:numFmt w:val="bullet"/>
      <w:lvlText w:val="•"/>
      <w:lvlJc w:val="left"/>
      <w:pPr>
        <w:ind w:left="7965" w:hanging="278"/>
      </w:pPr>
      <w:rPr>
        <w:rFonts w:hint="default"/>
        <w:lang w:val="es-ES" w:eastAsia="es-ES" w:bidi="es-ES"/>
      </w:rPr>
    </w:lvl>
    <w:lvl w:ilvl="8">
      <w:start w:val="0"/>
      <w:numFmt w:val="bullet"/>
      <w:lvlText w:val="•"/>
      <w:lvlJc w:val="left"/>
      <w:pPr>
        <w:ind w:left="8852" w:hanging="278"/>
      </w:pPr>
      <w:rPr>
        <w:rFonts w:hint="default"/>
        <w:lang w:val="es-ES" w:eastAsia="es-ES" w:bidi="es-ES"/>
      </w:rPr>
    </w:lvl>
  </w:abstractNum>
  <w:abstractNum w:abstractNumId="396">
    <w:multiLevelType w:val="hybridMultilevel"/>
    <w:lvl w:ilvl="0">
      <w:start w:val="1"/>
      <w:numFmt w:val="lowerLetter"/>
      <w:lvlText w:val="%1)"/>
      <w:lvlJc w:val="left"/>
      <w:pPr>
        <w:ind w:left="175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48"/>
      </w:pPr>
      <w:rPr>
        <w:rFonts w:hint="default"/>
        <w:lang w:val="es-ES" w:eastAsia="es-ES" w:bidi="es-ES"/>
      </w:rPr>
    </w:lvl>
    <w:lvl w:ilvl="2">
      <w:start w:val="0"/>
      <w:numFmt w:val="bullet"/>
      <w:lvlText w:val="•"/>
      <w:lvlJc w:val="left"/>
      <w:pPr>
        <w:ind w:left="3533" w:hanging="248"/>
      </w:pPr>
      <w:rPr>
        <w:rFonts w:hint="default"/>
        <w:lang w:val="es-ES" w:eastAsia="es-ES" w:bidi="es-ES"/>
      </w:rPr>
    </w:lvl>
    <w:lvl w:ilvl="3">
      <w:start w:val="0"/>
      <w:numFmt w:val="bullet"/>
      <w:lvlText w:val="•"/>
      <w:lvlJc w:val="left"/>
      <w:pPr>
        <w:ind w:left="4419" w:hanging="248"/>
      </w:pPr>
      <w:rPr>
        <w:rFonts w:hint="default"/>
        <w:lang w:val="es-ES" w:eastAsia="es-ES" w:bidi="es-ES"/>
      </w:rPr>
    </w:lvl>
    <w:lvl w:ilvl="4">
      <w:start w:val="0"/>
      <w:numFmt w:val="bullet"/>
      <w:lvlText w:val="•"/>
      <w:lvlJc w:val="left"/>
      <w:pPr>
        <w:ind w:left="5306" w:hanging="248"/>
      </w:pPr>
      <w:rPr>
        <w:rFonts w:hint="default"/>
        <w:lang w:val="es-ES" w:eastAsia="es-ES" w:bidi="es-ES"/>
      </w:rPr>
    </w:lvl>
    <w:lvl w:ilvl="5">
      <w:start w:val="0"/>
      <w:numFmt w:val="bullet"/>
      <w:lvlText w:val="•"/>
      <w:lvlJc w:val="left"/>
      <w:pPr>
        <w:ind w:left="6192" w:hanging="248"/>
      </w:pPr>
      <w:rPr>
        <w:rFonts w:hint="default"/>
        <w:lang w:val="es-ES" w:eastAsia="es-ES" w:bidi="es-ES"/>
      </w:rPr>
    </w:lvl>
    <w:lvl w:ilvl="6">
      <w:start w:val="0"/>
      <w:numFmt w:val="bullet"/>
      <w:lvlText w:val="•"/>
      <w:lvlJc w:val="left"/>
      <w:pPr>
        <w:ind w:left="7079" w:hanging="248"/>
      </w:pPr>
      <w:rPr>
        <w:rFonts w:hint="default"/>
        <w:lang w:val="es-ES" w:eastAsia="es-ES" w:bidi="es-ES"/>
      </w:rPr>
    </w:lvl>
    <w:lvl w:ilvl="7">
      <w:start w:val="0"/>
      <w:numFmt w:val="bullet"/>
      <w:lvlText w:val="•"/>
      <w:lvlJc w:val="left"/>
      <w:pPr>
        <w:ind w:left="7965" w:hanging="248"/>
      </w:pPr>
      <w:rPr>
        <w:rFonts w:hint="default"/>
        <w:lang w:val="es-ES" w:eastAsia="es-ES" w:bidi="es-ES"/>
      </w:rPr>
    </w:lvl>
    <w:lvl w:ilvl="8">
      <w:start w:val="0"/>
      <w:numFmt w:val="bullet"/>
      <w:lvlText w:val="•"/>
      <w:lvlJc w:val="left"/>
      <w:pPr>
        <w:ind w:left="8852" w:hanging="248"/>
      </w:pPr>
      <w:rPr>
        <w:rFonts w:hint="default"/>
        <w:lang w:val="es-ES" w:eastAsia="es-ES" w:bidi="es-ES"/>
      </w:rPr>
    </w:lvl>
  </w:abstractNum>
  <w:abstractNum w:abstractNumId="395">
    <w:multiLevelType w:val="hybridMultilevel"/>
    <w:lvl w:ilvl="0">
      <w:start w:val="4"/>
      <w:numFmt w:val="decimal"/>
      <w:lvlText w:val="%1."/>
      <w:lvlJc w:val="left"/>
      <w:pPr>
        <w:ind w:left="1754" w:hanging="287"/>
        <w:jc w:val="left"/>
      </w:pPr>
      <w:rPr>
        <w:rFonts w:hint="default" w:ascii="Arial" w:hAnsi="Arial" w:eastAsia="Arial" w:cs="Arial"/>
        <w:spacing w:val="-7"/>
        <w:w w:val="100"/>
        <w:sz w:val="20"/>
        <w:szCs w:val="20"/>
        <w:lang w:val="es-ES" w:eastAsia="es-ES" w:bidi="es-ES"/>
      </w:rPr>
    </w:lvl>
    <w:lvl w:ilvl="1">
      <w:start w:val="0"/>
      <w:numFmt w:val="bullet"/>
      <w:lvlText w:val="•"/>
      <w:lvlJc w:val="left"/>
      <w:pPr>
        <w:ind w:left="2646" w:hanging="287"/>
      </w:pPr>
      <w:rPr>
        <w:rFonts w:hint="default"/>
        <w:lang w:val="es-ES" w:eastAsia="es-ES" w:bidi="es-ES"/>
      </w:rPr>
    </w:lvl>
    <w:lvl w:ilvl="2">
      <w:start w:val="0"/>
      <w:numFmt w:val="bullet"/>
      <w:lvlText w:val="•"/>
      <w:lvlJc w:val="left"/>
      <w:pPr>
        <w:ind w:left="3533" w:hanging="287"/>
      </w:pPr>
      <w:rPr>
        <w:rFonts w:hint="default"/>
        <w:lang w:val="es-ES" w:eastAsia="es-ES" w:bidi="es-ES"/>
      </w:rPr>
    </w:lvl>
    <w:lvl w:ilvl="3">
      <w:start w:val="0"/>
      <w:numFmt w:val="bullet"/>
      <w:lvlText w:val="•"/>
      <w:lvlJc w:val="left"/>
      <w:pPr>
        <w:ind w:left="4419" w:hanging="287"/>
      </w:pPr>
      <w:rPr>
        <w:rFonts w:hint="default"/>
        <w:lang w:val="es-ES" w:eastAsia="es-ES" w:bidi="es-ES"/>
      </w:rPr>
    </w:lvl>
    <w:lvl w:ilvl="4">
      <w:start w:val="0"/>
      <w:numFmt w:val="bullet"/>
      <w:lvlText w:val="•"/>
      <w:lvlJc w:val="left"/>
      <w:pPr>
        <w:ind w:left="5306" w:hanging="287"/>
      </w:pPr>
      <w:rPr>
        <w:rFonts w:hint="default"/>
        <w:lang w:val="es-ES" w:eastAsia="es-ES" w:bidi="es-ES"/>
      </w:rPr>
    </w:lvl>
    <w:lvl w:ilvl="5">
      <w:start w:val="0"/>
      <w:numFmt w:val="bullet"/>
      <w:lvlText w:val="•"/>
      <w:lvlJc w:val="left"/>
      <w:pPr>
        <w:ind w:left="6192" w:hanging="287"/>
      </w:pPr>
      <w:rPr>
        <w:rFonts w:hint="default"/>
        <w:lang w:val="es-ES" w:eastAsia="es-ES" w:bidi="es-ES"/>
      </w:rPr>
    </w:lvl>
    <w:lvl w:ilvl="6">
      <w:start w:val="0"/>
      <w:numFmt w:val="bullet"/>
      <w:lvlText w:val="•"/>
      <w:lvlJc w:val="left"/>
      <w:pPr>
        <w:ind w:left="7079" w:hanging="287"/>
      </w:pPr>
      <w:rPr>
        <w:rFonts w:hint="default"/>
        <w:lang w:val="es-ES" w:eastAsia="es-ES" w:bidi="es-ES"/>
      </w:rPr>
    </w:lvl>
    <w:lvl w:ilvl="7">
      <w:start w:val="0"/>
      <w:numFmt w:val="bullet"/>
      <w:lvlText w:val="•"/>
      <w:lvlJc w:val="left"/>
      <w:pPr>
        <w:ind w:left="7965" w:hanging="287"/>
      </w:pPr>
      <w:rPr>
        <w:rFonts w:hint="default"/>
        <w:lang w:val="es-ES" w:eastAsia="es-ES" w:bidi="es-ES"/>
      </w:rPr>
    </w:lvl>
    <w:lvl w:ilvl="8">
      <w:start w:val="0"/>
      <w:numFmt w:val="bullet"/>
      <w:lvlText w:val="•"/>
      <w:lvlJc w:val="left"/>
      <w:pPr>
        <w:ind w:left="8852" w:hanging="287"/>
      </w:pPr>
      <w:rPr>
        <w:rFonts w:hint="default"/>
        <w:lang w:val="es-ES" w:eastAsia="es-ES" w:bidi="es-ES"/>
      </w:rPr>
    </w:lvl>
  </w:abstractNum>
  <w:abstractNum w:abstractNumId="394">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93">
    <w:multiLevelType w:val="hybridMultilevel"/>
    <w:lvl w:ilvl="0">
      <w:start w:val="2"/>
      <w:numFmt w:val="decimal"/>
      <w:lvlText w:val="%1."/>
      <w:lvlJc w:val="left"/>
      <w:pPr>
        <w:ind w:left="1754" w:hanging="286"/>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646" w:hanging="286"/>
      </w:pPr>
      <w:rPr>
        <w:rFonts w:hint="default"/>
        <w:lang w:val="es-ES" w:eastAsia="es-ES" w:bidi="es-ES"/>
      </w:rPr>
    </w:lvl>
    <w:lvl w:ilvl="2">
      <w:start w:val="0"/>
      <w:numFmt w:val="bullet"/>
      <w:lvlText w:val="•"/>
      <w:lvlJc w:val="left"/>
      <w:pPr>
        <w:ind w:left="3533" w:hanging="286"/>
      </w:pPr>
      <w:rPr>
        <w:rFonts w:hint="default"/>
        <w:lang w:val="es-ES" w:eastAsia="es-ES" w:bidi="es-ES"/>
      </w:rPr>
    </w:lvl>
    <w:lvl w:ilvl="3">
      <w:start w:val="0"/>
      <w:numFmt w:val="bullet"/>
      <w:lvlText w:val="•"/>
      <w:lvlJc w:val="left"/>
      <w:pPr>
        <w:ind w:left="4419" w:hanging="286"/>
      </w:pPr>
      <w:rPr>
        <w:rFonts w:hint="default"/>
        <w:lang w:val="es-ES" w:eastAsia="es-ES" w:bidi="es-ES"/>
      </w:rPr>
    </w:lvl>
    <w:lvl w:ilvl="4">
      <w:start w:val="0"/>
      <w:numFmt w:val="bullet"/>
      <w:lvlText w:val="•"/>
      <w:lvlJc w:val="left"/>
      <w:pPr>
        <w:ind w:left="5306" w:hanging="286"/>
      </w:pPr>
      <w:rPr>
        <w:rFonts w:hint="default"/>
        <w:lang w:val="es-ES" w:eastAsia="es-ES" w:bidi="es-ES"/>
      </w:rPr>
    </w:lvl>
    <w:lvl w:ilvl="5">
      <w:start w:val="0"/>
      <w:numFmt w:val="bullet"/>
      <w:lvlText w:val="•"/>
      <w:lvlJc w:val="left"/>
      <w:pPr>
        <w:ind w:left="6192" w:hanging="286"/>
      </w:pPr>
      <w:rPr>
        <w:rFonts w:hint="default"/>
        <w:lang w:val="es-ES" w:eastAsia="es-ES" w:bidi="es-ES"/>
      </w:rPr>
    </w:lvl>
    <w:lvl w:ilvl="6">
      <w:start w:val="0"/>
      <w:numFmt w:val="bullet"/>
      <w:lvlText w:val="•"/>
      <w:lvlJc w:val="left"/>
      <w:pPr>
        <w:ind w:left="7079" w:hanging="286"/>
      </w:pPr>
      <w:rPr>
        <w:rFonts w:hint="default"/>
        <w:lang w:val="es-ES" w:eastAsia="es-ES" w:bidi="es-ES"/>
      </w:rPr>
    </w:lvl>
    <w:lvl w:ilvl="7">
      <w:start w:val="0"/>
      <w:numFmt w:val="bullet"/>
      <w:lvlText w:val="•"/>
      <w:lvlJc w:val="left"/>
      <w:pPr>
        <w:ind w:left="7965" w:hanging="286"/>
      </w:pPr>
      <w:rPr>
        <w:rFonts w:hint="default"/>
        <w:lang w:val="es-ES" w:eastAsia="es-ES" w:bidi="es-ES"/>
      </w:rPr>
    </w:lvl>
    <w:lvl w:ilvl="8">
      <w:start w:val="0"/>
      <w:numFmt w:val="bullet"/>
      <w:lvlText w:val="•"/>
      <w:lvlJc w:val="left"/>
      <w:pPr>
        <w:ind w:left="8852" w:hanging="286"/>
      </w:pPr>
      <w:rPr>
        <w:rFonts w:hint="default"/>
        <w:lang w:val="es-ES" w:eastAsia="es-ES" w:bidi="es-ES"/>
      </w:rPr>
    </w:lvl>
  </w:abstractNum>
  <w:abstractNum w:abstractNumId="392">
    <w:multiLevelType w:val="hybridMultilevel"/>
    <w:lvl w:ilvl="0">
      <w:start w:val="1"/>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391">
    <w:multiLevelType w:val="hybridMultilevel"/>
    <w:lvl w:ilvl="0">
      <w:start w:val="1"/>
      <w:numFmt w:val="lowerLetter"/>
      <w:lvlText w:val="%1)"/>
      <w:lvlJc w:val="left"/>
      <w:pPr>
        <w:ind w:left="1754" w:hanging="277"/>
        <w:jc w:val="left"/>
      </w:pPr>
      <w:rPr>
        <w:rFonts w:hint="default" w:ascii="Arial" w:hAnsi="Arial" w:eastAsia="Arial" w:cs="Arial"/>
        <w:spacing w:val="-13"/>
        <w:w w:val="100"/>
        <w:sz w:val="20"/>
        <w:szCs w:val="20"/>
        <w:lang w:val="es-ES" w:eastAsia="es-ES" w:bidi="es-ES"/>
      </w:rPr>
    </w:lvl>
    <w:lvl w:ilvl="1">
      <w:start w:val="0"/>
      <w:numFmt w:val="bullet"/>
      <w:lvlText w:val="•"/>
      <w:lvlJc w:val="left"/>
      <w:pPr>
        <w:ind w:left="2646" w:hanging="277"/>
      </w:pPr>
      <w:rPr>
        <w:rFonts w:hint="default"/>
        <w:lang w:val="es-ES" w:eastAsia="es-ES" w:bidi="es-ES"/>
      </w:rPr>
    </w:lvl>
    <w:lvl w:ilvl="2">
      <w:start w:val="0"/>
      <w:numFmt w:val="bullet"/>
      <w:lvlText w:val="•"/>
      <w:lvlJc w:val="left"/>
      <w:pPr>
        <w:ind w:left="3533" w:hanging="277"/>
      </w:pPr>
      <w:rPr>
        <w:rFonts w:hint="default"/>
        <w:lang w:val="es-ES" w:eastAsia="es-ES" w:bidi="es-ES"/>
      </w:rPr>
    </w:lvl>
    <w:lvl w:ilvl="3">
      <w:start w:val="0"/>
      <w:numFmt w:val="bullet"/>
      <w:lvlText w:val="•"/>
      <w:lvlJc w:val="left"/>
      <w:pPr>
        <w:ind w:left="4419" w:hanging="277"/>
      </w:pPr>
      <w:rPr>
        <w:rFonts w:hint="default"/>
        <w:lang w:val="es-ES" w:eastAsia="es-ES" w:bidi="es-ES"/>
      </w:rPr>
    </w:lvl>
    <w:lvl w:ilvl="4">
      <w:start w:val="0"/>
      <w:numFmt w:val="bullet"/>
      <w:lvlText w:val="•"/>
      <w:lvlJc w:val="left"/>
      <w:pPr>
        <w:ind w:left="5306" w:hanging="277"/>
      </w:pPr>
      <w:rPr>
        <w:rFonts w:hint="default"/>
        <w:lang w:val="es-ES" w:eastAsia="es-ES" w:bidi="es-ES"/>
      </w:rPr>
    </w:lvl>
    <w:lvl w:ilvl="5">
      <w:start w:val="0"/>
      <w:numFmt w:val="bullet"/>
      <w:lvlText w:val="•"/>
      <w:lvlJc w:val="left"/>
      <w:pPr>
        <w:ind w:left="6192" w:hanging="277"/>
      </w:pPr>
      <w:rPr>
        <w:rFonts w:hint="default"/>
        <w:lang w:val="es-ES" w:eastAsia="es-ES" w:bidi="es-ES"/>
      </w:rPr>
    </w:lvl>
    <w:lvl w:ilvl="6">
      <w:start w:val="0"/>
      <w:numFmt w:val="bullet"/>
      <w:lvlText w:val="•"/>
      <w:lvlJc w:val="left"/>
      <w:pPr>
        <w:ind w:left="7079" w:hanging="277"/>
      </w:pPr>
      <w:rPr>
        <w:rFonts w:hint="default"/>
        <w:lang w:val="es-ES" w:eastAsia="es-ES" w:bidi="es-ES"/>
      </w:rPr>
    </w:lvl>
    <w:lvl w:ilvl="7">
      <w:start w:val="0"/>
      <w:numFmt w:val="bullet"/>
      <w:lvlText w:val="•"/>
      <w:lvlJc w:val="left"/>
      <w:pPr>
        <w:ind w:left="7965" w:hanging="277"/>
      </w:pPr>
      <w:rPr>
        <w:rFonts w:hint="default"/>
        <w:lang w:val="es-ES" w:eastAsia="es-ES" w:bidi="es-ES"/>
      </w:rPr>
    </w:lvl>
    <w:lvl w:ilvl="8">
      <w:start w:val="0"/>
      <w:numFmt w:val="bullet"/>
      <w:lvlText w:val="•"/>
      <w:lvlJc w:val="left"/>
      <w:pPr>
        <w:ind w:left="8852" w:hanging="277"/>
      </w:pPr>
      <w:rPr>
        <w:rFonts w:hint="default"/>
        <w:lang w:val="es-ES" w:eastAsia="es-ES" w:bidi="es-ES"/>
      </w:rPr>
    </w:lvl>
  </w:abstractNum>
  <w:abstractNum w:abstractNumId="390">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89">
    <w:multiLevelType w:val="hybridMultilevel"/>
    <w:lvl w:ilvl="0">
      <w:start w:val="1"/>
      <w:numFmt w:val="decimal"/>
      <w:lvlText w:val="%1."/>
      <w:lvlJc w:val="left"/>
      <w:pPr>
        <w:ind w:left="175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50"/>
      </w:pPr>
      <w:rPr>
        <w:rFonts w:hint="default"/>
        <w:lang w:val="es-ES" w:eastAsia="es-ES" w:bidi="es-ES"/>
      </w:rPr>
    </w:lvl>
    <w:lvl w:ilvl="2">
      <w:start w:val="0"/>
      <w:numFmt w:val="bullet"/>
      <w:lvlText w:val="•"/>
      <w:lvlJc w:val="left"/>
      <w:pPr>
        <w:ind w:left="3533" w:hanging="250"/>
      </w:pPr>
      <w:rPr>
        <w:rFonts w:hint="default"/>
        <w:lang w:val="es-ES" w:eastAsia="es-ES" w:bidi="es-ES"/>
      </w:rPr>
    </w:lvl>
    <w:lvl w:ilvl="3">
      <w:start w:val="0"/>
      <w:numFmt w:val="bullet"/>
      <w:lvlText w:val="•"/>
      <w:lvlJc w:val="left"/>
      <w:pPr>
        <w:ind w:left="4419" w:hanging="250"/>
      </w:pPr>
      <w:rPr>
        <w:rFonts w:hint="default"/>
        <w:lang w:val="es-ES" w:eastAsia="es-ES" w:bidi="es-ES"/>
      </w:rPr>
    </w:lvl>
    <w:lvl w:ilvl="4">
      <w:start w:val="0"/>
      <w:numFmt w:val="bullet"/>
      <w:lvlText w:val="•"/>
      <w:lvlJc w:val="left"/>
      <w:pPr>
        <w:ind w:left="5306" w:hanging="250"/>
      </w:pPr>
      <w:rPr>
        <w:rFonts w:hint="default"/>
        <w:lang w:val="es-ES" w:eastAsia="es-ES" w:bidi="es-ES"/>
      </w:rPr>
    </w:lvl>
    <w:lvl w:ilvl="5">
      <w:start w:val="0"/>
      <w:numFmt w:val="bullet"/>
      <w:lvlText w:val="•"/>
      <w:lvlJc w:val="left"/>
      <w:pPr>
        <w:ind w:left="6192" w:hanging="250"/>
      </w:pPr>
      <w:rPr>
        <w:rFonts w:hint="default"/>
        <w:lang w:val="es-ES" w:eastAsia="es-ES" w:bidi="es-ES"/>
      </w:rPr>
    </w:lvl>
    <w:lvl w:ilvl="6">
      <w:start w:val="0"/>
      <w:numFmt w:val="bullet"/>
      <w:lvlText w:val="•"/>
      <w:lvlJc w:val="left"/>
      <w:pPr>
        <w:ind w:left="7079" w:hanging="250"/>
      </w:pPr>
      <w:rPr>
        <w:rFonts w:hint="default"/>
        <w:lang w:val="es-ES" w:eastAsia="es-ES" w:bidi="es-ES"/>
      </w:rPr>
    </w:lvl>
    <w:lvl w:ilvl="7">
      <w:start w:val="0"/>
      <w:numFmt w:val="bullet"/>
      <w:lvlText w:val="•"/>
      <w:lvlJc w:val="left"/>
      <w:pPr>
        <w:ind w:left="7965" w:hanging="250"/>
      </w:pPr>
      <w:rPr>
        <w:rFonts w:hint="default"/>
        <w:lang w:val="es-ES" w:eastAsia="es-ES" w:bidi="es-ES"/>
      </w:rPr>
    </w:lvl>
    <w:lvl w:ilvl="8">
      <w:start w:val="0"/>
      <w:numFmt w:val="bullet"/>
      <w:lvlText w:val="•"/>
      <w:lvlJc w:val="left"/>
      <w:pPr>
        <w:ind w:left="8852" w:hanging="250"/>
      </w:pPr>
      <w:rPr>
        <w:rFonts w:hint="default"/>
        <w:lang w:val="es-ES" w:eastAsia="es-ES" w:bidi="es-ES"/>
      </w:rPr>
    </w:lvl>
  </w:abstractNum>
  <w:abstractNum w:abstractNumId="388">
    <w:multiLevelType w:val="hybridMultilevel"/>
    <w:lvl w:ilvl="0">
      <w:start w:val="1"/>
      <w:numFmt w:val="decimal"/>
      <w:lvlText w:val="%1."/>
      <w:lvlJc w:val="left"/>
      <w:pPr>
        <w:ind w:left="175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7"/>
      </w:pPr>
      <w:rPr>
        <w:rFonts w:hint="default"/>
        <w:lang w:val="es-ES" w:eastAsia="es-ES" w:bidi="es-ES"/>
      </w:rPr>
    </w:lvl>
    <w:lvl w:ilvl="2">
      <w:start w:val="0"/>
      <w:numFmt w:val="bullet"/>
      <w:lvlText w:val="•"/>
      <w:lvlJc w:val="left"/>
      <w:pPr>
        <w:ind w:left="3533" w:hanging="237"/>
      </w:pPr>
      <w:rPr>
        <w:rFonts w:hint="default"/>
        <w:lang w:val="es-ES" w:eastAsia="es-ES" w:bidi="es-ES"/>
      </w:rPr>
    </w:lvl>
    <w:lvl w:ilvl="3">
      <w:start w:val="0"/>
      <w:numFmt w:val="bullet"/>
      <w:lvlText w:val="•"/>
      <w:lvlJc w:val="left"/>
      <w:pPr>
        <w:ind w:left="4419" w:hanging="237"/>
      </w:pPr>
      <w:rPr>
        <w:rFonts w:hint="default"/>
        <w:lang w:val="es-ES" w:eastAsia="es-ES" w:bidi="es-ES"/>
      </w:rPr>
    </w:lvl>
    <w:lvl w:ilvl="4">
      <w:start w:val="0"/>
      <w:numFmt w:val="bullet"/>
      <w:lvlText w:val="•"/>
      <w:lvlJc w:val="left"/>
      <w:pPr>
        <w:ind w:left="5306" w:hanging="237"/>
      </w:pPr>
      <w:rPr>
        <w:rFonts w:hint="default"/>
        <w:lang w:val="es-ES" w:eastAsia="es-ES" w:bidi="es-ES"/>
      </w:rPr>
    </w:lvl>
    <w:lvl w:ilvl="5">
      <w:start w:val="0"/>
      <w:numFmt w:val="bullet"/>
      <w:lvlText w:val="•"/>
      <w:lvlJc w:val="left"/>
      <w:pPr>
        <w:ind w:left="6192" w:hanging="237"/>
      </w:pPr>
      <w:rPr>
        <w:rFonts w:hint="default"/>
        <w:lang w:val="es-ES" w:eastAsia="es-ES" w:bidi="es-ES"/>
      </w:rPr>
    </w:lvl>
    <w:lvl w:ilvl="6">
      <w:start w:val="0"/>
      <w:numFmt w:val="bullet"/>
      <w:lvlText w:val="•"/>
      <w:lvlJc w:val="left"/>
      <w:pPr>
        <w:ind w:left="7079" w:hanging="237"/>
      </w:pPr>
      <w:rPr>
        <w:rFonts w:hint="default"/>
        <w:lang w:val="es-ES" w:eastAsia="es-ES" w:bidi="es-ES"/>
      </w:rPr>
    </w:lvl>
    <w:lvl w:ilvl="7">
      <w:start w:val="0"/>
      <w:numFmt w:val="bullet"/>
      <w:lvlText w:val="•"/>
      <w:lvlJc w:val="left"/>
      <w:pPr>
        <w:ind w:left="7965" w:hanging="237"/>
      </w:pPr>
      <w:rPr>
        <w:rFonts w:hint="default"/>
        <w:lang w:val="es-ES" w:eastAsia="es-ES" w:bidi="es-ES"/>
      </w:rPr>
    </w:lvl>
    <w:lvl w:ilvl="8">
      <w:start w:val="0"/>
      <w:numFmt w:val="bullet"/>
      <w:lvlText w:val="•"/>
      <w:lvlJc w:val="left"/>
      <w:pPr>
        <w:ind w:left="8852" w:hanging="237"/>
      </w:pPr>
      <w:rPr>
        <w:rFonts w:hint="default"/>
        <w:lang w:val="es-ES" w:eastAsia="es-ES" w:bidi="es-ES"/>
      </w:rPr>
    </w:lvl>
  </w:abstractNum>
  <w:abstractNum w:abstractNumId="387">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86">
    <w:multiLevelType w:val="hybridMultilevel"/>
    <w:lvl w:ilvl="0">
      <w:start w:val="1"/>
      <w:numFmt w:val="decimal"/>
      <w:lvlText w:val="%1."/>
      <w:lvlJc w:val="left"/>
      <w:pPr>
        <w:ind w:left="1754" w:hanging="23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2"/>
      </w:pPr>
      <w:rPr>
        <w:rFonts w:hint="default"/>
        <w:lang w:val="es-ES" w:eastAsia="es-ES" w:bidi="es-ES"/>
      </w:rPr>
    </w:lvl>
    <w:lvl w:ilvl="2">
      <w:start w:val="0"/>
      <w:numFmt w:val="bullet"/>
      <w:lvlText w:val="•"/>
      <w:lvlJc w:val="left"/>
      <w:pPr>
        <w:ind w:left="3533" w:hanging="232"/>
      </w:pPr>
      <w:rPr>
        <w:rFonts w:hint="default"/>
        <w:lang w:val="es-ES" w:eastAsia="es-ES" w:bidi="es-ES"/>
      </w:rPr>
    </w:lvl>
    <w:lvl w:ilvl="3">
      <w:start w:val="0"/>
      <w:numFmt w:val="bullet"/>
      <w:lvlText w:val="•"/>
      <w:lvlJc w:val="left"/>
      <w:pPr>
        <w:ind w:left="4419" w:hanging="232"/>
      </w:pPr>
      <w:rPr>
        <w:rFonts w:hint="default"/>
        <w:lang w:val="es-ES" w:eastAsia="es-ES" w:bidi="es-ES"/>
      </w:rPr>
    </w:lvl>
    <w:lvl w:ilvl="4">
      <w:start w:val="0"/>
      <w:numFmt w:val="bullet"/>
      <w:lvlText w:val="•"/>
      <w:lvlJc w:val="left"/>
      <w:pPr>
        <w:ind w:left="5306" w:hanging="232"/>
      </w:pPr>
      <w:rPr>
        <w:rFonts w:hint="default"/>
        <w:lang w:val="es-ES" w:eastAsia="es-ES" w:bidi="es-ES"/>
      </w:rPr>
    </w:lvl>
    <w:lvl w:ilvl="5">
      <w:start w:val="0"/>
      <w:numFmt w:val="bullet"/>
      <w:lvlText w:val="•"/>
      <w:lvlJc w:val="left"/>
      <w:pPr>
        <w:ind w:left="6192" w:hanging="232"/>
      </w:pPr>
      <w:rPr>
        <w:rFonts w:hint="default"/>
        <w:lang w:val="es-ES" w:eastAsia="es-ES" w:bidi="es-ES"/>
      </w:rPr>
    </w:lvl>
    <w:lvl w:ilvl="6">
      <w:start w:val="0"/>
      <w:numFmt w:val="bullet"/>
      <w:lvlText w:val="•"/>
      <w:lvlJc w:val="left"/>
      <w:pPr>
        <w:ind w:left="7079" w:hanging="232"/>
      </w:pPr>
      <w:rPr>
        <w:rFonts w:hint="default"/>
        <w:lang w:val="es-ES" w:eastAsia="es-ES" w:bidi="es-ES"/>
      </w:rPr>
    </w:lvl>
    <w:lvl w:ilvl="7">
      <w:start w:val="0"/>
      <w:numFmt w:val="bullet"/>
      <w:lvlText w:val="•"/>
      <w:lvlJc w:val="left"/>
      <w:pPr>
        <w:ind w:left="7965" w:hanging="232"/>
      </w:pPr>
      <w:rPr>
        <w:rFonts w:hint="default"/>
        <w:lang w:val="es-ES" w:eastAsia="es-ES" w:bidi="es-ES"/>
      </w:rPr>
    </w:lvl>
    <w:lvl w:ilvl="8">
      <w:start w:val="0"/>
      <w:numFmt w:val="bullet"/>
      <w:lvlText w:val="•"/>
      <w:lvlJc w:val="left"/>
      <w:pPr>
        <w:ind w:left="8852" w:hanging="232"/>
      </w:pPr>
      <w:rPr>
        <w:rFonts w:hint="default"/>
        <w:lang w:val="es-ES" w:eastAsia="es-ES" w:bidi="es-ES"/>
      </w:rPr>
    </w:lvl>
  </w:abstractNum>
  <w:abstractNum w:abstractNumId="385">
    <w:multiLevelType w:val="hybridMultilevel"/>
    <w:lvl w:ilvl="0">
      <w:start w:val="1"/>
      <w:numFmt w:val="decimal"/>
      <w:lvlText w:val="%1."/>
      <w:lvlJc w:val="left"/>
      <w:pPr>
        <w:ind w:left="1754" w:hanging="22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29"/>
      </w:pPr>
      <w:rPr>
        <w:rFonts w:hint="default"/>
        <w:lang w:val="es-ES" w:eastAsia="es-ES" w:bidi="es-ES"/>
      </w:rPr>
    </w:lvl>
    <w:lvl w:ilvl="2">
      <w:start w:val="0"/>
      <w:numFmt w:val="bullet"/>
      <w:lvlText w:val="•"/>
      <w:lvlJc w:val="left"/>
      <w:pPr>
        <w:ind w:left="3533" w:hanging="229"/>
      </w:pPr>
      <w:rPr>
        <w:rFonts w:hint="default"/>
        <w:lang w:val="es-ES" w:eastAsia="es-ES" w:bidi="es-ES"/>
      </w:rPr>
    </w:lvl>
    <w:lvl w:ilvl="3">
      <w:start w:val="0"/>
      <w:numFmt w:val="bullet"/>
      <w:lvlText w:val="•"/>
      <w:lvlJc w:val="left"/>
      <w:pPr>
        <w:ind w:left="4419" w:hanging="229"/>
      </w:pPr>
      <w:rPr>
        <w:rFonts w:hint="default"/>
        <w:lang w:val="es-ES" w:eastAsia="es-ES" w:bidi="es-ES"/>
      </w:rPr>
    </w:lvl>
    <w:lvl w:ilvl="4">
      <w:start w:val="0"/>
      <w:numFmt w:val="bullet"/>
      <w:lvlText w:val="•"/>
      <w:lvlJc w:val="left"/>
      <w:pPr>
        <w:ind w:left="5306" w:hanging="229"/>
      </w:pPr>
      <w:rPr>
        <w:rFonts w:hint="default"/>
        <w:lang w:val="es-ES" w:eastAsia="es-ES" w:bidi="es-ES"/>
      </w:rPr>
    </w:lvl>
    <w:lvl w:ilvl="5">
      <w:start w:val="0"/>
      <w:numFmt w:val="bullet"/>
      <w:lvlText w:val="•"/>
      <w:lvlJc w:val="left"/>
      <w:pPr>
        <w:ind w:left="6192" w:hanging="229"/>
      </w:pPr>
      <w:rPr>
        <w:rFonts w:hint="default"/>
        <w:lang w:val="es-ES" w:eastAsia="es-ES" w:bidi="es-ES"/>
      </w:rPr>
    </w:lvl>
    <w:lvl w:ilvl="6">
      <w:start w:val="0"/>
      <w:numFmt w:val="bullet"/>
      <w:lvlText w:val="•"/>
      <w:lvlJc w:val="left"/>
      <w:pPr>
        <w:ind w:left="7079" w:hanging="229"/>
      </w:pPr>
      <w:rPr>
        <w:rFonts w:hint="default"/>
        <w:lang w:val="es-ES" w:eastAsia="es-ES" w:bidi="es-ES"/>
      </w:rPr>
    </w:lvl>
    <w:lvl w:ilvl="7">
      <w:start w:val="0"/>
      <w:numFmt w:val="bullet"/>
      <w:lvlText w:val="•"/>
      <w:lvlJc w:val="left"/>
      <w:pPr>
        <w:ind w:left="7965" w:hanging="229"/>
      </w:pPr>
      <w:rPr>
        <w:rFonts w:hint="default"/>
        <w:lang w:val="es-ES" w:eastAsia="es-ES" w:bidi="es-ES"/>
      </w:rPr>
    </w:lvl>
    <w:lvl w:ilvl="8">
      <w:start w:val="0"/>
      <w:numFmt w:val="bullet"/>
      <w:lvlText w:val="•"/>
      <w:lvlJc w:val="left"/>
      <w:pPr>
        <w:ind w:left="8852" w:hanging="229"/>
      </w:pPr>
      <w:rPr>
        <w:rFonts w:hint="default"/>
        <w:lang w:val="es-ES" w:eastAsia="es-ES" w:bidi="es-ES"/>
      </w:rPr>
    </w:lvl>
  </w:abstractNum>
  <w:abstractNum w:abstractNumId="384">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83">
    <w:multiLevelType w:val="hybridMultilevel"/>
    <w:lvl w:ilvl="0">
      <w:start w:val="1"/>
      <w:numFmt w:val="decimal"/>
      <w:lvlText w:val="%1."/>
      <w:lvlJc w:val="left"/>
      <w:pPr>
        <w:ind w:left="175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8"/>
      </w:pPr>
      <w:rPr>
        <w:rFonts w:hint="default"/>
        <w:lang w:val="es-ES" w:eastAsia="es-ES" w:bidi="es-ES"/>
      </w:rPr>
    </w:lvl>
    <w:lvl w:ilvl="2">
      <w:start w:val="0"/>
      <w:numFmt w:val="bullet"/>
      <w:lvlText w:val="•"/>
      <w:lvlJc w:val="left"/>
      <w:pPr>
        <w:ind w:left="3533" w:hanging="238"/>
      </w:pPr>
      <w:rPr>
        <w:rFonts w:hint="default"/>
        <w:lang w:val="es-ES" w:eastAsia="es-ES" w:bidi="es-ES"/>
      </w:rPr>
    </w:lvl>
    <w:lvl w:ilvl="3">
      <w:start w:val="0"/>
      <w:numFmt w:val="bullet"/>
      <w:lvlText w:val="•"/>
      <w:lvlJc w:val="left"/>
      <w:pPr>
        <w:ind w:left="4419" w:hanging="238"/>
      </w:pPr>
      <w:rPr>
        <w:rFonts w:hint="default"/>
        <w:lang w:val="es-ES" w:eastAsia="es-ES" w:bidi="es-ES"/>
      </w:rPr>
    </w:lvl>
    <w:lvl w:ilvl="4">
      <w:start w:val="0"/>
      <w:numFmt w:val="bullet"/>
      <w:lvlText w:val="•"/>
      <w:lvlJc w:val="left"/>
      <w:pPr>
        <w:ind w:left="5306" w:hanging="238"/>
      </w:pPr>
      <w:rPr>
        <w:rFonts w:hint="default"/>
        <w:lang w:val="es-ES" w:eastAsia="es-ES" w:bidi="es-ES"/>
      </w:rPr>
    </w:lvl>
    <w:lvl w:ilvl="5">
      <w:start w:val="0"/>
      <w:numFmt w:val="bullet"/>
      <w:lvlText w:val="•"/>
      <w:lvlJc w:val="left"/>
      <w:pPr>
        <w:ind w:left="6192" w:hanging="238"/>
      </w:pPr>
      <w:rPr>
        <w:rFonts w:hint="default"/>
        <w:lang w:val="es-ES" w:eastAsia="es-ES" w:bidi="es-ES"/>
      </w:rPr>
    </w:lvl>
    <w:lvl w:ilvl="6">
      <w:start w:val="0"/>
      <w:numFmt w:val="bullet"/>
      <w:lvlText w:val="•"/>
      <w:lvlJc w:val="left"/>
      <w:pPr>
        <w:ind w:left="7079" w:hanging="238"/>
      </w:pPr>
      <w:rPr>
        <w:rFonts w:hint="default"/>
        <w:lang w:val="es-ES" w:eastAsia="es-ES" w:bidi="es-ES"/>
      </w:rPr>
    </w:lvl>
    <w:lvl w:ilvl="7">
      <w:start w:val="0"/>
      <w:numFmt w:val="bullet"/>
      <w:lvlText w:val="•"/>
      <w:lvlJc w:val="left"/>
      <w:pPr>
        <w:ind w:left="7965" w:hanging="238"/>
      </w:pPr>
      <w:rPr>
        <w:rFonts w:hint="default"/>
        <w:lang w:val="es-ES" w:eastAsia="es-ES" w:bidi="es-ES"/>
      </w:rPr>
    </w:lvl>
    <w:lvl w:ilvl="8">
      <w:start w:val="0"/>
      <w:numFmt w:val="bullet"/>
      <w:lvlText w:val="•"/>
      <w:lvlJc w:val="left"/>
      <w:pPr>
        <w:ind w:left="8852" w:hanging="238"/>
      </w:pPr>
      <w:rPr>
        <w:rFonts w:hint="default"/>
        <w:lang w:val="es-ES" w:eastAsia="es-ES" w:bidi="es-ES"/>
      </w:rPr>
    </w:lvl>
  </w:abstractNum>
  <w:abstractNum w:abstractNumId="382">
    <w:multiLevelType w:val="hybridMultilevel"/>
    <w:lvl w:ilvl="0">
      <w:start w:val="1"/>
      <w:numFmt w:val="lowerLetter"/>
      <w:lvlText w:val="%1)"/>
      <w:lvlJc w:val="left"/>
      <w:pPr>
        <w:ind w:left="1754" w:hanging="275"/>
        <w:jc w:val="left"/>
      </w:pPr>
      <w:rPr>
        <w:rFonts w:hint="default" w:ascii="Arial" w:hAnsi="Arial" w:eastAsia="Arial" w:cs="Arial"/>
        <w:spacing w:val="-21"/>
        <w:w w:val="100"/>
        <w:sz w:val="20"/>
        <w:szCs w:val="20"/>
        <w:lang w:val="es-ES" w:eastAsia="es-ES" w:bidi="es-ES"/>
      </w:rPr>
    </w:lvl>
    <w:lvl w:ilvl="1">
      <w:start w:val="0"/>
      <w:numFmt w:val="bullet"/>
      <w:lvlText w:val="•"/>
      <w:lvlJc w:val="left"/>
      <w:pPr>
        <w:ind w:left="2646" w:hanging="275"/>
      </w:pPr>
      <w:rPr>
        <w:rFonts w:hint="default"/>
        <w:lang w:val="es-ES" w:eastAsia="es-ES" w:bidi="es-ES"/>
      </w:rPr>
    </w:lvl>
    <w:lvl w:ilvl="2">
      <w:start w:val="0"/>
      <w:numFmt w:val="bullet"/>
      <w:lvlText w:val="•"/>
      <w:lvlJc w:val="left"/>
      <w:pPr>
        <w:ind w:left="3533" w:hanging="275"/>
      </w:pPr>
      <w:rPr>
        <w:rFonts w:hint="default"/>
        <w:lang w:val="es-ES" w:eastAsia="es-ES" w:bidi="es-ES"/>
      </w:rPr>
    </w:lvl>
    <w:lvl w:ilvl="3">
      <w:start w:val="0"/>
      <w:numFmt w:val="bullet"/>
      <w:lvlText w:val="•"/>
      <w:lvlJc w:val="left"/>
      <w:pPr>
        <w:ind w:left="4419" w:hanging="275"/>
      </w:pPr>
      <w:rPr>
        <w:rFonts w:hint="default"/>
        <w:lang w:val="es-ES" w:eastAsia="es-ES" w:bidi="es-ES"/>
      </w:rPr>
    </w:lvl>
    <w:lvl w:ilvl="4">
      <w:start w:val="0"/>
      <w:numFmt w:val="bullet"/>
      <w:lvlText w:val="•"/>
      <w:lvlJc w:val="left"/>
      <w:pPr>
        <w:ind w:left="5306" w:hanging="275"/>
      </w:pPr>
      <w:rPr>
        <w:rFonts w:hint="default"/>
        <w:lang w:val="es-ES" w:eastAsia="es-ES" w:bidi="es-ES"/>
      </w:rPr>
    </w:lvl>
    <w:lvl w:ilvl="5">
      <w:start w:val="0"/>
      <w:numFmt w:val="bullet"/>
      <w:lvlText w:val="•"/>
      <w:lvlJc w:val="left"/>
      <w:pPr>
        <w:ind w:left="6192" w:hanging="275"/>
      </w:pPr>
      <w:rPr>
        <w:rFonts w:hint="default"/>
        <w:lang w:val="es-ES" w:eastAsia="es-ES" w:bidi="es-ES"/>
      </w:rPr>
    </w:lvl>
    <w:lvl w:ilvl="6">
      <w:start w:val="0"/>
      <w:numFmt w:val="bullet"/>
      <w:lvlText w:val="•"/>
      <w:lvlJc w:val="left"/>
      <w:pPr>
        <w:ind w:left="7079" w:hanging="275"/>
      </w:pPr>
      <w:rPr>
        <w:rFonts w:hint="default"/>
        <w:lang w:val="es-ES" w:eastAsia="es-ES" w:bidi="es-ES"/>
      </w:rPr>
    </w:lvl>
    <w:lvl w:ilvl="7">
      <w:start w:val="0"/>
      <w:numFmt w:val="bullet"/>
      <w:lvlText w:val="•"/>
      <w:lvlJc w:val="left"/>
      <w:pPr>
        <w:ind w:left="7965" w:hanging="275"/>
      </w:pPr>
      <w:rPr>
        <w:rFonts w:hint="default"/>
        <w:lang w:val="es-ES" w:eastAsia="es-ES" w:bidi="es-ES"/>
      </w:rPr>
    </w:lvl>
    <w:lvl w:ilvl="8">
      <w:start w:val="0"/>
      <w:numFmt w:val="bullet"/>
      <w:lvlText w:val="•"/>
      <w:lvlJc w:val="left"/>
      <w:pPr>
        <w:ind w:left="8852" w:hanging="275"/>
      </w:pPr>
      <w:rPr>
        <w:rFonts w:hint="default"/>
        <w:lang w:val="es-ES" w:eastAsia="es-ES" w:bidi="es-ES"/>
      </w:rPr>
    </w:lvl>
  </w:abstractNum>
  <w:abstractNum w:abstractNumId="381">
    <w:multiLevelType w:val="hybridMultilevel"/>
    <w:lvl w:ilvl="0">
      <w:start w:val="1"/>
      <w:numFmt w:val="decimal"/>
      <w:lvlText w:val="%1."/>
      <w:lvlJc w:val="left"/>
      <w:pPr>
        <w:ind w:left="1754" w:hanging="23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3"/>
      </w:pPr>
      <w:rPr>
        <w:rFonts w:hint="default"/>
        <w:lang w:val="es-ES" w:eastAsia="es-ES" w:bidi="es-ES"/>
      </w:rPr>
    </w:lvl>
    <w:lvl w:ilvl="2">
      <w:start w:val="0"/>
      <w:numFmt w:val="bullet"/>
      <w:lvlText w:val="•"/>
      <w:lvlJc w:val="left"/>
      <w:pPr>
        <w:ind w:left="3533" w:hanging="233"/>
      </w:pPr>
      <w:rPr>
        <w:rFonts w:hint="default"/>
        <w:lang w:val="es-ES" w:eastAsia="es-ES" w:bidi="es-ES"/>
      </w:rPr>
    </w:lvl>
    <w:lvl w:ilvl="3">
      <w:start w:val="0"/>
      <w:numFmt w:val="bullet"/>
      <w:lvlText w:val="•"/>
      <w:lvlJc w:val="left"/>
      <w:pPr>
        <w:ind w:left="4419" w:hanging="233"/>
      </w:pPr>
      <w:rPr>
        <w:rFonts w:hint="default"/>
        <w:lang w:val="es-ES" w:eastAsia="es-ES" w:bidi="es-ES"/>
      </w:rPr>
    </w:lvl>
    <w:lvl w:ilvl="4">
      <w:start w:val="0"/>
      <w:numFmt w:val="bullet"/>
      <w:lvlText w:val="•"/>
      <w:lvlJc w:val="left"/>
      <w:pPr>
        <w:ind w:left="5306" w:hanging="233"/>
      </w:pPr>
      <w:rPr>
        <w:rFonts w:hint="default"/>
        <w:lang w:val="es-ES" w:eastAsia="es-ES" w:bidi="es-ES"/>
      </w:rPr>
    </w:lvl>
    <w:lvl w:ilvl="5">
      <w:start w:val="0"/>
      <w:numFmt w:val="bullet"/>
      <w:lvlText w:val="•"/>
      <w:lvlJc w:val="left"/>
      <w:pPr>
        <w:ind w:left="6192" w:hanging="233"/>
      </w:pPr>
      <w:rPr>
        <w:rFonts w:hint="default"/>
        <w:lang w:val="es-ES" w:eastAsia="es-ES" w:bidi="es-ES"/>
      </w:rPr>
    </w:lvl>
    <w:lvl w:ilvl="6">
      <w:start w:val="0"/>
      <w:numFmt w:val="bullet"/>
      <w:lvlText w:val="•"/>
      <w:lvlJc w:val="left"/>
      <w:pPr>
        <w:ind w:left="7079" w:hanging="233"/>
      </w:pPr>
      <w:rPr>
        <w:rFonts w:hint="default"/>
        <w:lang w:val="es-ES" w:eastAsia="es-ES" w:bidi="es-ES"/>
      </w:rPr>
    </w:lvl>
    <w:lvl w:ilvl="7">
      <w:start w:val="0"/>
      <w:numFmt w:val="bullet"/>
      <w:lvlText w:val="•"/>
      <w:lvlJc w:val="left"/>
      <w:pPr>
        <w:ind w:left="7965" w:hanging="233"/>
      </w:pPr>
      <w:rPr>
        <w:rFonts w:hint="default"/>
        <w:lang w:val="es-ES" w:eastAsia="es-ES" w:bidi="es-ES"/>
      </w:rPr>
    </w:lvl>
    <w:lvl w:ilvl="8">
      <w:start w:val="0"/>
      <w:numFmt w:val="bullet"/>
      <w:lvlText w:val="•"/>
      <w:lvlJc w:val="left"/>
      <w:pPr>
        <w:ind w:left="8852" w:hanging="233"/>
      </w:pPr>
      <w:rPr>
        <w:rFonts w:hint="default"/>
        <w:lang w:val="es-ES" w:eastAsia="es-ES" w:bidi="es-ES"/>
      </w:rPr>
    </w:lvl>
  </w:abstractNum>
  <w:abstractNum w:abstractNumId="380">
    <w:multiLevelType w:val="hybridMultilevel"/>
    <w:lvl w:ilvl="0">
      <w:start w:val="1"/>
      <w:numFmt w:val="lowerLetter"/>
      <w:lvlText w:val="%1)"/>
      <w:lvlJc w:val="left"/>
      <w:pPr>
        <w:ind w:left="1754" w:hanging="328"/>
        <w:jc w:val="left"/>
      </w:pPr>
      <w:rPr>
        <w:rFonts w:hint="default" w:ascii="Arial" w:hAnsi="Arial" w:eastAsia="Arial" w:cs="Arial"/>
        <w:spacing w:val="-17"/>
        <w:w w:val="100"/>
        <w:sz w:val="20"/>
        <w:szCs w:val="20"/>
        <w:lang w:val="es-ES" w:eastAsia="es-ES" w:bidi="es-ES"/>
      </w:rPr>
    </w:lvl>
    <w:lvl w:ilvl="1">
      <w:start w:val="0"/>
      <w:numFmt w:val="bullet"/>
      <w:lvlText w:val="•"/>
      <w:lvlJc w:val="left"/>
      <w:pPr>
        <w:ind w:left="2646" w:hanging="328"/>
      </w:pPr>
      <w:rPr>
        <w:rFonts w:hint="default"/>
        <w:lang w:val="es-ES" w:eastAsia="es-ES" w:bidi="es-ES"/>
      </w:rPr>
    </w:lvl>
    <w:lvl w:ilvl="2">
      <w:start w:val="0"/>
      <w:numFmt w:val="bullet"/>
      <w:lvlText w:val="•"/>
      <w:lvlJc w:val="left"/>
      <w:pPr>
        <w:ind w:left="3533" w:hanging="328"/>
      </w:pPr>
      <w:rPr>
        <w:rFonts w:hint="default"/>
        <w:lang w:val="es-ES" w:eastAsia="es-ES" w:bidi="es-ES"/>
      </w:rPr>
    </w:lvl>
    <w:lvl w:ilvl="3">
      <w:start w:val="0"/>
      <w:numFmt w:val="bullet"/>
      <w:lvlText w:val="•"/>
      <w:lvlJc w:val="left"/>
      <w:pPr>
        <w:ind w:left="4419" w:hanging="328"/>
      </w:pPr>
      <w:rPr>
        <w:rFonts w:hint="default"/>
        <w:lang w:val="es-ES" w:eastAsia="es-ES" w:bidi="es-ES"/>
      </w:rPr>
    </w:lvl>
    <w:lvl w:ilvl="4">
      <w:start w:val="0"/>
      <w:numFmt w:val="bullet"/>
      <w:lvlText w:val="•"/>
      <w:lvlJc w:val="left"/>
      <w:pPr>
        <w:ind w:left="5306" w:hanging="328"/>
      </w:pPr>
      <w:rPr>
        <w:rFonts w:hint="default"/>
        <w:lang w:val="es-ES" w:eastAsia="es-ES" w:bidi="es-ES"/>
      </w:rPr>
    </w:lvl>
    <w:lvl w:ilvl="5">
      <w:start w:val="0"/>
      <w:numFmt w:val="bullet"/>
      <w:lvlText w:val="•"/>
      <w:lvlJc w:val="left"/>
      <w:pPr>
        <w:ind w:left="6192" w:hanging="328"/>
      </w:pPr>
      <w:rPr>
        <w:rFonts w:hint="default"/>
        <w:lang w:val="es-ES" w:eastAsia="es-ES" w:bidi="es-ES"/>
      </w:rPr>
    </w:lvl>
    <w:lvl w:ilvl="6">
      <w:start w:val="0"/>
      <w:numFmt w:val="bullet"/>
      <w:lvlText w:val="•"/>
      <w:lvlJc w:val="left"/>
      <w:pPr>
        <w:ind w:left="7079" w:hanging="328"/>
      </w:pPr>
      <w:rPr>
        <w:rFonts w:hint="default"/>
        <w:lang w:val="es-ES" w:eastAsia="es-ES" w:bidi="es-ES"/>
      </w:rPr>
    </w:lvl>
    <w:lvl w:ilvl="7">
      <w:start w:val="0"/>
      <w:numFmt w:val="bullet"/>
      <w:lvlText w:val="•"/>
      <w:lvlJc w:val="left"/>
      <w:pPr>
        <w:ind w:left="7965" w:hanging="328"/>
      </w:pPr>
      <w:rPr>
        <w:rFonts w:hint="default"/>
        <w:lang w:val="es-ES" w:eastAsia="es-ES" w:bidi="es-ES"/>
      </w:rPr>
    </w:lvl>
    <w:lvl w:ilvl="8">
      <w:start w:val="0"/>
      <w:numFmt w:val="bullet"/>
      <w:lvlText w:val="•"/>
      <w:lvlJc w:val="left"/>
      <w:pPr>
        <w:ind w:left="8852" w:hanging="328"/>
      </w:pPr>
      <w:rPr>
        <w:rFonts w:hint="default"/>
        <w:lang w:val="es-ES" w:eastAsia="es-ES" w:bidi="es-ES"/>
      </w:rPr>
    </w:lvl>
  </w:abstractNum>
  <w:abstractNum w:abstractNumId="379">
    <w:multiLevelType w:val="hybridMultilevel"/>
    <w:lvl w:ilvl="0">
      <w:start w:val="1"/>
      <w:numFmt w:val="decimal"/>
      <w:lvlText w:val="%1."/>
      <w:lvlJc w:val="left"/>
      <w:pPr>
        <w:ind w:left="175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43"/>
      </w:pPr>
      <w:rPr>
        <w:rFonts w:hint="default"/>
        <w:lang w:val="es-ES" w:eastAsia="es-ES" w:bidi="es-ES"/>
      </w:rPr>
    </w:lvl>
    <w:lvl w:ilvl="2">
      <w:start w:val="0"/>
      <w:numFmt w:val="bullet"/>
      <w:lvlText w:val="•"/>
      <w:lvlJc w:val="left"/>
      <w:pPr>
        <w:ind w:left="3533" w:hanging="243"/>
      </w:pPr>
      <w:rPr>
        <w:rFonts w:hint="default"/>
        <w:lang w:val="es-ES" w:eastAsia="es-ES" w:bidi="es-ES"/>
      </w:rPr>
    </w:lvl>
    <w:lvl w:ilvl="3">
      <w:start w:val="0"/>
      <w:numFmt w:val="bullet"/>
      <w:lvlText w:val="•"/>
      <w:lvlJc w:val="left"/>
      <w:pPr>
        <w:ind w:left="4419" w:hanging="243"/>
      </w:pPr>
      <w:rPr>
        <w:rFonts w:hint="default"/>
        <w:lang w:val="es-ES" w:eastAsia="es-ES" w:bidi="es-ES"/>
      </w:rPr>
    </w:lvl>
    <w:lvl w:ilvl="4">
      <w:start w:val="0"/>
      <w:numFmt w:val="bullet"/>
      <w:lvlText w:val="•"/>
      <w:lvlJc w:val="left"/>
      <w:pPr>
        <w:ind w:left="5306" w:hanging="243"/>
      </w:pPr>
      <w:rPr>
        <w:rFonts w:hint="default"/>
        <w:lang w:val="es-ES" w:eastAsia="es-ES" w:bidi="es-ES"/>
      </w:rPr>
    </w:lvl>
    <w:lvl w:ilvl="5">
      <w:start w:val="0"/>
      <w:numFmt w:val="bullet"/>
      <w:lvlText w:val="•"/>
      <w:lvlJc w:val="left"/>
      <w:pPr>
        <w:ind w:left="6192" w:hanging="243"/>
      </w:pPr>
      <w:rPr>
        <w:rFonts w:hint="default"/>
        <w:lang w:val="es-ES" w:eastAsia="es-ES" w:bidi="es-ES"/>
      </w:rPr>
    </w:lvl>
    <w:lvl w:ilvl="6">
      <w:start w:val="0"/>
      <w:numFmt w:val="bullet"/>
      <w:lvlText w:val="•"/>
      <w:lvlJc w:val="left"/>
      <w:pPr>
        <w:ind w:left="7079" w:hanging="243"/>
      </w:pPr>
      <w:rPr>
        <w:rFonts w:hint="default"/>
        <w:lang w:val="es-ES" w:eastAsia="es-ES" w:bidi="es-ES"/>
      </w:rPr>
    </w:lvl>
    <w:lvl w:ilvl="7">
      <w:start w:val="0"/>
      <w:numFmt w:val="bullet"/>
      <w:lvlText w:val="•"/>
      <w:lvlJc w:val="left"/>
      <w:pPr>
        <w:ind w:left="7965" w:hanging="243"/>
      </w:pPr>
      <w:rPr>
        <w:rFonts w:hint="default"/>
        <w:lang w:val="es-ES" w:eastAsia="es-ES" w:bidi="es-ES"/>
      </w:rPr>
    </w:lvl>
    <w:lvl w:ilvl="8">
      <w:start w:val="0"/>
      <w:numFmt w:val="bullet"/>
      <w:lvlText w:val="•"/>
      <w:lvlJc w:val="left"/>
      <w:pPr>
        <w:ind w:left="8852" w:hanging="243"/>
      </w:pPr>
      <w:rPr>
        <w:rFonts w:hint="default"/>
        <w:lang w:val="es-ES" w:eastAsia="es-ES" w:bidi="es-ES"/>
      </w:rPr>
    </w:lvl>
  </w:abstractNum>
  <w:abstractNum w:abstractNumId="378">
    <w:multiLevelType w:val="hybridMultilevel"/>
    <w:lvl w:ilvl="0">
      <w:start w:val="1"/>
      <w:numFmt w:val="lowerLetter"/>
      <w:lvlText w:val="%1)"/>
      <w:lvlJc w:val="left"/>
      <w:pPr>
        <w:ind w:left="1754" w:hanging="3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346"/>
      </w:pPr>
      <w:rPr>
        <w:rFonts w:hint="default"/>
        <w:lang w:val="es-ES" w:eastAsia="es-ES" w:bidi="es-ES"/>
      </w:rPr>
    </w:lvl>
    <w:lvl w:ilvl="2">
      <w:start w:val="0"/>
      <w:numFmt w:val="bullet"/>
      <w:lvlText w:val="•"/>
      <w:lvlJc w:val="left"/>
      <w:pPr>
        <w:ind w:left="3533" w:hanging="346"/>
      </w:pPr>
      <w:rPr>
        <w:rFonts w:hint="default"/>
        <w:lang w:val="es-ES" w:eastAsia="es-ES" w:bidi="es-ES"/>
      </w:rPr>
    </w:lvl>
    <w:lvl w:ilvl="3">
      <w:start w:val="0"/>
      <w:numFmt w:val="bullet"/>
      <w:lvlText w:val="•"/>
      <w:lvlJc w:val="left"/>
      <w:pPr>
        <w:ind w:left="4419" w:hanging="346"/>
      </w:pPr>
      <w:rPr>
        <w:rFonts w:hint="default"/>
        <w:lang w:val="es-ES" w:eastAsia="es-ES" w:bidi="es-ES"/>
      </w:rPr>
    </w:lvl>
    <w:lvl w:ilvl="4">
      <w:start w:val="0"/>
      <w:numFmt w:val="bullet"/>
      <w:lvlText w:val="•"/>
      <w:lvlJc w:val="left"/>
      <w:pPr>
        <w:ind w:left="5306" w:hanging="346"/>
      </w:pPr>
      <w:rPr>
        <w:rFonts w:hint="default"/>
        <w:lang w:val="es-ES" w:eastAsia="es-ES" w:bidi="es-ES"/>
      </w:rPr>
    </w:lvl>
    <w:lvl w:ilvl="5">
      <w:start w:val="0"/>
      <w:numFmt w:val="bullet"/>
      <w:lvlText w:val="•"/>
      <w:lvlJc w:val="left"/>
      <w:pPr>
        <w:ind w:left="6192" w:hanging="346"/>
      </w:pPr>
      <w:rPr>
        <w:rFonts w:hint="default"/>
        <w:lang w:val="es-ES" w:eastAsia="es-ES" w:bidi="es-ES"/>
      </w:rPr>
    </w:lvl>
    <w:lvl w:ilvl="6">
      <w:start w:val="0"/>
      <w:numFmt w:val="bullet"/>
      <w:lvlText w:val="•"/>
      <w:lvlJc w:val="left"/>
      <w:pPr>
        <w:ind w:left="7079" w:hanging="346"/>
      </w:pPr>
      <w:rPr>
        <w:rFonts w:hint="default"/>
        <w:lang w:val="es-ES" w:eastAsia="es-ES" w:bidi="es-ES"/>
      </w:rPr>
    </w:lvl>
    <w:lvl w:ilvl="7">
      <w:start w:val="0"/>
      <w:numFmt w:val="bullet"/>
      <w:lvlText w:val="•"/>
      <w:lvlJc w:val="left"/>
      <w:pPr>
        <w:ind w:left="7965" w:hanging="346"/>
      </w:pPr>
      <w:rPr>
        <w:rFonts w:hint="default"/>
        <w:lang w:val="es-ES" w:eastAsia="es-ES" w:bidi="es-ES"/>
      </w:rPr>
    </w:lvl>
    <w:lvl w:ilvl="8">
      <w:start w:val="0"/>
      <w:numFmt w:val="bullet"/>
      <w:lvlText w:val="•"/>
      <w:lvlJc w:val="left"/>
      <w:pPr>
        <w:ind w:left="8852" w:hanging="346"/>
      </w:pPr>
      <w:rPr>
        <w:rFonts w:hint="default"/>
        <w:lang w:val="es-ES" w:eastAsia="es-ES" w:bidi="es-ES"/>
      </w:rPr>
    </w:lvl>
  </w:abstractNum>
  <w:abstractNum w:abstractNumId="377">
    <w:multiLevelType w:val="hybridMultilevel"/>
    <w:lvl w:ilvl="0">
      <w:start w:val="2"/>
      <w:numFmt w:val="decimal"/>
      <w:lvlText w:val="%1."/>
      <w:lvlJc w:val="left"/>
      <w:pPr>
        <w:ind w:left="1754" w:hanging="28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88"/>
      </w:pPr>
      <w:rPr>
        <w:rFonts w:hint="default"/>
        <w:lang w:val="es-ES" w:eastAsia="es-ES" w:bidi="es-ES"/>
      </w:rPr>
    </w:lvl>
    <w:lvl w:ilvl="2">
      <w:start w:val="0"/>
      <w:numFmt w:val="bullet"/>
      <w:lvlText w:val="•"/>
      <w:lvlJc w:val="left"/>
      <w:pPr>
        <w:ind w:left="3533" w:hanging="288"/>
      </w:pPr>
      <w:rPr>
        <w:rFonts w:hint="default"/>
        <w:lang w:val="es-ES" w:eastAsia="es-ES" w:bidi="es-ES"/>
      </w:rPr>
    </w:lvl>
    <w:lvl w:ilvl="3">
      <w:start w:val="0"/>
      <w:numFmt w:val="bullet"/>
      <w:lvlText w:val="•"/>
      <w:lvlJc w:val="left"/>
      <w:pPr>
        <w:ind w:left="4419" w:hanging="288"/>
      </w:pPr>
      <w:rPr>
        <w:rFonts w:hint="default"/>
        <w:lang w:val="es-ES" w:eastAsia="es-ES" w:bidi="es-ES"/>
      </w:rPr>
    </w:lvl>
    <w:lvl w:ilvl="4">
      <w:start w:val="0"/>
      <w:numFmt w:val="bullet"/>
      <w:lvlText w:val="•"/>
      <w:lvlJc w:val="left"/>
      <w:pPr>
        <w:ind w:left="5306" w:hanging="288"/>
      </w:pPr>
      <w:rPr>
        <w:rFonts w:hint="default"/>
        <w:lang w:val="es-ES" w:eastAsia="es-ES" w:bidi="es-ES"/>
      </w:rPr>
    </w:lvl>
    <w:lvl w:ilvl="5">
      <w:start w:val="0"/>
      <w:numFmt w:val="bullet"/>
      <w:lvlText w:val="•"/>
      <w:lvlJc w:val="left"/>
      <w:pPr>
        <w:ind w:left="6192" w:hanging="288"/>
      </w:pPr>
      <w:rPr>
        <w:rFonts w:hint="default"/>
        <w:lang w:val="es-ES" w:eastAsia="es-ES" w:bidi="es-ES"/>
      </w:rPr>
    </w:lvl>
    <w:lvl w:ilvl="6">
      <w:start w:val="0"/>
      <w:numFmt w:val="bullet"/>
      <w:lvlText w:val="•"/>
      <w:lvlJc w:val="left"/>
      <w:pPr>
        <w:ind w:left="7079" w:hanging="288"/>
      </w:pPr>
      <w:rPr>
        <w:rFonts w:hint="default"/>
        <w:lang w:val="es-ES" w:eastAsia="es-ES" w:bidi="es-ES"/>
      </w:rPr>
    </w:lvl>
    <w:lvl w:ilvl="7">
      <w:start w:val="0"/>
      <w:numFmt w:val="bullet"/>
      <w:lvlText w:val="•"/>
      <w:lvlJc w:val="left"/>
      <w:pPr>
        <w:ind w:left="7965" w:hanging="288"/>
      </w:pPr>
      <w:rPr>
        <w:rFonts w:hint="default"/>
        <w:lang w:val="es-ES" w:eastAsia="es-ES" w:bidi="es-ES"/>
      </w:rPr>
    </w:lvl>
    <w:lvl w:ilvl="8">
      <w:start w:val="0"/>
      <w:numFmt w:val="bullet"/>
      <w:lvlText w:val="•"/>
      <w:lvlJc w:val="left"/>
      <w:pPr>
        <w:ind w:left="8852" w:hanging="288"/>
      </w:pPr>
      <w:rPr>
        <w:rFonts w:hint="default"/>
        <w:lang w:val="es-ES" w:eastAsia="es-ES" w:bidi="es-ES"/>
      </w:rPr>
    </w:lvl>
  </w:abstractNum>
  <w:abstractNum w:abstractNumId="376">
    <w:multiLevelType w:val="hybridMultilevel"/>
    <w:lvl w:ilvl="0">
      <w:start w:val="1"/>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375">
    <w:multiLevelType w:val="hybridMultilevel"/>
    <w:lvl w:ilvl="0">
      <w:start w:val="1"/>
      <w:numFmt w:val="lowerLetter"/>
      <w:lvlText w:val="%1)"/>
      <w:lvlJc w:val="left"/>
      <w:pPr>
        <w:ind w:left="2328"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74">
    <w:multiLevelType w:val="hybridMultilevel"/>
    <w:lvl w:ilvl="0">
      <w:start w:val="1"/>
      <w:numFmt w:val="decimal"/>
      <w:lvlText w:val="%1."/>
      <w:lvlJc w:val="left"/>
      <w:pPr>
        <w:ind w:left="1754" w:hanging="23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3"/>
      </w:pPr>
      <w:rPr>
        <w:rFonts w:hint="default"/>
        <w:lang w:val="es-ES" w:eastAsia="es-ES" w:bidi="es-ES"/>
      </w:rPr>
    </w:lvl>
    <w:lvl w:ilvl="2">
      <w:start w:val="0"/>
      <w:numFmt w:val="bullet"/>
      <w:lvlText w:val="•"/>
      <w:lvlJc w:val="left"/>
      <w:pPr>
        <w:ind w:left="3533" w:hanging="233"/>
      </w:pPr>
      <w:rPr>
        <w:rFonts w:hint="default"/>
        <w:lang w:val="es-ES" w:eastAsia="es-ES" w:bidi="es-ES"/>
      </w:rPr>
    </w:lvl>
    <w:lvl w:ilvl="3">
      <w:start w:val="0"/>
      <w:numFmt w:val="bullet"/>
      <w:lvlText w:val="•"/>
      <w:lvlJc w:val="left"/>
      <w:pPr>
        <w:ind w:left="4419" w:hanging="233"/>
      </w:pPr>
      <w:rPr>
        <w:rFonts w:hint="default"/>
        <w:lang w:val="es-ES" w:eastAsia="es-ES" w:bidi="es-ES"/>
      </w:rPr>
    </w:lvl>
    <w:lvl w:ilvl="4">
      <w:start w:val="0"/>
      <w:numFmt w:val="bullet"/>
      <w:lvlText w:val="•"/>
      <w:lvlJc w:val="left"/>
      <w:pPr>
        <w:ind w:left="5306" w:hanging="233"/>
      </w:pPr>
      <w:rPr>
        <w:rFonts w:hint="default"/>
        <w:lang w:val="es-ES" w:eastAsia="es-ES" w:bidi="es-ES"/>
      </w:rPr>
    </w:lvl>
    <w:lvl w:ilvl="5">
      <w:start w:val="0"/>
      <w:numFmt w:val="bullet"/>
      <w:lvlText w:val="•"/>
      <w:lvlJc w:val="left"/>
      <w:pPr>
        <w:ind w:left="6192" w:hanging="233"/>
      </w:pPr>
      <w:rPr>
        <w:rFonts w:hint="default"/>
        <w:lang w:val="es-ES" w:eastAsia="es-ES" w:bidi="es-ES"/>
      </w:rPr>
    </w:lvl>
    <w:lvl w:ilvl="6">
      <w:start w:val="0"/>
      <w:numFmt w:val="bullet"/>
      <w:lvlText w:val="•"/>
      <w:lvlJc w:val="left"/>
      <w:pPr>
        <w:ind w:left="7079" w:hanging="233"/>
      </w:pPr>
      <w:rPr>
        <w:rFonts w:hint="default"/>
        <w:lang w:val="es-ES" w:eastAsia="es-ES" w:bidi="es-ES"/>
      </w:rPr>
    </w:lvl>
    <w:lvl w:ilvl="7">
      <w:start w:val="0"/>
      <w:numFmt w:val="bullet"/>
      <w:lvlText w:val="•"/>
      <w:lvlJc w:val="left"/>
      <w:pPr>
        <w:ind w:left="7965" w:hanging="233"/>
      </w:pPr>
      <w:rPr>
        <w:rFonts w:hint="default"/>
        <w:lang w:val="es-ES" w:eastAsia="es-ES" w:bidi="es-ES"/>
      </w:rPr>
    </w:lvl>
    <w:lvl w:ilvl="8">
      <w:start w:val="0"/>
      <w:numFmt w:val="bullet"/>
      <w:lvlText w:val="•"/>
      <w:lvlJc w:val="left"/>
      <w:pPr>
        <w:ind w:left="8852" w:hanging="233"/>
      </w:pPr>
      <w:rPr>
        <w:rFonts w:hint="default"/>
        <w:lang w:val="es-ES" w:eastAsia="es-ES" w:bidi="es-ES"/>
      </w:rPr>
    </w:lvl>
  </w:abstractNum>
  <w:abstractNum w:abstractNumId="373">
    <w:multiLevelType w:val="hybridMultilevel"/>
    <w:lvl w:ilvl="0">
      <w:start w:val="1"/>
      <w:numFmt w:val="lowerLetter"/>
      <w:lvlText w:val="%1)"/>
      <w:lvlJc w:val="left"/>
      <w:pPr>
        <w:ind w:left="1754" w:hanging="26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61"/>
      </w:pPr>
      <w:rPr>
        <w:rFonts w:hint="default"/>
        <w:lang w:val="es-ES" w:eastAsia="es-ES" w:bidi="es-ES"/>
      </w:rPr>
    </w:lvl>
    <w:lvl w:ilvl="2">
      <w:start w:val="0"/>
      <w:numFmt w:val="bullet"/>
      <w:lvlText w:val="•"/>
      <w:lvlJc w:val="left"/>
      <w:pPr>
        <w:ind w:left="3533" w:hanging="261"/>
      </w:pPr>
      <w:rPr>
        <w:rFonts w:hint="default"/>
        <w:lang w:val="es-ES" w:eastAsia="es-ES" w:bidi="es-ES"/>
      </w:rPr>
    </w:lvl>
    <w:lvl w:ilvl="3">
      <w:start w:val="0"/>
      <w:numFmt w:val="bullet"/>
      <w:lvlText w:val="•"/>
      <w:lvlJc w:val="left"/>
      <w:pPr>
        <w:ind w:left="4419" w:hanging="261"/>
      </w:pPr>
      <w:rPr>
        <w:rFonts w:hint="default"/>
        <w:lang w:val="es-ES" w:eastAsia="es-ES" w:bidi="es-ES"/>
      </w:rPr>
    </w:lvl>
    <w:lvl w:ilvl="4">
      <w:start w:val="0"/>
      <w:numFmt w:val="bullet"/>
      <w:lvlText w:val="•"/>
      <w:lvlJc w:val="left"/>
      <w:pPr>
        <w:ind w:left="5306" w:hanging="261"/>
      </w:pPr>
      <w:rPr>
        <w:rFonts w:hint="default"/>
        <w:lang w:val="es-ES" w:eastAsia="es-ES" w:bidi="es-ES"/>
      </w:rPr>
    </w:lvl>
    <w:lvl w:ilvl="5">
      <w:start w:val="0"/>
      <w:numFmt w:val="bullet"/>
      <w:lvlText w:val="•"/>
      <w:lvlJc w:val="left"/>
      <w:pPr>
        <w:ind w:left="6192" w:hanging="261"/>
      </w:pPr>
      <w:rPr>
        <w:rFonts w:hint="default"/>
        <w:lang w:val="es-ES" w:eastAsia="es-ES" w:bidi="es-ES"/>
      </w:rPr>
    </w:lvl>
    <w:lvl w:ilvl="6">
      <w:start w:val="0"/>
      <w:numFmt w:val="bullet"/>
      <w:lvlText w:val="•"/>
      <w:lvlJc w:val="left"/>
      <w:pPr>
        <w:ind w:left="7079" w:hanging="261"/>
      </w:pPr>
      <w:rPr>
        <w:rFonts w:hint="default"/>
        <w:lang w:val="es-ES" w:eastAsia="es-ES" w:bidi="es-ES"/>
      </w:rPr>
    </w:lvl>
    <w:lvl w:ilvl="7">
      <w:start w:val="0"/>
      <w:numFmt w:val="bullet"/>
      <w:lvlText w:val="•"/>
      <w:lvlJc w:val="left"/>
      <w:pPr>
        <w:ind w:left="7965" w:hanging="261"/>
      </w:pPr>
      <w:rPr>
        <w:rFonts w:hint="default"/>
        <w:lang w:val="es-ES" w:eastAsia="es-ES" w:bidi="es-ES"/>
      </w:rPr>
    </w:lvl>
    <w:lvl w:ilvl="8">
      <w:start w:val="0"/>
      <w:numFmt w:val="bullet"/>
      <w:lvlText w:val="•"/>
      <w:lvlJc w:val="left"/>
      <w:pPr>
        <w:ind w:left="8852" w:hanging="261"/>
      </w:pPr>
      <w:rPr>
        <w:rFonts w:hint="default"/>
        <w:lang w:val="es-ES" w:eastAsia="es-ES" w:bidi="es-ES"/>
      </w:rPr>
    </w:lvl>
  </w:abstractNum>
  <w:abstractNum w:abstractNumId="372">
    <w:multiLevelType w:val="hybridMultilevel"/>
    <w:lvl w:ilvl="0">
      <w:start w:val="1"/>
      <w:numFmt w:val="lowerLetter"/>
      <w:lvlText w:val="%1)"/>
      <w:lvlJc w:val="left"/>
      <w:pPr>
        <w:ind w:left="1754" w:hanging="30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305"/>
      </w:pPr>
      <w:rPr>
        <w:rFonts w:hint="default"/>
        <w:lang w:val="es-ES" w:eastAsia="es-ES" w:bidi="es-ES"/>
      </w:rPr>
    </w:lvl>
    <w:lvl w:ilvl="2">
      <w:start w:val="0"/>
      <w:numFmt w:val="bullet"/>
      <w:lvlText w:val="•"/>
      <w:lvlJc w:val="left"/>
      <w:pPr>
        <w:ind w:left="3533" w:hanging="305"/>
      </w:pPr>
      <w:rPr>
        <w:rFonts w:hint="default"/>
        <w:lang w:val="es-ES" w:eastAsia="es-ES" w:bidi="es-ES"/>
      </w:rPr>
    </w:lvl>
    <w:lvl w:ilvl="3">
      <w:start w:val="0"/>
      <w:numFmt w:val="bullet"/>
      <w:lvlText w:val="•"/>
      <w:lvlJc w:val="left"/>
      <w:pPr>
        <w:ind w:left="4419" w:hanging="305"/>
      </w:pPr>
      <w:rPr>
        <w:rFonts w:hint="default"/>
        <w:lang w:val="es-ES" w:eastAsia="es-ES" w:bidi="es-ES"/>
      </w:rPr>
    </w:lvl>
    <w:lvl w:ilvl="4">
      <w:start w:val="0"/>
      <w:numFmt w:val="bullet"/>
      <w:lvlText w:val="•"/>
      <w:lvlJc w:val="left"/>
      <w:pPr>
        <w:ind w:left="5306" w:hanging="305"/>
      </w:pPr>
      <w:rPr>
        <w:rFonts w:hint="default"/>
        <w:lang w:val="es-ES" w:eastAsia="es-ES" w:bidi="es-ES"/>
      </w:rPr>
    </w:lvl>
    <w:lvl w:ilvl="5">
      <w:start w:val="0"/>
      <w:numFmt w:val="bullet"/>
      <w:lvlText w:val="•"/>
      <w:lvlJc w:val="left"/>
      <w:pPr>
        <w:ind w:left="6192" w:hanging="305"/>
      </w:pPr>
      <w:rPr>
        <w:rFonts w:hint="default"/>
        <w:lang w:val="es-ES" w:eastAsia="es-ES" w:bidi="es-ES"/>
      </w:rPr>
    </w:lvl>
    <w:lvl w:ilvl="6">
      <w:start w:val="0"/>
      <w:numFmt w:val="bullet"/>
      <w:lvlText w:val="•"/>
      <w:lvlJc w:val="left"/>
      <w:pPr>
        <w:ind w:left="7079" w:hanging="305"/>
      </w:pPr>
      <w:rPr>
        <w:rFonts w:hint="default"/>
        <w:lang w:val="es-ES" w:eastAsia="es-ES" w:bidi="es-ES"/>
      </w:rPr>
    </w:lvl>
    <w:lvl w:ilvl="7">
      <w:start w:val="0"/>
      <w:numFmt w:val="bullet"/>
      <w:lvlText w:val="•"/>
      <w:lvlJc w:val="left"/>
      <w:pPr>
        <w:ind w:left="7965" w:hanging="305"/>
      </w:pPr>
      <w:rPr>
        <w:rFonts w:hint="default"/>
        <w:lang w:val="es-ES" w:eastAsia="es-ES" w:bidi="es-ES"/>
      </w:rPr>
    </w:lvl>
    <w:lvl w:ilvl="8">
      <w:start w:val="0"/>
      <w:numFmt w:val="bullet"/>
      <w:lvlText w:val="•"/>
      <w:lvlJc w:val="left"/>
      <w:pPr>
        <w:ind w:left="8852" w:hanging="305"/>
      </w:pPr>
      <w:rPr>
        <w:rFonts w:hint="default"/>
        <w:lang w:val="es-ES" w:eastAsia="es-ES" w:bidi="es-ES"/>
      </w:rPr>
    </w:lvl>
  </w:abstractNum>
  <w:abstractNum w:abstractNumId="371">
    <w:multiLevelType w:val="hybridMultilevel"/>
    <w:lvl w:ilvl="0">
      <w:start w:val="1"/>
      <w:numFmt w:val="lowerLetter"/>
      <w:lvlText w:val="%1)"/>
      <w:lvlJc w:val="left"/>
      <w:pPr>
        <w:ind w:left="1754" w:hanging="269"/>
        <w:jc w:val="left"/>
      </w:pPr>
      <w:rPr>
        <w:rFonts w:hint="default" w:ascii="Arial" w:hAnsi="Arial" w:eastAsia="Arial" w:cs="Arial"/>
        <w:spacing w:val="-21"/>
        <w:w w:val="100"/>
        <w:sz w:val="20"/>
        <w:szCs w:val="20"/>
        <w:lang w:val="es-ES" w:eastAsia="es-ES" w:bidi="es-ES"/>
      </w:rPr>
    </w:lvl>
    <w:lvl w:ilvl="1">
      <w:start w:val="0"/>
      <w:numFmt w:val="bullet"/>
      <w:lvlText w:val="•"/>
      <w:lvlJc w:val="left"/>
      <w:pPr>
        <w:ind w:left="2646" w:hanging="269"/>
      </w:pPr>
      <w:rPr>
        <w:rFonts w:hint="default"/>
        <w:lang w:val="es-ES" w:eastAsia="es-ES" w:bidi="es-ES"/>
      </w:rPr>
    </w:lvl>
    <w:lvl w:ilvl="2">
      <w:start w:val="0"/>
      <w:numFmt w:val="bullet"/>
      <w:lvlText w:val="•"/>
      <w:lvlJc w:val="left"/>
      <w:pPr>
        <w:ind w:left="3533" w:hanging="269"/>
      </w:pPr>
      <w:rPr>
        <w:rFonts w:hint="default"/>
        <w:lang w:val="es-ES" w:eastAsia="es-ES" w:bidi="es-ES"/>
      </w:rPr>
    </w:lvl>
    <w:lvl w:ilvl="3">
      <w:start w:val="0"/>
      <w:numFmt w:val="bullet"/>
      <w:lvlText w:val="•"/>
      <w:lvlJc w:val="left"/>
      <w:pPr>
        <w:ind w:left="4419" w:hanging="269"/>
      </w:pPr>
      <w:rPr>
        <w:rFonts w:hint="default"/>
        <w:lang w:val="es-ES" w:eastAsia="es-ES" w:bidi="es-ES"/>
      </w:rPr>
    </w:lvl>
    <w:lvl w:ilvl="4">
      <w:start w:val="0"/>
      <w:numFmt w:val="bullet"/>
      <w:lvlText w:val="•"/>
      <w:lvlJc w:val="left"/>
      <w:pPr>
        <w:ind w:left="5306" w:hanging="269"/>
      </w:pPr>
      <w:rPr>
        <w:rFonts w:hint="default"/>
        <w:lang w:val="es-ES" w:eastAsia="es-ES" w:bidi="es-ES"/>
      </w:rPr>
    </w:lvl>
    <w:lvl w:ilvl="5">
      <w:start w:val="0"/>
      <w:numFmt w:val="bullet"/>
      <w:lvlText w:val="•"/>
      <w:lvlJc w:val="left"/>
      <w:pPr>
        <w:ind w:left="6192" w:hanging="269"/>
      </w:pPr>
      <w:rPr>
        <w:rFonts w:hint="default"/>
        <w:lang w:val="es-ES" w:eastAsia="es-ES" w:bidi="es-ES"/>
      </w:rPr>
    </w:lvl>
    <w:lvl w:ilvl="6">
      <w:start w:val="0"/>
      <w:numFmt w:val="bullet"/>
      <w:lvlText w:val="•"/>
      <w:lvlJc w:val="left"/>
      <w:pPr>
        <w:ind w:left="7079" w:hanging="269"/>
      </w:pPr>
      <w:rPr>
        <w:rFonts w:hint="default"/>
        <w:lang w:val="es-ES" w:eastAsia="es-ES" w:bidi="es-ES"/>
      </w:rPr>
    </w:lvl>
    <w:lvl w:ilvl="7">
      <w:start w:val="0"/>
      <w:numFmt w:val="bullet"/>
      <w:lvlText w:val="•"/>
      <w:lvlJc w:val="left"/>
      <w:pPr>
        <w:ind w:left="7965" w:hanging="269"/>
      </w:pPr>
      <w:rPr>
        <w:rFonts w:hint="default"/>
        <w:lang w:val="es-ES" w:eastAsia="es-ES" w:bidi="es-ES"/>
      </w:rPr>
    </w:lvl>
    <w:lvl w:ilvl="8">
      <w:start w:val="0"/>
      <w:numFmt w:val="bullet"/>
      <w:lvlText w:val="•"/>
      <w:lvlJc w:val="left"/>
      <w:pPr>
        <w:ind w:left="8852" w:hanging="269"/>
      </w:pPr>
      <w:rPr>
        <w:rFonts w:hint="default"/>
        <w:lang w:val="es-ES" w:eastAsia="es-ES" w:bidi="es-ES"/>
      </w:rPr>
    </w:lvl>
  </w:abstractNum>
  <w:abstractNum w:abstractNumId="370">
    <w:multiLevelType w:val="hybridMultilevel"/>
    <w:lvl w:ilvl="0">
      <w:start w:val="1"/>
      <w:numFmt w:val="decimal"/>
      <w:lvlText w:val="%1."/>
      <w:lvlJc w:val="left"/>
      <w:pPr>
        <w:ind w:left="1754" w:hanging="256"/>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646" w:hanging="256"/>
      </w:pPr>
      <w:rPr>
        <w:rFonts w:hint="default"/>
        <w:lang w:val="es-ES" w:eastAsia="es-ES" w:bidi="es-ES"/>
      </w:rPr>
    </w:lvl>
    <w:lvl w:ilvl="2">
      <w:start w:val="0"/>
      <w:numFmt w:val="bullet"/>
      <w:lvlText w:val="•"/>
      <w:lvlJc w:val="left"/>
      <w:pPr>
        <w:ind w:left="3533" w:hanging="256"/>
      </w:pPr>
      <w:rPr>
        <w:rFonts w:hint="default"/>
        <w:lang w:val="es-ES" w:eastAsia="es-ES" w:bidi="es-ES"/>
      </w:rPr>
    </w:lvl>
    <w:lvl w:ilvl="3">
      <w:start w:val="0"/>
      <w:numFmt w:val="bullet"/>
      <w:lvlText w:val="•"/>
      <w:lvlJc w:val="left"/>
      <w:pPr>
        <w:ind w:left="4419" w:hanging="256"/>
      </w:pPr>
      <w:rPr>
        <w:rFonts w:hint="default"/>
        <w:lang w:val="es-ES" w:eastAsia="es-ES" w:bidi="es-ES"/>
      </w:rPr>
    </w:lvl>
    <w:lvl w:ilvl="4">
      <w:start w:val="0"/>
      <w:numFmt w:val="bullet"/>
      <w:lvlText w:val="•"/>
      <w:lvlJc w:val="left"/>
      <w:pPr>
        <w:ind w:left="5306" w:hanging="256"/>
      </w:pPr>
      <w:rPr>
        <w:rFonts w:hint="default"/>
        <w:lang w:val="es-ES" w:eastAsia="es-ES" w:bidi="es-ES"/>
      </w:rPr>
    </w:lvl>
    <w:lvl w:ilvl="5">
      <w:start w:val="0"/>
      <w:numFmt w:val="bullet"/>
      <w:lvlText w:val="•"/>
      <w:lvlJc w:val="left"/>
      <w:pPr>
        <w:ind w:left="6192" w:hanging="256"/>
      </w:pPr>
      <w:rPr>
        <w:rFonts w:hint="default"/>
        <w:lang w:val="es-ES" w:eastAsia="es-ES" w:bidi="es-ES"/>
      </w:rPr>
    </w:lvl>
    <w:lvl w:ilvl="6">
      <w:start w:val="0"/>
      <w:numFmt w:val="bullet"/>
      <w:lvlText w:val="•"/>
      <w:lvlJc w:val="left"/>
      <w:pPr>
        <w:ind w:left="7079" w:hanging="256"/>
      </w:pPr>
      <w:rPr>
        <w:rFonts w:hint="default"/>
        <w:lang w:val="es-ES" w:eastAsia="es-ES" w:bidi="es-ES"/>
      </w:rPr>
    </w:lvl>
    <w:lvl w:ilvl="7">
      <w:start w:val="0"/>
      <w:numFmt w:val="bullet"/>
      <w:lvlText w:val="•"/>
      <w:lvlJc w:val="left"/>
      <w:pPr>
        <w:ind w:left="7965" w:hanging="256"/>
      </w:pPr>
      <w:rPr>
        <w:rFonts w:hint="default"/>
        <w:lang w:val="es-ES" w:eastAsia="es-ES" w:bidi="es-ES"/>
      </w:rPr>
    </w:lvl>
    <w:lvl w:ilvl="8">
      <w:start w:val="0"/>
      <w:numFmt w:val="bullet"/>
      <w:lvlText w:val="•"/>
      <w:lvlJc w:val="left"/>
      <w:pPr>
        <w:ind w:left="8852" w:hanging="256"/>
      </w:pPr>
      <w:rPr>
        <w:rFonts w:hint="default"/>
        <w:lang w:val="es-ES" w:eastAsia="es-ES" w:bidi="es-ES"/>
      </w:rPr>
    </w:lvl>
  </w:abstractNum>
  <w:abstractNum w:abstractNumId="369">
    <w:multiLevelType w:val="hybridMultilevel"/>
    <w:lvl w:ilvl="0">
      <w:start w:val="2"/>
      <w:numFmt w:val="decimal"/>
      <w:lvlText w:val="%1."/>
      <w:lvlJc w:val="left"/>
      <w:pPr>
        <w:ind w:left="1754" w:hanging="274"/>
        <w:jc w:val="left"/>
      </w:pPr>
      <w:rPr>
        <w:rFonts w:hint="default" w:ascii="Arial" w:hAnsi="Arial" w:eastAsia="Arial" w:cs="Arial"/>
        <w:spacing w:val="-4"/>
        <w:w w:val="100"/>
        <w:sz w:val="20"/>
        <w:szCs w:val="20"/>
        <w:lang w:val="es-ES" w:eastAsia="es-ES" w:bidi="es-ES"/>
      </w:rPr>
    </w:lvl>
    <w:lvl w:ilvl="1">
      <w:start w:val="0"/>
      <w:numFmt w:val="bullet"/>
      <w:lvlText w:val="•"/>
      <w:lvlJc w:val="left"/>
      <w:pPr>
        <w:ind w:left="2646" w:hanging="274"/>
      </w:pPr>
      <w:rPr>
        <w:rFonts w:hint="default"/>
        <w:lang w:val="es-ES" w:eastAsia="es-ES" w:bidi="es-ES"/>
      </w:rPr>
    </w:lvl>
    <w:lvl w:ilvl="2">
      <w:start w:val="0"/>
      <w:numFmt w:val="bullet"/>
      <w:lvlText w:val="•"/>
      <w:lvlJc w:val="left"/>
      <w:pPr>
        <w:ind w:left="3533" w:hanging="274"/>
      </w:pPr>
      <w:rPr>
        <w:rFonts w:hint="default"/>
        <w:lang w:val="es-ES" w:eastAsia="es-ES" w:bidi="es-ES"/>
      </w:rPr>
    </w:lvl>
    <w:lvl w:ilvl="3">
      <w:start w:val="0"/>
      <w:numFmt w:val="bullet"/>
      <w:lvlText w:val="•"/>
      <w:lvlJc w:val="left"/>
      <w:pPr>
        <w:ind w:left="4419" w:hanging="274"/>
      </w:pPr>
      <w:rPr>
        <w:rFonts w:hint="default"/>
        <w:lang w:val="es-ES" w:eastAsia="es-ES" w:bidi="es-ES"/>
      </w:rPr>
    </w:lvl>
    <w:lvl w:ilvl="4">
      <w:start w:val="0"/>
      <w:numFmt w:val="bullet"/>
      <w:lvlText w:val="•"/>
      <w:lvlJc w:val="left"/>
      <w:pPr>
        <w:ind w:left="5306" w:hanging="274"/>
      </w:pPr>
      <w:rPr>
        <w:rFonts w:hint="default"/>
        <w:lang w:val="es-ES" w:eastAsia="es-ES" w:bidi="es-ES"/>
      </w:rPr>
    </w:lvl>
    <w:lvl w:ilvl="5">
      <w:start w:val="0"/>
      <w:numFmt w:val="bullet"/>
      <w:lvlText w:val="•"/>
      <w:lvlJc w:val="left"/>
      <w:pPr>
        <w:ind w:left="6192" w:hanging="274"/>
      </w:pPr>
      <w:rPr>
        <w:rFonts w:hint="default"/>
        <w:lang w:val="es-ES" w:eastAsia="es-ES" w:bidi="es-ES"/>
      </w:rPr>
    </w:lvl>
    <w:lvl w:ilvl="6">
      <w:start w:val="0"/>
      <w:numFmt w:val="bullet"/>
      <w:lvlText w:val="•"/>
      <w:lvlJc w:val="left"/>
      <w:pPr>
        <w:ind w:left="7079" w:hanging="274"/>
      </w:pPr>
      <w:rPr>
        <w:rFonts w:hint="default"/>
        <w:lang w:val="es-ES" w:eastAsia="es-ES" w:bidi="es-ES"/>
      </w:rPr>
    </w:lvl>
    <w:lvl w:ilvl="7">
      <w:start w:val="0"/>
      <w:numFmt w:val="bullet"/>
      <w:lvlText w:val="•"/>
      <w:lvlJc w:val="left"/>
      <w:pPr>
        <w:ind w:left="7965" w:hanging="274"/>
      </w:pPr>
      <w:rPr>
        <w:rFonts w:hint="default"/>
        <w:lang w:val="es-ES" w:eastAsia="es-ES" w:bidi="es-ES"/>
      </w:rPr>
    </w:lvl>
    <w:lvl w:ilvl="8">
      <w:start w:val="0"/>
      <w:numFmt w:val="bullet"/>
      <w:lvlText w:val="•"/>
      <w:lvlJc w:val="left"/>
      <w:pPr>
        <w:ind w:left="8852" w:hanging="274"/>
      </w:pPr>
      <w:rPr>
        <w:rFonts w:hint="default"/>
        <w:lang w:val="es-ES" w:eastAsia="es-ES" w:bidi="es-ES"/>
      </w:rPr>
    </w:lvl>
  </w:abstractNum>
  <w:abstractNum w:abstractNumId="368">
    <w:multiLevelType w:val="hybridMultilevel"/>
    <w:lvl w:ilvl="0">
      <w:start w:val="1"/>
      <w:numFmt w:val="decimal"/>
      <w:lvlText w:val="%1."/>
      <w:lvlJc w:val="left"/>
      <w:pPr>
        <w:ind w:left="175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646" w:hanging="168"/>
      </w:pPr>
      <w:rPr>
        <w:rFonts w:hint="default"/>
        <w:lang w:val="es-ES" w:eastAsia="es-ES" w:bidi="es-ES"/>
      </w:rPr>
    </w:lvl>
    <w:lvl w:ilvl="2">
      <w:start w:val="0"/>
      <w:numFmt w:val="bullet"/>
      <w:lvlText w:val="•"/>
      <w:lvlJc w:val="left"/>
      <w:pPr>
        <w:ind w:left="3533" w:hanging="168"/>
      </w:pPr>
      <w:rPr>
        <w:rFonts w:hint="default"/>
        <w:lang w:val="es-ES" w:eastAsia="es-ES" w:bidi="es-ES"/>
      </w:rPr>
    </w:lvl>
    <w:lvl w:ilvl="3">
      <w:start w:val="0"/>
      <w:numFmt w:val="bullet"/>
      <w:lvlText w:val="•"/>
      <w:lvlJc w:val="left"/>
      <w:pPr>
        <w:ind w:left="4419" w:hanging="168"/>
      </w:pPr>
      <w:rPr>
        <w:rFonts w:hint="default"/>
        <w:lang w:val="es-ES" w:eastAsia="es-ES" w:bidi="es-ES"/>
      </w:rPr>
    </w:lvl>
    <w:lvl w:ilvl="4">
      <w:start w:val="0"/>
      <w:numFmt w:val="bullet"/>
      <w:lvlText w:val="•"/>
      <w:lvlJc w:val="left"/>
      <w:pPr>
        <w:ind w:left="5306" w:hanging="168"/>
      </w:pPr>
      <w:rPr>
        <w:rFonts w:hint="default"/>
        <w:lang w:val="es-ES" w:eastAsia="es-ES" w:bidi="es-ES"/>
      </w:rPr>
    </w:lvl>
    <w:lvl w:ilvl="5">
      <w:start w:val="0"/>
      <w:numFmt w:val="bullet"/>
      <w:lvlText w:val="•"/>
      <w:lvlJc w:val="left"/>
      <w:pPr>
        <w:ind w:left="6192" w:hanging="168"/>
      </w:pPr>
      <w:rPr>
        <w:rFonts w:hint="default"/>
        <w:lang w:val="es-ES" w:eastAsia="es-ES" w:bidi="es-ES"/>
      </w:rPr>
    </w:lvl>
    <w:lvl w:ilvl="6">
      <w:start w:val="0"/>
      <w:numFmt w:val="bullet"/>
      <w:lvlText w:val="•"/>
      <w:lvlJc w:val="left"/>
      <w:pPr>
        <w:ind w:left="7079" w:hanging="168"/>
      </w:pPr>
      <w:rPr>
        <w:rFonts w:hint="default"/>
        <w:lang w:val="es-ES" w:eastAsia="es-ES" w:bidi="es-ES"/>
      </w:rPr>
    </w:lvl>
    <w:lvl w:ilvl="7">
      <w:start w:val="0"/>
      <w:numFmt w:val="bullet"/>
      <w:lvlText w:val="•"/>
      <w:lvlJc w:val="left"/>
      <w:pPr>
        <w:ind w:left="7965" w:hanging="168"/>
      </w:pPr>
      <w:rPr>
        <w:rFonts w:hint="default"/>
        <w:lang w:val="es-ES" w:eastAsia="es-ES" w:bidi="es-ES"/>
      </w:rPr>
    </w:lvl>
    <w:lvl w:ilvl="8">
      <w:start w:val="0"/>
      <w:numFmt w:val="bullet"/>
      <w:lvlText w:val="•"/>
      <w:lvlJc w:val="left"/>
      <w:pPr>
        <w:ind w:left="8852" w:hanging="168"/>
      </w:pPr>
      <w:rPr>
        <w:rFonts w:hint="default"/>
        <w:lang w:val="es-ES" w:eastAsia="es-ES" w:bidi="es-ES"/>
      </w:rPr>
    </w:lvl>
  </w:abstractNum>
  <w:abstractNum w:abstractNumId="367">
    <w:multiLevelType w:val="hybridMultilevel"/>
    <w:lvl w:ilvl="0">
      <w:start w:val="1"/>
      <w:numFmt w:val="lowerLetter"/>
      <w:lvlText w:val="%1)"/>
      <w:lvlJc w:val="left"/>
      <w:pPr>
        <w:ind w:left="1754" w:hanging="286"/>
        <w:jc w:val="left"/>
      </w:pPr>
      <w:rPr>
        <w:rFonts w:hint="default" w:ascii="Arial" w:hAnsi="Arial" w:eastAsia="Arial" w:cs="Arial"/>
        <w:spacing w:val="-4"/>
        <w:w w:val="100"/>
        <w:sz w:val="20"/>
        <w:szCs w:val="20"/>
        <w:lang w:val="es-ES" w:eastAsia="es-ES" w:bidi="es-ES"/>
      </w:rPr>
    </w:lvl>
    <w:lvl w:ilvl="1">
      <w:start w:val="0"/>
      <w:numFmt w:val="bullet"/>
      <w:lvlText w:val="•"/>
      <w:lvlJc w:val="left"/>
      <w:pPr>
        <w:ind w:left="2646" w:hanging="286"/>
      </w:pPr>
      <w:rPr>
        <w:rFonts w:hint="default"/>
        <w:lang w:val="es-ES" w:eastAsia="es-ES" w:bidi="es-ES"/>
      </w:rPr>
    </w:lvl>
    <w:lvl w:ilvl="2">
      <w:start w:val="0"/>
      <w:numFmt w:val="bullet"/>
      <w:lvlText w:val="•"/>
      <w:lvlJc w:val="left"/>
      <w:pPr>
        <w:ind w:left="3533" w:hanging="286"/>
      </w:pPr>
      <w:rPr>
        <w:rFonts w:hint="default"/>
        <w:lang w:val="es-ES" w:eastAsia="es-ES" w:bidi="es-ES"/>
      </w:rPr>
    </w:lvl>
    <w:lvl w:ilvl="3">
      <w:start w:val="0"/>
      <w:numFmt w:val="bullet"/>
      <w:lvlText w:val="•"/>
      <w:lvlJc w:val="left"/>
      <w:pPr>
        <w:ind w:left="4419" w:hanging="286"/>
      </w:pPr>
      <w:rPr>
        <w:rFonts w:hint="default"/>
        <w:lang w:val="es-ES" w:eastAsia="es-ES" w:bidi="es-ES"/>
      </w:rPr>
    </w:lvl>
    <w:lvl w:ilvl="4">
      <w:start w:val="0"/>
      <w:numFmt w:val="bullet"/>
      <w:lvlText w:val="•"/>
      <w:lvlJc w:val="left"/>
      <w:pPr>
        <w:ind w:left="5306" w:hanging="286"/>
      </w:pPr>
      <w:rPr>
        <w:rFonts w:hint="default"/>
        <w:lang w:val="es-ES" w:eastAsia="es-ES" w:bidi="es-ES"/>
      </w:rPr>
    </w:lvl>
    <w:lvl w:ilvl="5">
      <w:start w:val="0"/>
      <w:numFmt w:val="bullet"/>
      <w:lvlText w:val="•"/>
      <w:lvlJc w:val="left"/>
      <w:pPr>
        <w:ind w:left="6192" w:hanging="286"/>
      </w:pPr>
      <w:rPr>
        <w:rFonts w:hint="default"/>
        <w:lang w:val="es-ES" w:eastAsia="es-ES" w:bidi="es-ES"/>
      </w:rPr>
    </w:lvl>
    <w:lvl w:ilvl="6">
      <w:start w:val="0"/>
      <w:numFmt w:val="bullet"/>
      <w:lvlText w:val="•"/>
      <w:lvlJc w:val="left"/>
      <w:pPr>
        <w:ind w:left="7079" w:hanging="286"/>
      </w:pPr>
      <w:rPr>
        <w:rFonts w:hint="default"/>
        <w:lang w:val="es-ES" w:eastAsia="es-ES" w:bidi="es-ES"/>
      </w:rPr>
    </w:lvl>
    <w:lvl w:ilvl="7">
      <w:start w:val="0"/>
      <w:numFmt w:val="bullet"/>
      <w:lvlText w:val="•"/>
      <w:lvlJc w:val="left"/>
      <w:pPr>
        <w:ind w:left="7965" w:hanging="286"/>
      </w:pPr>
      <w:rPr>
        <w:rFonts w:hint="default"/>
        <w:lang w:val="es-ES" w:eastAsia="es-ES" w:bidi="es-ES"/>
      </w:rPr>
    </w:lvl>
    <w:lvl w:ilvl="8">
      <w:start w:val="0"/>
      <w:numFmt w:val="bullet"/>
      <w:lvlText w:val="•"/>
      <w:lvlJc w:val="left"/>
      <w:pPr>
        <w:ind w:left="8852" w:hanging="286"/>
      </w:pPr>
      <w:rPr>
        <w:rFonts w:hint="default"/>
        <w:lang w:val="es-ES" w:eastAsia="es-ES" w:bidi="es-ES"/>
      </w:rPr>
    </w:lvl>
  </w:abstractNum>
  <w:abstractNum w:abstractNumId="366">
    <w:multiLevelType w:val="hybridMultilevel"/>
    <w:lvl w:ilvl="0">
      <w:start w:val="1"/>
      <w:numFmt w:val="lowerLetter"/>
      <w:lvlText w:val="%1)"/>
      <w:lvlJc w:val="left"/>
      <w:pPr>
        <w:ind w:left="1754" w:hanging="263"/>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646" w:hanging="263"/>
      </w:pPr>
      <w:rPr>
        <w:rFonts w:hint="default"/>
        <w:lang w:val="es-ES" w:eastAsia="es-ES" w:bidi="es-ES"/>
      </w:rPr>
    </w:lvl>
    <w:lvl w:ilvl="2">
      <w:start w:val="0"/>
      <w:numFmt w:val="bullet"/>
      <w:lvlText w:val="•"/>
      <w:lvlJc w:val="left"/>
      <w:pPr>
        <w:ind w:left="3533" w:hanging="263"/>
      </w:pPr>
      <w:rPr>
        <w:rFonts w:hint="default"/>
        <w:lang w:val="es-ES" w:eastAsia="es-ES" w:bidi="es-ES"/>
      </w:rPr>
    </w:lvl>
    <w:lvl w:ilvl="3">
      <w:start w:val="0"/>
      <w:numFmt w:val="bullet"/>
      <w:lvlText w:val="•"/>
      <w:lvlJc w:val="left"/>
      <w:pPr>
        <w:ind w:left="4419" w:hanging="263"/>
      </w:pPr>
      <w:rPr>
        <w:rFonts w:hint="default"/>
        <w:lang w:val="es-ES" w:eastAsia="es-ES" w:bidi="es-ES"/>
      </w:rPr>
    </w:lvl>
    <w:lvl w:ilvl="4">
      <w:start w:val="0"/>
      <w:numFmt w:val="bullet"/>
      <w:lvlText w:val="•"/>
      <w:lvlJc w:val="left"/>
      <w:pPr>
        <w:ind w:left="5306" w:hanging="263"/>
      </w:pPr>
      <w:rPr>
        <w:rFonts w:hint="default"/>
        <w:lang w:val="es-ES" w:eastAsia="es-ES" w:bidi="es-ES"/>
      </w:rPr>
    </w:lvl>
    <w:lvl w:ilvl="5">
      <w:start w:val="0"/>
      <w:numFmt w:val="bullet"/>
      <w:lvlText w:val="•"/>
      <w:lvlJc w:val="left"/>
      <w:pPr>
        <w:ind w:left="6192" w:hanging="263"/>
      </w:pPr>
      <w:rPr>
        <w:rFonts w:hint="default"/>
        <w:lang w:val="es-ES" w:eastAsia="es-ES" w:bidi="es-ES"/>
      </w:rPr>
    </w:lvl>
    <w:lvl w:ilvl="6">
      <w:start w:val="0"/>
      <w:numFmt w:val="bullet"/>
      <w:lvlText w:val="•"/>
      <w:lvlJc w:val="left"/>
      <w:pPr>
        <w:ind w:left="7079" w:hanging="263"/>
      </w:pPr>
      <w:rPr>
        <w:rFonts w:hint="default"/>
        <w:lang w:val="es-ES" w:eastAsia="es-ES" w:bidi="es-ES"/>
      </w:rPr>
    </w:lvl>
    <w:lvl w:ilvl="7">
      <w:start w:val="0"/>
      <w:numFmt w:val="bullet"/>
      <w:lvlText w:val="•"/>
      <w:lvlJc w:val="left"/>
      <w:pPr>
        <w:ind w:left="7965" w:hanging="263"/>
      </w:pPr>
      <w:rPr>
        <w:rFonts w:hint="default"/>
        <w:lang w:val="es-ES" w:eastAsia="es-ES" w:bidi="es-ES"/>
      </w:rPr>
    </w:lvl>
    <w:lvl w:ilvl="8">
      <w:start w:val="0"/>
      <w:numFmt w:val="bullet"/>
      <w:lvlText w:val="•"/>
      <w:lvlJc w:val="left"/>
      <w:pPr>
        <w:ind w:left="8852" w:hanging="263"/>
      </w:pPr>
      <w:rPr>
        <w:rFonts w:hint="default"/>
        <w:lang w:val="es-ES" w:eastAsia="es-ES" w:bidi="es-ES"/>
      </w:rPr>
    </w:lvl>
  </w:abstractNum>
  <w:abstractNum w:abstractNumId="365">
    <w:multiLevelType w:val="hybridMultilevel"/>
    <w:lvl w:ilvl="0">
      <w:start w:val="1"/>
      <w:numFmt w:val="decimal"/>
      <w:lvlText w:val="%1."/>
      <w:lvlJc w:val="left"/>
      <w:pPr>
        <w:ind w:left="175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31"/>
      </w:pPr>
      <w:rPr>
        <w:rFonts w:hint="default"/>
        <w:lang w:val="es-ES" w:eastAsia="es-ES" w:bidi="es-ES"/>
      </w:rPr>
    </w:lvl>
    <w:lvl w:ilvl="2">
      <w:start w:val="0"/>
      <w:numFmt w:val="bullet"/>
      <w:lvlText w:val="•"/>
      <w:lvlJc w:val="left"/>
      <w:pPr>
        <w:ind w:left="3533" w:hanging="231"/>
      </w:pPr>
      <w:rPr>
        <w:rFonts w:hint="default"/>
        <w:lang w:val="es-ES" w:eastAsia="es-ES" w:bidi="es-ES"/>
      </w:rPr>
    </w:lvl>
    <w:lvl w:ilvl="3">
      <w:start w:val="0"/>
      <w:numFmt w:val="bullet"/>
      <w:lvlText w:val="•"/>
      <w:lvlJc w:val="left"/>
      <w:pPr>
        <w:ind w:left="4419" w:hanging="231"/>
      </w:pPr>
      <w:rPr>
        <w:rFonts w:hint="default"/>
        <w:lang w:val="es-ES" w:eastAsia="es-ES" w:bidi="es-ES"/>
      </w:rPr>
    </w:lvl>
    <w:lvl w:ilvl="4">
      <w:start w:val="0"/>
      <w:numFmt w:val="bullet"/>
      <w:lvlText w:val="•"/>
      <w:lvlJc w:val="left"/>
      <w:pPr>
        <w:ind w:left="5306" w:hanging="231"/>
      </w:pPr>
      <w:rPr>
        <w:rFonts w:hint="default"/>
        <w:lang w:val="es-ES" w:eastAsia="es-ES" w:bidi="es-ES"/>
      </w:rPr>
    </w:lvl>
    <w:lvl w:ilvl="5">
      <w:start w:val="0"/>
      <w:numFmt w:val="bullet"/>
      <w:lvlText w:val="•"/>
      <w:lvlJc w:val="left"/>
      <w:pPr>
        <w:ind w:left="6192" w:hanging="231"/>
      </w:pPr>
      <w:rPr>
        <w:rFonts w:hint="default"/>
        <w:lang w:val="es-ES" w:eastAsia="es-ES" w:bidi="es-ES"/>
      </w:rPr>
    </w:lvl>
    <w:lvl w:ilvl="6">
      <w:start w:val="0"/>
      <w:numFmt w:val="bullet"/>
      <w:lvlText w:val="•"/>
      <w:lvlJc w:val="left"/>
      <w:pPr>
        <w:ind w:left="7079" w:hanging="231"/>
      </w:pPr>
      <w:rPr>
        <w:rFonts w:hint="default"/>
        <w:lang w:val="es-ES" w:eastAsia="es-ES" w:bidi="es-ES"/>
      </w:rPr>
    </w:lvl>
    <w:lvl w:ilvl="7">
      <w:start w:val="0"/>
      <w:numFmt w:val="bullet"/>
      <w:lvlText w:val="•"/>
      <w:lvlJc w:val="left"/>
      <w:pPr>
        <w:ind w:left="7965" w:hanging="231"/>
      </w:pPr>
      <w:rPr>
        <w:rFonts w:hint="default"/>
        <w:lang w:val="es-ES" w:eastAsia="es-ES" w:bidi="es-ES"/>
      </w:rPr>
    </w:lvl>
    <w:lvl w:ilvl="8">
      <w:start w:val="0"/>
      <w:numFmt w:val="bullet"/>
      <w:lvlText w:val="•"/>
      <w:lvlJc w:val="left"/>
      <w:pPr>
        <w:ind w:left="8852" w:hanging="231"/>
      </w:pPr>
      <w:rPr>
        <w:rFonts w:hint="default"/>
        <w:lang w:val="es-ES" w:eastAsia="es-ES" w:bidi="es-ES"/>
      </w:rPr>
    </w:lvl>
  </w:abstractNum>
  <w:abstractNum w:abstractNumId="364">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63">
    <w:multiLevelType w:val="hybridMultilevel"/>
    <w:lvl w:ilvl="0">
      <w:start w:val="1"/>
      <w:numFmt w:val="decimal"/>
      <w:lvlText w:val="%1."/>
      <w:lvlJc w:val="left"/>
      <w:pPr>
        <w:ind w:left="1754" w:hanging="22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29"/>
      </w:pPr>
      <w:rPr>
        <w:rFonts w:hint="default"/>
        <w:lang w:val="es-ES" w:eastAsia="es-ES" w:bidi="es-ES"/>
      </w:rPr>
    </w:lvl>
    <w:lvl w:ilvl="2">
      <w:start w:val="0"/>
      <w:numFmt w:val="bullet"/>
      <w:lvlText w:val="•"/>
      <w:lvlJc w:val="left"/>
      <w:pPr>
        <w:ind w:left="3533" w:hanging="229"/>
      </w:pPr>
      <w:rPr>
        <w:rFonts w:hint="default"/>
        <w:lang w:val="es-ES" w:eastAsia="es-ES" w:bidi="es-ES"/>
      </w:rPr>
    </w:lvl>
    <w:lvl w:ilvl="3">
      <w:start w:val="0"/>
      <w:numFmt w:val="bullet"/>
      <w:lvlText w:val="•"/>
      <w:lvlJc w:val="left"/>
      <w:pPr>
        <w:ind w:left="4419" w:hanging="229"/>
      </w:pPr>
      <w:rPr>
        <w:rFonts w:hint="default"/>
        <w:lang w:val="es-ES" w:eastAsia="es-ES" w:bidi="es-ES"/>
      </w:rPr>
    </w:lvl>
    <w:lvl w:ilvl="4">
      <w:start w:val="0"/>
      <w:numFmt w:val="bullet"/>
      <w:lvlText w:val="•"/>
      <w:lvlJc w:val="left"/>
      <w:pPr>
        <w:ind w:left="5306" w:hanging="229"/>
      </w:pPr>
      <w:rPr>
        <w:rFonts w:hint="default"/>
        <w:lang w:val="es-ES" w:eastAsia="es-ES" w:bidi="es-ES"/>
      </w:rPr>
    </w:lvl>
    <w:lvl w:ilvl="5">
      <w:start w:val="0"/>
      <w:numFmt w:val="bullet"/>
      <w:lvlText w:val="•"/>
      <w:lvlJc w:val="left"/>
      <w:pPr>
        <w:ind w:left="6192" w:hanging="229"/>
      </w:pPr>
      <w:rPr>
        <w:rFonts w:hint="default"/>
        <w:lang w:val="es-ES" w:eastAsia="es-ES" w:bidi="es-ES"/>
      </w:rPr>
    </w:lvl>
    <w:lvl w:ilvl="6">
      <w:start w:val="0"/>
      <w:numFmt w:val="bullet"/>
      <w:lvlText w:val="•"/>
      <w:lvlJc w:val="left"/>
      <w:pPr>
        <w:ind w:left="7079" w:hanging="229"/>
      </w:pPr>
      <w:rPr>
        <w:rFonts w:hint="default"/>
        <w:lang w:val="es-ES" w:eastAsia="es-ES" w:bidi="es-ES"/>
      </w:rPr>
    </w:lvl>
    <w:lvl w:ilvl="7">
      <w:start w:val="0"/>
      <w:numFmt w:val="bullet"/>
      <w:lvlText w:val="•"/>
      <w:lvlJc w:val="left"/>
      <w:pPr>
        <w:ind w:left="7965" w:hanging="229"/>
      </w:pPr>
      <w:rPr>
        <w:rFonts w:hint="default"/>
        <w:lang w:val="es-ES" w:eastAsia="es-ES" w:bidi="es-ES"/>
      </w:rPr>
    </w:lvl>
    <w:lvl w:ilvl="8">
      <w:start w:val="0"/>
      <w:numFmt w:val="bullet"/>
      <w:lvlText w:val="•"/>
      <w:lvlJc w:val="left"/>
      <w:pPr>
        <w:ind w:left="8852" w:hanging="229"/>
      </w:pPr>
      <w:rPr>
        <w:rFonts w:hint="default"/>
        <w:lang w:val="es-ES" w:eastAsia="es-ES" w:bidi="es-ES"/>
      </w:rPr>
    </w:lvl>
  </w:abstractNum>
  <w:abstractNum w:abstractNumId="362">
    <w:multiLevelType w:val="hybridMultilevel"/>
    <w:lvl w:ilvl="0">
      <w:start w:val="1"/>
      <w:numFmt w:val="lowerLetter"/>
      <w:lvlText w:val="%1)"/>
      <w:lvlJc w:val="left"/>
      <w:pPr>
        <w:ind w:left="175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646" w:hanging="240"/>
      </w:pPr>
      <w:rPr>
        <w:rFonts w:hint="default"/>
        <w:lang w:val="es-ES" w:eastAsia="es-ES" w:bidi="es-ES"/>
      </w:rPr>
    </w:lvl>
    <w:lvl w:ilvl="2">
      <w:start w:val="0"/>
      <w:numFmt w:val="bullet"/>
      <w:lvlText w:val="•"/>
      <w:lvlJc w:val="left"/>
      <w:pPr>
        <w:ind w:left="3533" w:hanging="240"/>
      </w:pPr>
      <w:rPr>
        <w:rFonts w:hint="default"/>
        <w:lang w:val="es-ES" w:eastAsia="es-ES" w:bidi="es-ES"/>
      </w:rPr>
    </w:lvl>
    <w:lvl w:ilvl="3">
      <w:start w:val="0"/>
      <w:numFmt w:val="bullet"/>
      <w:lvlText w:val="•"/>
      <w:lvlJc w:val="left"/>
      <w:pPr>
        <w:ind w:left="4419" w:hanging="240"/>
      </w:pPr>
      <w:rPr>
        <w:rFonts w:hint="default"/>
        <w:lang w:val="es-ES" w:eastAsia="es-ES" w:bidi="es-ES"/>
      </w:rPr>
    </w:lvl>
    <w:lvl w:ilvl="4">
      <w:start w:val="0"/>
      <w:numFmt w:val="bullet"/>
      <w:lvlText w:val="•"/>
      <w:lvlJc w:val="left"/>
      <w:pPr>
        <w:ind w:left="5306" w:hanging="240"/>
      </w:pPr>
      <w:rPr>
        <w:rFonts w:hint="default"/>
        <w:lang w:val="es-ES" w:eastAsia="es-ES" w:bidi="es-ES"/>
      </w:rPr>
    </w:lvl>
    <w:lvl w:ilvl="5">
      <w:start w:val="0"/>
      <w:numFmt w:val="bullet"/>
      <w:lvlText w:val="•"/>
      <w:lvlJc w:val="left"/>
      <w:pPr>
        <w:ind w:left="6192" w:hanging="240"/>
      </w:pPr>
      <w:rPr>
        <w:rFonts w:hint="default"/>
        <w:lang w:val="es-ES" w:eastAsia="es-ES" w:bidi="es-ES"/>
      </w:rPr>
    </w:lvl>
    <w:lvl w:ilvl="6">
      <w:start w:val="0"/>
      <w:numFmt w:val="bullet"/>
      <w:lvlText w:val="•"/>
      <w:lvlJc w:val="left"/>
      <w:pPr>
        <w:ind w:left="7079" w:hanging="240"/>
      </w:pPr>
      <w:rPr>
        <w:rFonts w:hint="default"/>
        <w:lang w:val="es-ES" w:eastAsia="es-ES" w:bidi="es-ES"/>
      </w:rPr>
    </w:lvl>
    <w:lvl w:ilvl="7">
      <w:start w:val="0"/>
      <w:numFmt w:val="bullet"/>
      <w:lvlText w:val="•"/>
      <w:lvlJc w:val="left"/>
      <w:pPr>
        <w:ind w:left="7965" w:hanging="240"/>
      </w:pPr>
      <w:rPr>
        <w:rFonts w:hint="default"/>
        <w:lang w:val="es-ES" w:eastAsia="es-ES" w:bidi="es-ES"/>
      </w:rPr>
    </w:lvl>
    <w:lvl w:ilvl="8">
      <w:start w:val="0"/>
      <w:numFmt w:val="bullet"/>
      <w:lvlText w:val="•"/>
      <w:lvlJc w:val="left"/>
      <w:pPr>
        <w:ind w:left="8852" w:hanging="240"/>
      </w:pPr>
      <w:rPr>
        <w:rFonts w:hint="default"/>
        <w:lang w:val="es-ES" w:eastAsia="es-ES" w:bidi="es-ES"/>
      </w:rPr>
    </w:lvl>
  </w:abstractNum>
  <w:abstractNum w:abstractNumId="361">
    <w:multiLevelType w:val="hybridMultilevel"/>
    <w:lvl w:ilvl="0">
      <w:start w:val="1"/>
      <w:numFmt w:val="lowerLetter"/>
      <w:lvlText w:val="%1)"/>
      <w:lvlJc w:val="left"/>
      <w:pPr>
        <w:ind w:left="232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150" w:hanging="234"/>
      </w:pPr>
      <w:rPr>
        <w:rFonts w:hint="default"/>
        <w:lang w:val="es-ES" w:eastAsia="es-ES" w:bidi="es-ES"/>
      </w:rPr>
    </w:lvl>
    <w:lvl w:ilvl="2">
      <w:start w:val="0"/>
      <w:numFmt w:val="bullet"/>
      <w:lvlText w:val="•"/>
      <w:lvlJc w:val="left"/>
      <w:pPr>
        <w:ind w:left="3981" w:hanging="234"/>
      </w:pPr>
      <w:rPr>
        <w:rFonts w:hint="default"/>
        <w:lang w:val="es-ES" w:eastAsia="es-ES" w:bidi="es-ES"/>
      </w:rPr>
    </w:lvl>
    <w:lvl w:ilvl="3">
      <w:start w:val="0"/>
      <w:numFmt w:val="bullet"/>
      <w:lvlText w:val="•"/>
      <w:lvlJc w:val="left"/>
      <w:pPr>
        <w:ind w:left="4811" w:hanging="234"/>
      </w:pPr>
      <w:rPr>
        <w:rFonts w:hint="default"/>
        <w:lang w:val="es-ES" w:eastAsia="es-ES" w:bidi="es-ES"/>
      </w:rPr>
    </w:lvl>
    <w:lvl w:ilvl="4">
      <w:start w:val="0"/>
      <w:numFmt w:val="bullet"/>
      <w:lvlText w:val="•"/>
      <w:lvlJc w:val="left"/>
      <w:pPr>
        <w:ind w:left="5642" w:hanging="234"/>
      </w:pPr>
      <w:rPr>
        <w:rFonts w:hint="default"/>
        <w:lang w:val="es-ES" w:eastAsia="es-ES" w:bidi="es-ES"/>
      </w:rPr>
    </w:lvl>
    <w:lvl w:ilvl="5">
      <w:start w:val="0"/>
      <w:numFmt w:val="bullet"/>
      <w:lvlText w:val="•"/>
      <w:lvlJc w:val="left"/>
      <w:pPr>
        <w:ind w:left="6472" w:hanging="234"/>
      </w:pPr>
      <w:rPr>
        <w:rFonts w:hint="default"/>
        <w:lang w:val="es-ES" w:eastAsia="es-ES" w:bidi="es-ES"/>
      </w:rPr>
    </w:lvl>
    <w:lvl w:ilvl="6">
      <w:start w:val="0"/>
      <w:numFmt w:val="bullet"/>
      <w:lvlText w:val="•"/>
      <w:lvlJc w:val="left"/>
      <w:pPr>
        <w:ind w:left="7303" w:hanging="234"/>
      </w:pPr>
      <w:rPr>
        <w:rFonts w:hint="default"/>
        <w:lang w:val="es-ES" w:eastAsia="es-ES" w:bidi="es-ES"/>
      </w:rPr>
    </w:lvl>
    <w:lvl w:ilvl="7">
      <w:start w:val="0"/>
      <w:numFmt w:val="bullet"/>
      <w:lvlText w:val="•"/>
      <w:lvlJc w:val="left"/>
      <w:pPr>
        <w:ind w:left="8133" w:hanging="234"/>
      </w:pPr>
      <w:rPr>
        <w:rFonts w:hint="default"/>
        <w:lang w:val="es-ES" w:eastAsia="es-ES" w:bidi="es-ES"/>
      </w:rPr>
    </w:lvl>
    <w:lvl w:ilvl="8">
      <w:start w:val="0"/>
      <w:numFmt w:val="bullet"/>
      <w:lvlText w:val="•"/>
      <w:lvlJc w:val="left"/>
      <w:pPr>
        <w:ind w:left="8964" w:hanging="234"/>
      </w:pPr>
      <w:rPr>
        <w:rFonts w:hint="default"/>
        <w:lang w:val="es-ES" w:eastAsia="es-ES" w:bidi="es-ES"/>
      </w:rPr>
    </w:lvl>
  </w:abstractNum>
  <w:abstractNum w:abstractNumId="360">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1"/>
      <w:numFmt w:val="decimal"/>
      <w:lvlText w:val="%2."/>
      <w:lvlJc w:val="left"/>
      <w:pPr>
        <w:ind w:left="1754" w:hanging="246"/>
        <w:jc w:val="left"/>
      </w:pPr>
      <w:rPr>
        <w:rFonts w:hint="default" w:ascii="Arial" w:hAnsi="Arial" w:eastAsia="Arial" w:cs="Arial"/>
        <w:spacing w:val="-1"/>
        <w:w w:val="100"/>
        <w:sz w:val="20"/>
        <w:szCs w:val="20"/>
        <w:lang w:val="es-ES" w:eastAsia="es-ES" w:bidi="es-ES"/>
      </w:rPr>
    </w:lvl>
    <w:lvl w:ilvl="2">
      <w:start w:val="0"/>
      <w:numFmt w:val="bullet"/>
      <w:lvlText w:val="•"/>
      <w:lvlJc w:val="left"/>
      <w:pPr>
        <w:ind w:left="2745" w:hanging="246"/>
      </w:pPr>
      <w:rPr>
        <w:rFonts w:hint="default"/>
        <w:lang w:val="es-ES" w:eastAsia="es-ES" w:bidi="es-ES"/>
      </w:rPr>
    </w:lvl>
    <w:lvl w:ilvl="3">
      <w:start w:val="0"/>
      <w:numFmt w:val="bullet"/>
      <w:lvlText w:val="•"/>
      <w:lvlJc w:val="left"/>
      <w:pPr>
        <w:ind w:left="3730" w:hanging="246"/>
      </w:pPr>
      <w:rPr>
        <w:rFonts w:hint="default"/>
        <w:lang w:val="es-ES" w:eastAsia="es-ES" w:bidi="es-ES"/>
      </w:rPr>
    </w:lvl>
    <w:lvl w:ilvl="4">
      <w:start w:val="0"/>
      <w:numFmt w:val="bullet"/>
      <w:lvlText w:val="•"/>
      <w:lvlJc w:val="left"/>
      <w:pPr>
        <w:ind w:left="4715" w:hanging="246"/>
      </w:pPr>
      <w:rPr>
        <w:rFonts w:hint="default"/>
        <w:lang w:val="es-ES" w:eastAsia="es-ES" w:bidi="es-ES"/>
      </w:rPr>
    </w:lvl>
    <w:lvl w:ilvl="5">
      <w:start w:val="0"/>
      <w:numFmt w:val="bullet"/>
      <w:lvlText w:val="•"/>
      <w:lvlJc w:val="left"/>
      <w:pPr>
        <w:ind w:left="5700" w:hanging="246"/>
      </w:pPr>
      <w:rPr>
        <w:rFonts w:hint="default"/>
        <w:lang w:val="es-ES" w:eastAsia="es-ES" w:bidi="es-ES"/>
      </w:rPr>
    </w:lvl>
    <w:lvl w:ilvl="6">
      <w:start w:val="0"/>
      <w:numFmt w:val="bullet"/>
      <w:lvlText w:val="•"/>
      <w:lvlJc w:val="left"/>
      <w:pPr>
        <w:ind w:left="6685" w:hanging="246"/>
      </w:pPr>
      <w:rPr>
        <w:rFonts w:hint="default"/>
        <w:lang w:val="es-ES" w:eastAsia="es-ES" w:bidi="es-ES"/>
      </w:rPr>
    </w:lvl>
    <w:lvl w:ilvl="7">
      <w:start w:val="0"/>
      <w:numFmt w:val="bullet"/>
      <w:lvlText w:val="•"/>
      <w:lvlJc w:val="left"/>
      <w:pPr>
        <w:ind w:left="7670" w:hanging="246"/>
      </w:pPr>
      <w:rPr>
        <w:rFonts w:hint="default"/>
        <w:lang w:val="es-ES" w:eastAsia="es-ES" w:bidi="es-ES"/>
      </w:rPr>
    </w:lvl>
    <w:lvl w:ilvl="8">
      <w:start w:val="0"/>
      <w:numFmt w:val="bullet"/>
      <w:lvlText w:val="•"/>
      <w:lvlJc w:val="left"/>
      <w:pPr>
        <w:ind w:left="8655" w:hanging="246"/>
      </w:pPr>
      <w:rPr>
        <w:rFonts w:hint="default"/>
        <w:lang w:val="es-ES" w:eastAsia="es-ES" w:bidi="es-ES"/>
      </w:rPr>
    </w:lvl>
  </w:abstractNum>
  <w:abstractNum w:abstractNumId="359">
    <w:multiLevelType w:val="hybridMultilevel"/>
    <w:lvl w:ilvl="0">
      <w:start w:val="1"/>
      <w:numFmt w:val="lowerLetter"/>
      <w:lvlText w:val="%1)"/>
      <w:lvlJc w:val="left"/>
      <w:pPr>
        <w:ind w:left="107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6"/>
      </w:pPr>
      <w:rPr>
        <w:rFonts w:hint="default"/>
        <w:lang w:val="es-ES" w:eastAsia="es-ES" w:bidi="es-ES"/>
      </w:rPr>
    </w:lvl>
    <w:lvl w:ilvl="2">
      <w:start w:val="0"/>
      <w:numFmt w:val="bullet"/>
      <w:lvlText w:val="•"/>
      <w:lvlJc w:val="left"/>
      <w:pPr>
        <w:ind w:left="2989" w:hanging="246"/>
      </w:pPr>
      <w:rPr>
        <w:rFonts w:hint="default"/>
        <w:lang w:val="es-ES" w:eastAsia="es-ES" w:bidi="es-ES"/>
      </w:rPr>
    </w:lvl>
    <w:lvl w:ilvl="3">
      <w:start w:val="0"/>
      <w:numFmt w:val="bullet"/>
      <w:lvlText w:val="•"/>
      <w:lvlJc w:val="left"/>
      <w:pPr>
        <w:ind w:left="3943" w:hanging="246"/>
      </w:pPr>
      <w:rPr>
        <w:rFonts w:hint="default"/>
        <w:lang w:val="es-ES" w:eastAsia="es-ES" w:bidi="es-ES"/>
      </w:rPr>
    </w:lvl>
    <w:lvl w:ilvl="4">
      <w:start w:val="0"/>
      <w:numFmt w:val="bullet"/>
      <w:lvlText w:val="•"/>
      <w:lvlJc w:val="left"/>
      <w:pPr>
        <w:ind w:left="4898" w:hanging="246"/>
      </w:pPr>
      <w:rPr>
        <w:rFonts w:hint="default"/>
        <w:lang w:val="es-ES" w:eastAsia="es-ES" w:bidi="es-ES"/>
      </w:rPr>
    </w:lvl>
    <w:lvl w:ilvl="5">
      <w:start w:val="0"/>
      <w:numFmt w:val="bullet"/>
      <w:lvlText w:val="•"/>
      <w:lvlJc w:val="left"/>
      <w:pPr>
        <w:ind w:left="5852" w:hanging="246"/>
      </w:pPr>
      <w:rPr>
        <w:rFonts w:hint="default"/>
        <w:lang w:val="es-ES" w:eastAsia="es-ES" w:bidi="es-ES"/>
      </w:rPr>
    </w:lvl>
    <w:lvl w:ilvl="6">
      <w:start w:val="0"/>
      <w:numFmt w:val="bullet"/>
      <w:lvlText w:val="•"/>
      <w:lvlJc w:val="left"/>
      <w:pPr>
        <w:ind w:left="6807" w:hanging="246"/>
      </w:pPr>
      <w:rPr>
        <w:rFonts w:hint="default"/>
        <w:lang w:val="es-ES" w:eastAsia="es-ES" w:bidi="es-ES"/>
      </w:rPr>
    </w:lvl>
    <w:lvl w:ilvl="7">
      <w:start w:val="0"/>
      <w:numFmt w:val="bullet"/>
      <w:lvlText w:val="•"/>
      <w:lvlJc w:val="left"/>
      <w:pPr>
        <w:ind w:left="7761" w:hanging="246"/>
      </w:pPr>
      <w:rPr>
        <w:rFonts w:hint="default"/>
        <w:lang w:val="es-ES" w:eastAsia="es-ES" w:bidi="es-ES"/>
      </w:rPr>
    </w:lvl>
    <w:lvl w:ilvl="8">
      <w:start w:val="0"/>
      <w:numFmt w:val="bullet"/>
      <w:lvlText w:val="•"/>
      <w:lvlJc w:val="left"/>
      <w:pPr>
        <w:ind w:left="8716" w:hanging="246"/>
      </w:pPr>
      <w:rPr>
        <w:rFonts w:hint="default"/>
        <w:lang w:val="es-ES" w:eastAsia="es-ES" w:bidi="es-ES"/>
      </w:rPr>
    </w:lvl>
  </w:abstractNum>
  <w:abstractNum w:abstractNumId="358">
    <w:multiLevelType w:val="hybridMultilevel"/>
    <w:lvl w:ilvl="0">
      <w:start w:val="1"/>
      <w:numFmt w:val="decimal"/>
      <w:lvlText w:val="%1."/>
      <w:lvlJc w:val="left"/>
      <w:pPr>
        <w:ind w:left="1074" w:hanging="251"/>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357">
    <w:multiLevelType w:val="hybridMultilevel"/>
    <w:lvl w:ilvl="0">
      <w:start w:val="1"/>
      <w:numFmt w:val="decimal"/>
      <w:lvlText w:val="%1."/>
      <w:lvlJc w:val="left"/>
      <w:pPr>
        <w:ind w:left="1074" w:hanging="267"/>
        <w:jc w:val="left"/>
      </w:pPr>
      <w:rPr>
        <w:rFonts w:hint="default" w:ascii="Arial" w:hAnsi="Arial" w:eastAsia="Arial" w:cs="Arial"/>
        <w:spacing w:val="-12"/>
        <w:w w:val="100"/>
        <w:sz w:val="20"/>
        <w:szCs w:val="20"/>
        <w:lang w:val="es-ES" w:eastAsia="es-ES" w:bidi="es-ES"/>
      </w:rPr>
    </w:lvl>
    <w:lvl w:ilvl="1">
      <w:start w:val="0"/>
      <w:numFmt w:val="bullet"/>
      <w:lvlText w:val="•"/>
      <w:lvlJc w:val="left"/>
      <w:pPr>
        <w:ind w:left="2034" w:hanging="267"/>
      </w:pPr>
      <w:rPr>
        <w:rFonts w:hint="default"/>
        <w:lang w:val="es-ES" w:eastAsia="es-ES" w:bidi="es-ES"/>
      </w:rPr>
    </w:lvl>
    <w:lvl w:ilvl="2">
      <w:start w:val="0"/>
      <w:numFmt w:val="bullet"/>
      <w:lvlText w:val="•"/>
      <w:lvlJc w:val="left"/>
      <w:pPr>
        <w:ind w:left="2989" w:hanging="267"/>
      </w:pPr>
      <w:rPr>
        <w:rFonts w:hint="default"/>
        <w:lang w:val="es-ES" w:eastAsia="es-ES" w:bidi="es-ES"/>
      </w:rPr>
    </w:lvl>
    <w:lvl w:ilvl="3">
      <w:start w:val="0"/>
      <w:numFmt w:val="bullet"/>
      <w:lvlText w:val="•"/>
      <w:lvlJc w:val="left"/>
      <w:pPr>
        <w:ind w:left="3943" w:hanging="267"/>
      </w:pPr>
      <w:rPr>
        <w:rFonts w:hint="default"/>
        <w:lang w:val="es-ES" w:eastAsia="es-ES" w:bidi="es-ES"/>
      </w:rPr>
    </w:lvl>
    <w:lvl w:ilvl="4">
      <w:start w:val="0"/>
      <w:numFmt w:val="bullet"/>
      <w:lvlText w:val="•"/>
      <w:lvlJc w:val="left"/>
      <w:pPr>
        <w:ind w:left="4898" w:hanging="267"/>
      </w:pPr>
      <w:rPr>
        <w:rFonts w:hint="default"/>
        <w:lang w:val="es-ES" w:eastAsia="es-ES" w:bidi="es-ES"/>
      </w:rPr>
    </w:lvl>
    <w:lvl w:ilvl="5">
      <w:start w:val="0"/>
      <w:numFmt w:val="bullet"/>
      <w:lvlText w:val="•"/>
      <w:lvlJc w:val="left"/>
      <w:pPr>
        <w:ind w:left="5852" w:hanging="267"/>
      </w:pPr>
      <w:rPr>
        <w:rFonts w:hint="default"/>
        <w:lang w:val="es-ES" w:eastAsia="es-ES" w:bidi="es-ES"/>
      </w:rPr>
    </w:lvl>
    <w:lvl w:ilvl="6">
      <w:start w:val="0"/>
      <w:numFmt w:val="bullet"/>
      <w:lvlText w:val="•"/>
      <w:lvlJc w:val="left"/>
      <w:pPr>
        <w:ind w:left="6807" w:hanging="267"/>
      </w:pPr>
      <w:rPr>
        <w:rFonts w:hint="default"/>
        <w:lang w:val="es-ES" w:eastAsia="es-ES" w:bidi="es-ES"/>
      </w:rPr>
    </w:lvl>
    <w:lvl w:ilvl="7">
      <w:start w:val="0"/>
      <w:numFmt w:val="bullet"/>
      <w:lvlText w:val="•"/>
      <w:lvlJc w:val="left"/>
      <w:pPr>
        <w:ind w:left="7761" w:hanging="267"/>
      </w:pPr>
      <w:rPr>
        <w:rFonts w:hint="default"/>
        <w:lang w:val="es-ES" w:eastAsia="es-ES" w:bidi="es-ES"/>
      </w:rPr>
    </w:lvl>
    <w:lvl w:ilvl="8">
      <w:start w:val="0"/>
      <w:numFmt w:val="bullet"/>
      <w:lvlText w:val="•"/>
      <w:lvlJc w:val="left"/>
      <w:pPr>
        <w:ind w:left="8716" w:hanging="267"/>
      </w:pPr>
      <w:rPr>
        <w:rFonts w:hint="default"/>
        <w:lang w:val="es-ES" w:eastAsia="es-ES" w:bidi="es-ES"/>
      </w:rPr>
    </w:lvl>
  </w:abstractNum>
  <w:abstractNum w:abstractNumId="356">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6"/>
      </w:pPr>
      <w:rPr>
        <w:rFonts w:hint="default"/>
        <w:lang w:val="es-ES" w:eastAsia="es-ES" w:bidi="es-ES"/>
      </w:rPr>
    </w:lvl>
    <w:lvl w:ilvl="2">
      <w:start w:val="0"/>
      <w:numFmt w:val="bullet"/>
      <w:lvlText w:val="•"/>
      <w:lvlJc w:val="left"/>
      <w:pPr>
        <w:ind w:left="2989" w:hanging="226"/>
      </w:pPr>
      <w:rPr>
        <w:rFonts w:hint="default"/>
        <w:lang w:val="es-ES" w:eastAsia="es-ES" w:bidi="es-ES"/>
      </w:rPr>
    </w:lvl>
    <w:lvl w:ilvl="3">
      <w:start w:val="0"/>
      <w:numFmt w:val="bullet"/>
      <w:lvlText w:val="•"/>
      <w:lvlJc w:val="left"/>
      <w:pPr>
        <w:ind w:left="3943" w:hanging="226"/>
      </w:pPr>
      <w:rPr>
        <w:rFonts w:hint="default"/>
        <w:lang w:val="es-ES" w:eastAsia="es-ES" w:bidi="es-ES"/>
      </w:rPr>
    </w:lvl>
    <w:lvl w:ilvl="4">
      <w:start w:val="0"/>
      <w:numFmt w:val="bullet"/>
      <w:lvlText w:val="•"/>
      <w:lvlJc w:val="left"/>
      <w:pPr>
        <w:ind w:left="4898" w:hanging="226"/>
      </w:pPr>
      <w:rPr>
        <w:rFonts w:hint="default"/>
        <w:lang w:val="es-ES" w:eastAsia="es-ES" w:bidi="es-ES"/>
      </w:rPr>
    </w:lvl>
    <w:lvl w:ilvl="5">
      <w:start w:val="0"/>
      <w:numFmt w:val="bullet"/>
      <w:lvlText w:val="•"/>
      <w:lvlJc w:val="left"/>
      <w:pPr>
        <w:ind w:left="5852" w:hanging="226"/>
      </w:pPr>
      <w:rPr>
        <w:rFonts w:hint="default"/>
        <w:lang w:val="es-ES" w:eastAsia="es-ES" w:bidi="es-ES"/>
      </w:rPr>
    </w:lvl>
    <w:lvl w:ilvl="6">
      <w:start w:val="0"/>
      <w:numFmt w:val="bullet"/>
      <w:lvlText w:val="•"/>
      <w:lvlJc w:val="left"/>
      <w:pPr>
        <w:ind w:left="6807" w:hanging="226"/>
      </w:pPr>
      <w:rPr>
        <w:rFonts w:hint="default"/>
        <w:lang w:val="es-ES" w:eastAsia="es-ES" w:bidi="es-ES"/>
      </w:rPr>
    </w:lvl>
    <w:lvl w:ilvl="7">
      <w:start w:val="0"/>
      <w:numFmt w:val="bullet"/>
      <w:lvlText w:val="•"/>
      <w:lvlJc w:val="left"/>
      <w:pPr>
        <w:ind w:left="7761" w:hanging="226"/>
      </w:pPr>
      <w:rPr>
        <w:rFonts w:hint="default"/>
        <w:lang w:val="es-ES" w:eastAsia="es-ES" w:bidi="es-ES"/>
      </w:rPr>
    </w:lvl>
    <w:lvl w:ilvl="8">
      <w:start w:val="0"/>
      <w:numFmt w:val="bullet"/>
      <w:lvlText w:val="•"/>
      <w:lvlJc w:val="left"/>
      <w:pPr>
        <w:ind w:left="8716" w:hanging="226"/>
      </w:pPr>
      <w:rPr>
        <w:rFonts w:hint="default"/>
        <w:lang w:val="es-ES" w:eastAsia="es-ES" w:bidi="es-ES"/>
      </w:rPr>
    </w:lvl>
  </w:abstractNum>
  <w:abstractNum w:abstractNumId="355">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54">
    <w:multiLevelType w:val="hybridMultilevel"/>
    <w:lvl w:ilvl="0">
      <w:start w:val="1"/>
      <w:numFmt w:val="decimal"/>
      <w:lvlText w:val="%1."/>
      <w:lvlJc w:val="left"/>
      <w:pPr>
        <w:ind w:left="1074" w:hanging="22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7"/>
      </w:pPr>
      <w:rPr>
        <w:rFonts w:hint="default"/>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353">
    <w:multiLevelType w:val="hybridMultilevel"/>
    <w:lvl w:ilvl="0">
      <w:start w:val="1"/>
      <w:numFmt w:val="lowerLetter"/>
      <w:lvlText w:val="%1)"/>
      <w:lvlJc w:val="left"/>
      <w:pPr>
        <w:ind w:left="1074" w:hanging="23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9"/>
      </w:pPr>
      <w:rPr>
        <w:rFonts w:hint="default"/>
        <w:lang w:val="es-ES" w:eastAsia="es-ES" w:bidi="es-ES"/>
      </w:rPr>
    </w:lvl>
    <w:lvl w:ilvl="2">
      <w:start w:val="0"/>
      <w:numFmt w:val="bullet"/>
      <w:lvlText w:val="•"/>
      <w:lvlJc w:val="left"/>
      <w:pPr>
        <w:ind w:left="2989" w:hanging="239"/>
      </w:pPr>
      <w:rPr>
        <w:rFonts w:hint="default"/>
        <w:lang w:val="es-ES" w:eastAsia="es-ES" w:bidi="es-ES"/>
      </w:rPr>
    </w:lvl>
    <w:lvl w:ilvl="3">
      <w:start w:val="0"/>
      <w:numFmt w:val="bullet"/>
      <w:lvlText w:val="•"/>
      <w:lvlJc w:val="left"/>
      <w:pPr>
        <w:ind w:left="3943" w:hanging="239"/>
      </w:pPr>
      <w:rPr>
        <w:rFonts w:hint="default"/>
        <w:lang w:val="es-ES" w:eastAsia="es-ES" w:bidi="es-ES"/>
      </w:rPr>
    </w:lvl>
    <w:lvl w:ilvl="4">
      <w:start w:val="0"/>
      <w:numFmt w:val="bullet"/>
      <w:lvlText w:val="•"/>
      <w:lvlJc w:val="left"/>
      <w:pPr>
        <w:ind w:left="4898" w:hanging="239"/>
      </w:pPr>
      <w:rPr>
        <w:rFonts w:hint="default"/>
        <w:lang w:val="es-ES" w:eastAsia="es-ES" w:bidi="es-ES"/>
      </w:rPr>
    </w:lvl>
    <w:lvl w:ilvl="5">
      <w:start w:val="0"/>
      <w:numFmt w:val="bullet"/>
      <w:lvlText w:val="•"/>
      <w:lvlJc w:val="left"/>
      <w:pPr>
        <w:ind w:left="5852" w:hanging="239"/>
      </w:pPr>
      <w:rPr>
        <w:rFonts w:hint="default"/>
        <w:lang w:val="es-ES" w:eastAsia="es-ES" w:bidi="es-ES"/>
      </w:rPr>
    </w:lvl>
    <w:lvl w:ilvl="6">
      <w:start w:val="0"/>
      <w:numFmt w:val="bullet"/>
      <w:lvlText w:val="•"/>
      <w:lvlJc w:val="left"/>
      <w:pPr>
        <w:ind w:left="6807" w:hanging="239"/>
      </w:pPr>
      <w:rPr>
        <w:rFonts w:hint="default"/>
        <w:lang w:val="es-ES" w:eastAsia="es-ES" w:bidi="es-ES"/>
      </w:rPr>
    </w:lvl>
    <w:lvl w:ilvl="7">
      <w:start w:val="0"/>
      <w:numFmt w:val="bullet"/>
      <w:lvlText w:val="•"/>
      <w:lvlJc w:val="left"/>
      <w:pPr>
        <w:ind w:left="7761" w:hanging="239"/>
      </w:pPr>
      <w:rPr>
        <w:rFonts w:hint="default"/>
        <w:lang w:val="es-ES" w:eastAsia="es-ES" w:bidi="es-ES"/>
      </w:rPr>
    </w:lvl>
    <w:lvl w:ilvl="8">
      <w:start w:val="0"/>
      <w:numFmt w:val="bullet"/>
      <w:lvlText w:val="•"/>
      <w:lvlJc w:val="left"/>
      <w:pPr>
        <w:ind w:left="8716" w:hanging="239"/>
      </w:pPr>
      <w:rPr>
        <w:rFonts w:hint="default"/>
        <w:lang w:val="es-ES" w:eastAsia="es-ES" w:bidi="es-ES"/>
      </w:rPr>
    </w:lvl>
  </w:abstractNum>
  <w:abstractNum w:abstractNumId="352">
    <w:multiLevelType w:val="hybridMultilevel"/>
    <w:lvl w:ilvl="0">
      <w:start w:val="1"/>
      <w:numFmt w:val="decimal"/>
      <w:lvlText w:val="%1."/>
      <w:lvlJc w:val="left"/>
      <w:pPr>
        <w:ind w:left="1074" w:hanging="24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5"/>
      </w:pPr>
      <w:rPr>
        <w:rFonts w:hint="default"/>
        <w:lang w:val="es-ES" w:eastAsia="es-ES" w:bidi="es-ES"/>
      </w:rPr>
    </w:lvl>
    <w:lvl w:ilvl="2">
      <w:start w:val="0"/>
      <w:numFmt w:val="bullet"/>
      <w:lvlText w:val="•"/>
      <w:lvlJc w:val="left"/>
      <w:pPr>
        <w:ind w:left="2989" w:hanging="245"/>
      </w:pPr>
      <w:rPr>
        <w:rFonts w:hint="default"/>
        <w:lang w:val="es-ES" w:eastAsia="es-ES" w:bidi="es-ES"/>
      </w:rPr>
    </w:lvl>
    <w:lvl w:ilvl="3">
      <w:start w:val="0"/>
      <w:numFmt w:val="bullet"/>
      <w:lvlText w:val="•"/>
      <w:lvlJc w:val="left"/>
      <w:pPr>
        <w:ind w:left="3943" w:hanging="245"/>
      </w:pPr>
      <w:rPr>
        <w:rFonts w:hint="default"/>
        <w:lang w:val="es-ES" w:eastAsia="es-ES" w:bidi="es-ES"/>
      </w:rPr>
    </w:lvl>
    <w:lvl w:ilvl="4">
      <w:start w:val="0"/>
      <w:numFmt w:val="bullet"/>
      <w:lvlText w:val="•"/>
      <w:lvlJc w:val="left"/>
      <w:pPr>
        <w:ind w:left="4898" w:hanging="245"/>
      </w:pPr>
      <w:rPr>
        <w:rFonts w:hint="default"/>
        <w:lang w:val="es-ES" w:eastAsia="es-ES" w:bidi="es-ES"/>
      </w:rPr>
    </w:lvl>
    <w:lvl w:ilvl="5">
      <w:start w:val="0"/>
      <w:numFmt w:val="bullet"/>
      <w:lvlText w:val="•"/>
      <w:lvlJc w:val="left"/>
      <w:pPr>
        <w:ind w:left="5852" w:hanging="245"/>
      </w:pPr>
      <w:rPr>
        <w:rFonts w:hint="default"/>
        <w:lang w:val="es-ES" w:eastAsia="es-ES" w:bidi="es-ES"/>
      </w:rPr>
    </w:lvl>
    <w:lvl w:ilvl="6">
      <w:start w:val="0"/>
      <w:numFmt w:val="bullet"/>
      <w:lvlText w:val="•"/>
      <w:lvlJc w:val="left"/>
      <w:pPr>
        <w:ind w:left="6807" w:hanging="245"/>
      </w:pPr>
      <w:rPr>
        <w:rFonts w:hint="default"/>
        <w:lang w:val="es-ES" w:eastAsia="es-ES" w:bidi="es-ES"/>
      </w:rPr>
    </w:lvl>
    <w:lvl w:ilvl="7">
      <w:start w:val="0"/>
      <w:numFmt w:val="bullet"/>
      <w:lvlText w:val="•"/>
      <w:lvlJc w:val="left"/>
      <w:pPr>
        <w:ind w:left="7761" w:hanging="245"/>
      </w:pPr>
      <w:rPr>
        <w:rFonts w:hint="default"/>
        <w:lang w:val="es-ES" w:eastAsia="es-ES" w:bidi="es-ES"/>
      </w:rPr>
    </w:lvl>
    <w:lvl w:ilvl="8">
      <w:start w:val="0"/>
      <w:numFmt w:val="bullet"/>
      <w:lvlText w:val="•"/>
      <w:lvlJc w:val="left"/>
      <w:pPr>
        <w:ind w:left="8716" w:hanging="245"/>
      </w:pPr>
      <w:rPr>
        <w:rFonts w:hint="default"/>
        <w:lang w:val="es-ES" w:eastAsia="es-ES" w:bidi="es-ES"/>
      </w:rPr>
    </w:lvl>
  </w:abstractNum>
  <w:abstractNum w:abstractNumId="351">
    <w:multiLevelType w:val="hybridMultilevel"/>
    <w:lvl w:ilvl="0">
      <w:start w:val="1"/>
      <w:numFmt w:val="decimal"/>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350">
    <w:multiLevelType w:val="hybridMultilevel"/>
    <w:lvl w:ilvl="0">
      <w:start w:val="1"/>
      <w:numFmt w:val="lowerLetter"/>
      <w:lvlText w:val="%1)"/>
      <w:lvlJc w:val="left"/>
      <w:pPr>
        <w:ind w:left="1074" w:hanging="25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3"/>
      </w:pPr>
      <w:rPr>
        <w:rFonts w:hint="default"/>
        <w:lang w:val="es-ES" w:eastAsia="es-ES" w:bidi="es-ES"/>
      </w:rPr>
    </w:lvl>
    <w:lvl w:ilvl="2">
      <w:start w:val="0"/>
      <w:numFmt w:val="bullet"/>
      <w:lvlText w:val="•"/>
      <w:lvlJc w:val="left"/>
      <w:pPr>
        <w:ind w:left="2989" w:hanging="253"/>
      </w:pPr>
      <w:rPr>
        <w:rFonts w:hint="default"/>
        <w:lang w:val="es-ES" w:eastAsia="es-ES" w:bidi="es-ES"/>
      </w:rPr>
    </w:lvl>
    <w:lvl w:ilvl="3">
      <w:start w:val="0"/>
      <w:numFmt w:val="bullet"/>
      <w:lvlText w:val="•"/>
      <w:lvlJc w:val="left"/>
      <w:pPr>
        <w:ind w:left="3943" w:hanging="253"/>
      </w:pPr>
      <w:rPr>
        <w:rFonts w:hint="default"/>
        <w:lang w:val="es-ES" w:eastAsia="es-ES" w:bidi="es-ES"/>
      </w:rPr>
    </w:lvl>
    <w:lvl w:ilvl="4">
      <w:start w:val="0"/>
      <w:numFmt w:val="bullet"/>
      <w:lvlText w:val="•"/>
      <w:lvlJc w:val="left"/>
      <w:pPr>
        <w:ind w:left="4898" w:hanging="253"/>
      </w:pPr>
      <w:rPr>
        <w:rFonts w:hint="default"/>
        <w:lang w:val="es-ES" w:eastAsia="es-ES" w:bidi="es-ES"/>
      </w:rPr>
    </w:lvl>
    <w:lvl w:ilvl="5">
      <w:start w:val="0"/>
      <w:numFmt w:val="bullet"/>
      <w:lvlText w:val="•"/>
      <w:lvlJc w:val="left"/>
      <w:pPr>
        <w:ind w:left="5852" w:hanging="253"/>
      </w:pPr>
      <w:rPr>
        <w:rFonts w:hint="default"/>
        <w:lang w:val="es-ES" w:eastAsia="es-ES" w:bidi="es-ES"/>
      </w:rPr>
    </w:lvl>
    <w:lvl w:ilvl="6">
      <w:start w:val="0"/>
      <w:numFmt w:val="bullet"/>
      <w:lvlText w:val="•"/>
      <w:lvlJc w:val="left"/>
      <w:pPr>
        <w:ind w:left="6807" w:hanging="253"/>
      </w:pPr>
      <w:rPr>
        <w:rFonts w:hint="default"/>
        <w:lang w:val="es-ES" w:eastAsia="es-ES" w:bidi="es-ES"/>
      </w:rPr>
    </w:lvl>
    <w:lvl w:ilvl="7">
      <w:start w:val="0"/>
      <w:numFmt w:val="bullet"/>
      <w:lvlText w:val="•"/>
      <w:lvlJc w:val="left"/>
      <w:pPr>
        <w:ind w:left="7761" w:hanging="253"/>
      </w:pPr>
      <w:rPr>
        <w:rFonts w:hint="default"/>
        <w:lang w:val="es-ES" w:eastAsia="es-ES" w:bidi="es-ES"/>
      </w:rPr>
    </w:lvl>
    <w:lvl w:ilvl="8">
      <w:start w:val="0"/>
      <w:numFmt w:val="bullet"/>
      <w:lvlText w:val="•"/>
      <w:lvlJc w:val="left"/>
      <w:pPr>
        <w:ind w:left="8716" w:hanging="253"/>
      </w:pPr>
      <w:rPr>
        <w:rFonts w:hint="default"/>
        <w:lang w:val="es-ES" w:eastAsia="es-ES" w:bidi="es-ES"/>
      </w:rPr>
    </w:lvl>
  </w:abstractNum>
  <w:abstractNum w:abstractNumId="349">
    <w:multiLevelType w:val="hybridMultilevel"/>
    <w:lvl w:ilvl="0">
      <w:start w:val="1"/>
      <w:numFmt w:val="decimal"/>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348">
    <w:multiLevelType w:val="hybridMultilevel"/>
    <w:lvl w:ilvl="0">
      <w:start w:val="1"/>
      <w:numFmt w:val="decimal"/>
      <w:lvlText w:val="%1."/>
      <w:lvlJc w:val="left"/>
      <w:pPr>
        <w:ind w:left="1074" w:hanging="255"/>
        <w:jc w:val="left"/>
      </w:pPr>
      <w:rPr>
        <w:rFonts w:hint="default" w:ascii="Arial" w:hAnsi="Arial" w:eastAsia="Arial" w:cs="Arial"/>
        <w:spacing w:val="-24"/>
        <w:w w:val="100"/>
        <w:sz w:val="20"/>
        <w:szCs w:val="20"/>
        <w:lang w:val="es-ES" w:eastAsia="es-ES" w:bidi="es-ES"/>
      </w:rPr>
    </w:lvl>
    <w:lvl w:ilvl="1">
      <w:start w:val="0"/>
      <w:numFmt w:val="bullet"/>
      <w:lvlText w:val="•"/>
      <w:lvlJc w:val="left"/>
      <w:pPr>
        <w:ind w:left="2034" w:hanging="255"/>
      </w:pPr>
      <w:rPr>
        <w:rFonts w:hint="default"/>
        <w:lang w:val="es-ES" w:eastAsia="es-ES" w:bidi="es-ES"/>
      </w:rPr>
    </w:lvl>
    <w:lvl w:ilvl="2">
      <w:start w:val="0"/>
      <w:numFmt w:val="bullet"/>
      <w:lvlText w:val="•"/>
      <w:lvlJc w:val="left"/>
      <w:pPr>
        <w:ind w:left="2989" w:hanging="255"/>
      </w:pPr>
      <w:rPr>
        <w:rFonts w:hint="default"/>
        <w:lang w:val="es-ES" w:eastAsia="es-ES" w:bidi="es-ES"/>
      </w:rPr>
    </w:lvl>
    <w:lvl w:ilvl="3">
      <w:start w:val="0"/>
      <w:numFmt w:val="bullet"/>
      <w:lvlText w:val="•"/>
      <w:lvlJc w:val="left"/>
      <w:pPr>
        <w:ind w:left="3943" w:hanging="255"/>
      </w:pPr>
      <w:rPr>
        <w:rFonts w:hint="default"/>
        <w:lang w:val="es-ES" w:eastAsia="es-ES" w:bidi="es-ES"/>
      </w:rPr>
    </w:lvl>
    <w:lvl w:ilvl="4">
      <w:start w:val="0"/>
      <w:numFmt w:val="bullet"/>
      <w:lvlText w:val="•"/>
      <w:lvlJc w:val="left"/>
      <w:pPr>
        <w:ind w:left="4898" w:hanging="255"/>
      </w:pPr>
      <w:rPr>
        <w:rFonts w:hint="default"/>
        <w:lang w:val="es-ES" w:eastAsia="es-ES" w:bidi="es-ES"/>
      </w:rPr>
    </w:lvl>
    <w:lvl w:ilvl="5">
      <w:start w:val="0"/>
      <w:numFmt w:val="bullet"/>
      <w:lvlText w:val="•"/>
      <w:lvlJc w:val="left"/>
      <w:pPr>
        <w:ind w:left="5852" w:hanging="255"/>
      </w:pPr>
      <w:rPr>
        <w:rFonts w:hint="default"/>
        <w:lang w:val="es-ES" w:eastAsia="es-ES" w:bidi="es-ES"/>
      </w:rPr>
    </w:lvl>
    <w:lvl w:ilvl="6">
      <w:start w:val="0"/>
      <w:numFmt w:val="bullet"/>
      <w:lvlText w:val="•"/>
      <w:lvlJc w:val="left"/>
      <w:pPr>
        <w:ind w:left="6807" w:hanging="255"/>
      </w:pPr>
      <w:rPr>
        <w:rFonts w:hint="default"/>
        <w:lang w:val="es-ES" w:eastAsia="es-ES" w:bidi="es-ES"/>
      </w:rPr>
    </w:lvl>
    <w:lvl w:ilvl="7">
      <w:start w:val="0"/>
      <w:numFmt w:val="bullet"/>
      <w:lvlText w:val="•"/>
      <w:lvlJc w:val="left"/>
      <w:pPr>
        <w:ind w:left="7761" w:hanging="255"/>
      </w:pPr>
      <w:rPr>
        <w:rFonts w:hint="default"/>
        <w:lang w:val="es-ES" w:eastAsia="es-ES" w:bidi="es-ES"/>
      </w:rPr>
    </w:lvl>
    <w:lvl w:ilvl="8">
      <w:start w:val="0"/>
      <w:numFmt w:val="bullet"/>
      <w:lvlText w:val="•"/>
      <w:lvlJc w:val="left"/>
      <w:pPr>
        <w:ind w:left="8716" w:hanging="255"/>
      </w:pPr>
      <w:rPr>
        <w:rFonts w:hint="default"/>
        <w:lang w:val="es-ES" w:eastAsia="es-ES" w:bidi="es-ES"/>
      </w:rPr>
    </w:lvl>
  </w:abstractNum>
  <w:abstractNum w:abstractNumId="347">
    <w:multiLevelType w:val="hybridMultilevel"/>
    <w:lvl w:ilvl="0">
      <w:start w:val="1"/>
      <w:numFmt w:val="lowerLetter"/>
      <w:lvlText w:val="%1)"/>
      <w:lvlJc w:val="left"/>
      <w:pPr>
        <w:ind w:left="1074" w:hanging="287"/>
        <w:jc w:val="left"/>
      </w:pPr>
      <w:rPr>
        <w:rFonts w:hint="default" w:ascii="Arial" w:hAnsi="Arial" w:eastAsia="Arial" w:cs="Arial"/>
        <w:spacing w:val="-3"/>
        <w:w w:val="100"/>
        <w:sz w:val="20"/>
        <w:szCs w:val="20"/>
        <w:lang w:val="es-ES" w:eastAsia="es-ES" w:bidi="es-ES"/>
      </w:rPr>
    </w:lvl>
    <w:lvl w:ilvl="1">
      <w:start w:val="0"/>
      <w:numFmt w:val="bullet"/>
      <w:lvlText w:val="•"/>
      <w:lvlJc w:val="left"/>
      <w:pPr>
        <w:ind w:left="2034" w:hanging="287"/>
      </w:pPr>
      <w:rPr>
        <w:rFonts w:hint="default"/>
        <w:lang w:val="es-ES" w:eastAsia="es-ES" w:bidi="es-ES"/>
      </w:rPr>
    </w:lvl>
    <w:lvl w:ilvl="2">
      <w:start w:val="0"/>
      <w:numFmt w:val="bullet"/>
      <w:lvlText w:val="•"/>
      <w:lvlJc w:val="left"/>
      <w:pPr>
        <w:ind w:left="2989" w:hanging="287"/>
      </w:pPr>
      <w:rPr>
        <w:rFonts w:hint="default"/>
        <w:lang w:val="es-ES" w:eastAsia="es-ES" w:bidi="es-ES"/>
      </w:rPr>
    </w:lvl>
    <w:lvl w:ilvl="3">
      <w:start w:val="0"/>
      <w:numFmt w:val="bullet"/>
      <w:lvlText w:val="•"/>
      <w:lvlJc w:val="left"/>
      <w:pPr>
        <w:ind w:left="3943" w:hanging="287"/>
      </w:pPr>
      <w:rPr>
        <w:rFonts w:hint="default"/>
        <w:lang w:val="es-ES" w:eastAsia="es-ES" w:bidi="es-ES"/>
      </w:rPr>
    </w:lvl>
    <w:lvl w:ilvl="4">
      <w:start w:val="0"/>
      <w:numFmt w:val="bullet"/>
      <w:lvlText w:val="•"/>
      <w:lvlJc w:val="left"/>
      <w:pPr>
        <w:ind w:left="4898" w:hanging="287"/>
      </w:pPr>
      <w:rPr>
        <w:rFonts w:hint="default"/>
        <w:lang w:val="es-ES" w:eastAsia="es-ES" w:bidi="es-ES"/>
      </w:rPr>
    </w:lvl>
    <w:lvl w:ilvl="5">
      <w:start w:val="0"/>
      <w:numFmt w:val="bullet"/>
      <w:lvlText w:val="•"/>
      <w:lvlJc w:val="left"/>
      <w:pPr>
        <w:ind w:left="5852" w:hanging="287"/>
      </w:pPr>
      <w:rPr>
        <w:rFonts w:hint="default"/>
        <w:lang w:val="es-ES" w:eastAsia="es-ES" w:bidi="es-ES"/>
      </w:rPr>
    </w:lvl>
    <w:lvl w:ilvl="6">
      <w:start w:val="0"/>
      <w:numFmt w:val="bullet"/>
      <w:lvlText w:val="•"/>
      <w:lvlJc w:val="left"/>
      <w:pPr>
        <w:ind w:left="6807" w:hanging="287"/>
      </w:pPr>
      <w:rPr>
        <w:rFonts w:hint="default"/>
        <w:lang w:val="es-ES" w:eastAsia="es-ES" w:bidi="es-ES"/>
      </w:rPr>
    </w:lvl>
    <w:lvl w:ilvl="7">
      <w:start w:val="0"/>
      <w:numFmt w:val="bullet"/>
      <w:lvlText w:val="•"/>
      <w:lvlJc w:val="left"/>
      <w:pPr>
        <w:ind w:left="7761" w:hanging="287"/>
      </w:pPr>
      <w:rPr>
        <w:rFonts w:hint="default"/>
        <w:lang w:val="es-ES" w:eastAsia="es-ES" w:bidi="es-ES"/>
      </w:rPr>
    </w:lvl>
    <w:lvl w:ilvl="8">
      <w:start w:val="0"/>
      <w:numFmt w:val="bullet"/>
      <w:lvlText w:val="•"/>
      <w:lvlJc w:val="left"/>
      <w:pPr>
        <w:ind w:left="8716" w:hanging="287"/>
      </w:pPr>
      <w:rPr>
        <w:rFonts w:hint="default"/>
        <w:lang w:val="es-ES" w:eastAsia="es-ES" w:bidi="es-ES"/>
      </w:rPr>
    </w:lvl>
  </w:abstractNum>
  <w:abstractNum w:abstractNumId="346">
    <w:multiLevelType w:val="hybridMultilevel"/>
    <w:lvl w:ilvl="0">
      <w:start w:val="1"/>
      <w:numFmt w:val="decimal"/>
      <w:lvlText w:val="%1."/>
      <w:lvlJc w:val="left"/>
      <w:pPr>
        <w:ind w:left="1074" w:hanging="267"/>
        <w:jc w:val="left"/>
      </w:pPr>
      <w:rPr>
        <w:rFonts w:hint="default" w:ascii="Arial" w:hAnsi="Arial" w:eastAsia="Arial" w:cs="Arial"/>
        <w:spacing w:val="-12"/>
        <w:w w:val="100"/>
        <w:sz w:val="20"/>
        <w:szCs w:val="20"/>
        <w:lang w:val="es-ES" w:eastAsia="es-ES" w:bidi="es-ES"/>
      </w:rPr>
    </w:lvl>
    <w:lvl w:ilvl="1">
      <w:start w:val="0"/>
      <w:numFmt w:val="bullet"/>
      <w:lvlText w:val="•"/>
      <w:lvlJc w:val="left"/>
      <w:pPr>
        <w:ind w:left="2034" w:hanging="267"/>
      </w:pPr>
      <w:rPr>
        <w:rFonts w:hint="default"/>
        <w:lang w:val="es-ES" w:eastAsia="es-ES" w:bidi="es-ES"/>
      </w:rPr>
    </w:lvl>
    <w:lvl w:ilvl="2">
      <w:start w:val="0"/>
      <w:numFmt w:val="bullet"/>
      <w:lvlText w:val="•"/>
      <w:lvlJc w:val="left"/>
      <w:pPr>
        <w:ind w:left="2989" w:hanging="267"/>
      </w:pPr>
      <w:rPr>
        <w:rFonts w:hint="default"/>
        <w:lang w:val="es-ES" w:eastAsia="es-ES" w:bidi="es-ES"/>
      </w:rPr>
    </w:lvl>
    <w:lvl w:ilvl="3">
      <w:start w:val="0"/>
      <w:numFmt w:val="bullet"/>
      <w:lvlText w:val="•"/>
      <w:lvlJc w:val="left"/>
      <w:pPr>
        <w:ind w:left="3943" w:hanging="267"/>
      </w:pPr>
      <w:rPr>
        <w:rFonts w:hint="default"/>
        <w:lang w:val="es-ES" w:eastAsia="es-ES" w:bidi="es-ES"/>
      </w:rPr>
    </w:lvl>
    <w:lvl w:ilvl="4">
      <w:start w:val="0"/>
      <w:numFmt w:val="bullet"/>
      <w:lvlText w:val="•"/>
      <w:lvlJc w:val="left"/>
      <w:pPr>
        <w:ind w:left="4898" w:hanging="267"/>
      </w:pPr>
      <w:rPr>
        <w:rFonts w:hint="default"/>
        <w:lang w:val="es-ES" w:eastAsia="es-ES" w:bidi="es-ES"/>
      </w:rPr>
    </w:lvl>
    <w:lvl w:ilvl="5">
      <w:start w:val="0"/>
      <w:numFmt w:val="bullet"/>
      <w:lvlText w:val="•"/>
      <w:lvlJc w:val="left"/>
      <w:pPr>
        <w:ind w:left="5852" w:hanging="267"/>
      </w:pPr>
      <w:rPr>
        <w:rFonts w:hint="default"/>
        <w:lang w:val="es-ES" w:eastAsia="es-ES" w:bidi="es-ES"/>
      </w:rPr>
    </w:lvl>
    <w:lvl w:ilvl="6">
      <w:start w:val="0"/>
      <w:numFmt w:val="bullet"/>
      <w:lvlText w:val="•"/>
      <w:lvlJc w:val="left"/>
      <w:pPr>
        <w:ind w:left="6807" w:hanging="267"/>
      </w:pPr>
      <w:rPr>
        <w:rFonts w:hint="default"/>
        <w:lang w:val="es-ES" w:eastAsia="es-ES" w:bidi="es-ES"/>
      </w:rPr>
    </w:lvl>
    <w:lvl w:ilvl="7">
      <w:start w:val="0"/>
      <w:numFmt w:val="bullet"/>
      <w:lvlText w:val="•"/>
      <w:lvlJc w:val="left"/>
      <w:pPr>
        <w:ind w:left="7761" w:hanging="267"/>
      </w:pPr>
      <w:rPr>
        <w:rFonts w:hint="default"/>
        <w:lang w:val="es-ES" w:eastAsia="es-ES" w:bidi="es-ES"/>
      </w:rPr>
    </w:lvl>
    <w:lvl w:ilvl="8">
      <w:start w:val="0"/>
      <w:numFmt w:val="bullet"/>
      <w:lvlText w:val="•"/>
      <w:lvlJc w:val="left"/>
      <w:pPr>
        <w:ind w:left="8716" w:hanging="267"/>
      </w:pPr>
      <w:rPr>
        <w:rFonts w:hint="default"/>
        <w:lang w:val="es-ES" w:eastAsia="es-ES" w:bidi="es-ES"/>
      </w:rPr>
    </w:lvl>
  </w:abstractNum>
  <w:abstractNum w:abstractNumId="345">
    <w:multiLevelType w:val="hybridMultilevel"/>
    <w:lvl w:ilvl="0">
      <w:start w:val="1"/>
      <w:numFmt w:val="decimal"/>
      <w:lvlText w:val="%1."/>
      <w:lvlJc w:val="left"/>
      <w:pPr>
        <w:ind w:left="1074" w:hanging="28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2"/>
      </w:pPr>
      <w:rPr>
        <w:rFonts w:hint="default"/>
        <w:lang w:val="es-ES" w:eastAsia="es-ES" w:bidi="es-ES"/>
      </w:rPr>
    </w:lvl>
    <w:lvl w:ilvl="2">
      <w:start w:val="0"/>
      <w:numFmt w:val="bullet"/>
      <w:lvlText w:val="•"/>
      <w:lvlJc w:val="left"/>
      <w:pPr>
        <w:ind w:left="2989" w:hanging="282"/>
      </w:pPr>
      <w:rPr>
        <w:rFonts w:hint="default"/>
        <w:lang w:val="es-ES" w:eastAsia="es-ES" w:bidi="es-ES"/>
      </w:rPr>
    </w:lvl>
    <w:lvl w:ilvl="3">
      <w:start w:val="0"/>
      <w:numFmt w:val="bullet"/>
      <w:lvlText w:val="•"/>
      <w:lvlJc w:val="left"/>
      <w:pPr>
        <w:ind w:left="3943" w:hanging="282"/>
      </w:pPr>
      <w:rPr>
        <w:rFonts w:hint="default"/>
        <w:lang w:val="es-ES" w:eastAsia="es-ES" w:bidi="es-ES"/>
      </w:rPr>
    </w:lvl>
    <w:lvl w:ilvl="4">
      <w:start w:val="0"/>
      <w:numFmt w:val="bullet"/>
      <w:lvlText w:val="•"/>
      <w:lvlJc w:val="left"/>
      <w:pPr>
        <w:ind w:left="4898" w:hanging="282"/>
      </w:pPr>
      <w:rPr>
        <w:rFonts w:hint="default"/>
        <w:lang w:val="es-ES" w:eastAsia="es-ES" w:bidi="es-ES"/>
      </w:rPr>
    </w:lvl>
    <w:lvl w:ilvl="5">
      <w:start w:val="0"/>
      <w:numFmt w:val="bullet"/>
      <w:lvlText w:val="•"/>
      <w:lvlJc w:val="left"/>
      <w:pPr>
        <w:ind w:left="5852" w:hanging="282"/>
      </w:pPr>
      <w:rPr>
        <w:rFonts w:hint="default"/>
        <w:lang w:val="es-ES" w:eastAsia="es-ES" w:bidi="es-ES"/>
      </w:rPr>
    </w:lvl>
    <w:lvl w:ilvl="6">
      <w:start w:val="0"/>
      <w:numFmt w:val="bullet"/>
      <w:lvlText w:val="•"/>
      <w:lvlJc w:val="left"/>
      <w:pPr>
        <w:ind w:left="6807" w:hanging="282"/>
      </w:pPr>
      <w:rPr>
        <w:rFonts w:hint="default"/>
        <w:lang w:val="es-ES" w:eastAsia="es-ES" w:bidi="es-ES"/>
      </w:rPr>
    </w:lvl>
    <w:lvl w:ilvl="7">
      <w:start w:val="0"/>
      <w:numFmt w:val="bullet"/>
      <w:lvlText w:val="•"/>
      <w:lvlJc w:val="left"/>
      <w:pPr>
        <w:ind w:left="7761" w:hanging="282"/>
      </w:pPr>
      <w:rPr>
        <w:rFonts w:hint="default"/>
        <w:lang w:val="es-ES" w:eastAsia="es-ES" w:bidi="es-ES"/>
      </w:rPr>
    </w:lvl>
    <w:lvl w:ilvl="8">
      <w:start w:val="0"/>
      <w:numFmt w:val="bullet"/>
      <w:lvlText w:val="•"/>
      <w:lvlJc w:val="left"/>
      <w:pPr>
        <w:ind w:left="8716" w:hanging="282"/>
      </w:pPr>
      <w:rPr>
        <w:rFonts w:hint="default"/>
        <w:lang w:val="es-ES" w:eastAsia="es-ES" w:bidi="es-ES"/>
      </w:rPr>
    </w:lvl>
  </w:abstractNum>
  <w:abstractNum w:abstractNumId="344">
    <w:multiLevelType w:val="hybridMultilevel"/>
    <w:lvl w:ilvl="0">
      <w:start w:val="1"/>
      <w:numFmt w:val="lowerLetter"/>
      <w:lvlText w:val="%1)"/>
      <w:lvlJc w:val="left"/>
      <w:pPr>
        <w:ind w:left="1074" w:hanging="26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343">
    <w:multiLevelType w:val="hybridMultilevel"/>
    <w:lvl w:ilvl="0">
      <w:start w:val="1"/>
      <w:numFmt w:val="decimal"/>
      <w:lvlText w:val="%1."/>
      <w:lvlJc w:val="left"/>
      <w:pPr>
        <w:ind w:left="1074" w:hanging="30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0"/>
      </w:pPr>
      <w:rPr>
        <w:rFonts w:hint="default"/>
        <w:lang w:val="es-ES" w:eastAsia="es-ES" w:bidi="es-ES"/>
      </w:rPr>
    </w:lvl>
    <w:lvl w:ilvl="2">
      <w:start w:val="0"/>
      <w:numFmt w:val="bullet"/>
      <w:lvlText w:val="•"/>
      <w:lvlJc w:val="left"/>
      <w:pPr>
        <w:ind w:left="2989" w:hanging="300"/>
      </w:pPr>
      <w:rPr>
        <w:rFonts w:hint="default"/>
        <w:lang w:val="es-ES" w:eastAsia="es-ES" w:bidi="es-ES"/>
      </w:rPr>
    </w:lvl>
    <w:lvl w:ilvl="3">
      <w:start w:val="0"/>
      <w:numFmt w:val="bullet"/>
      <w:lvlText w:val="•"/>
      <w:lvlJc w:val="left"/>
      <w:pPr>
        <w:ind w:left="3943" w:hanging="300"/>
      </w:pPr>
      <w:rPr>
        <w:rFonts w:hint="default"/>
        <w:lang w:val="es-ES" w:eastAsia="es-ES" w:bidi="es-ES"/>
      </w:rPr>
    </w:lvl>
    <w:lvl w:ilvl="4">
      <w:start w:val="0"/>
      <w:numFmt w:val="bullet"/>
      <w:lvlText w:val="•"/>
      <w:lvlJc w:val="left"/>
      <w:pPr>
        <w:ind w:left="4898" w:hanging="300"/>
      </w:pPr>
      <w:rPr>
        <w:rFonts w:hint="default"/>
        <w:lang w:val="es-ES" w:eastAsia="es-ES" w:bidi="es-ES"/>
      </w:rPr>
    </w:lvl>
    <w:lvl w:ilvl="5">
      <w:start w:val="0"/>
      <w:numFmt w:val="bullet"/>
      <w:lvlText w:val="•"/>
      <w:lvlJc w:val="left"/>
      <w:pPr>
        <w:ind w:left="5852" w:hanging="300"/>
      </w:pPr>
      <w:rPr>
        <w:rFonts w:hint="default"/>
        <w:lang w:val="es-ES" w:eastAsia="es-ES" w:bidi="es-ES"/>
      </w:rPr>
    </w:lvl>
    <w:lvl w:ilvl="6">
      <w:start w:val="0"/>
      <w:numFmt w:val="bullet"/>
      <w:lvlText w:val="•"/>
      <w:lvlJc w:val="left"/>
      <w:pPr>
        <w:ind w:left="6807" w:hanging="300"/>
      </w:pPr>
      <w:rPr>
        <w:rFonts w:hint="default"/>
        <w:lang w:val="es-ES" w:eastAsia="es-ES" w:bidi="es-ES"/>
      </w:rPr>
    </w:lvl>
    <w:lvl w:ilvl="7">
      <w:start w:val="0"/>
      <w:numFmt w:val="bullet"/>
      <w:lvlText w:val="•"/>
      <w:lvlJc w:val="left"/>
      <w:pPr>
        <w:ind w:left="7761" w:hanging="300"/>
      </w:pPr>
      <w:rPr>
        <w:rFonts w:hint="default"/>
        <w:lang w:val="es-ES" w:eastAsia="es-ES" w:bidi="es-ES"/>
      </w:rPr>
    </w:lvl>
    <w:lvl w:ilvl="8">
      <w:start w:val="0"/>
      <w:numFmt w:val="bullet"/>
      <w:lvlText w:val="•"/>
      <w:lvlJc w:val="left"/>
      <w:pPr>
        <w:ind w:left="8716" w:hanging="300"/>
      </w:pPr>
      <w:rPr>
        <w:rFonts w:hint="default"/>
        <w:lang w:val="es-ES" w:eastAsia="es-ES" w:bidi="es-ES"/>
      </w:rPr>
    </w:lvl>
  </w:abstractNum>
  <w:abstractNum w:abstractNumId="342">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41">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340">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39">
    <w:multiLevelType w:val="hybridMultilevel"/>
    <w:lvl w:ilvl="0">
      <w:start w:val="1"/>
      <w:numFmt w:val="lowerLetter"/>
      <w:lvlText w:val="%1)"/>
      <w:lvlJc w:val="left"/>
      <w:pPr>
        <w:ind w:left="1074" w:hanging="29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3"/>
      </w:pPr>
      <w:rPr>
        <w:rFonts w:hint="default"/>
        <w:lang w:val="es-ES" w:eastAsia="es-ES" w:bidi="es-ES"/>
      </w:rPr>
    </w:lvl>
    <w:lvl w:ilvl="2">
      <w:start w:val="0"/>
      <w:numFmt w:val="bullet"/>
      <w:lvlText w:val="•"/>
      <w:lvlJc w:val="left"/>
      <w:pPr>
        <w:ind w:left="2989" w:hanging="293"/>
      </w:pPr>
      <w:rPr>
        <w:rFonts w:hint="default"/>
        <w:lang w:val="es-ES" w:eastAsia="es-ES" w:bidi="es-ES"/>
      </w:rPr>
    </w:lvl>
    <w:lvl w:ilvl="3">
      <w:start w:val="0"/>
      <w:numFmt w:val="bullet"/>
      <w:lvlText w:val="•"/>
      <w:lvlJc w:val="left"/>
      <w:pPr>
        <w:ind w:left="3943" w:hanging="293"/>
      </w:pPr>
      <w:rPr>
        <w:rFonts w:hint="default"/>
        <w:lang w:val="es-ES" w:eastAsia="es-ES" w:bidi="es-ES"/>
      </w:rPr>
    </w:lvl>
    <w:lvl w:ilvl="4">
      <w:start w:val="0"/>
      <w:numFmt w:val="bullet"/>
      <w:lvlText w:val="•"/>
      <w:lvlJc w:val="left"/>
      <w:pPr>
        <w:ind w:left="4898" w:hanging="293"/>
      </w:pPr>
      <w:rPr>
        <w:rFonts w:hint="default"/>
        <w:lang w:val="es-ES" w:eastAsia="es-ES" w:bidi="es-ES"/>
      </w:rPr>
    </w:lvl>
    <w:lvl w:ilvl="5">
      <w:start w:val="0"/>
      <w:numFmt w:val="bullet"/>
      <w:lvlText w:val="•"/>
      <w:lvlJc w:val="left"/>
      <w:pPr>
        <w:ind w:left="5852" w:hanging="293"/>
      </w:pPr>
      <w:rPr>
        <w:rFonts w:hint="default"/>
        <w:lang w:val="es-ES" w:eastAsia="es-ES" w:bidi="es-ES"/>
      </w:rPr>
    </w:lvl>
    <w:lvl w:ilvl="6">
      <w:start w:val="0"/>
      <w:numFmt w:val="bullet"/>
      <w:lvlText w:val="•"/>
      <w:lvlJc w:val="left"/>
      <w:pPr>
        <w:ind w:left="6807" w:hanging="293"/>
      </w:pPr>
      <w:rPr>
        <w:rFonts w:hint="default"/>
        <w:lang w:val="es-ES" w:eastAsia="es-ES" w:bidi="es-ES"/>
      </w:rPr>
    </w:lvl>
    <w:lvl w:ilvl="7">
      <w:start w:val="0"/>
      <w:numFmt w:val="bullet"/>
      <w:lvlText w:val="•"/>
      <w:lvlJc w:val="left"/>
      <w:pPr>
        <w:ind w:left="7761" w:hanging="293"/>
      </w:pPr>
      <w:rPr>
        <w:rFonts w:hint="default"/>
        <w:lang w:val="es-ES" w:eastAsia="es-ES" w:bidi="es-ES"/>
      </w:rPr>
    </w:lvl>
    <w:lvl w:ilvl="8">
      <w:start w:val="0"/>
      <w:numFmt w:val="bullet"/>
      <w:lvlText w:val="•"/>
      <w:lvlJc w:val="left"/>
      <w:pPr>
        <w:ind w:left="8716" w:hanging="293"/>
      </w:pPr>
      <w:rPr>
        <w:rFonts w:hint="default"/>
        <w:lang w:val="es-ES" w:eastAsia="es-ES" w:bidi="es-ES"/>
      </w:rPr>
    </w:lvl>
  </w:abstractNum>
  <w:abstractNum w:abstractNumId="338">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337">
    <w:multiLevelType w:val="hybridMultilevel"/>
    <w:lvl w:ilvl="0">
      <w:start w:val="1"/>
      <w:numFmt w:val="decimal"/>
      <w:lvlText w:val="%1."/>
      <w:lvlJc w:val="left"/>
      <w:pPr>
        <w:ind w:left="1074" w:hanging="22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8"/>
      </w:pPr>
      <w:rPr>
        <w:rFonts w:hint="default"/>
        <w:lang w:val="es-ES" w:eastAsia="es-ES" w:bidi="es-ES"/>
      </w:rPr>
    </w:lvl>
    <w:lvl w:ilvl="2">
      <w:start w:val="0"/>
      <w:numFmt w:val="bullet"/>
      <w:lvlText w:val="•"/>
      <w:lvlJc w:val="left"/>
      <w:pPr>
        <w:ind w:left="2989" w:hanging="228"/>
      </w:pPr>
      <w:rPr>
        <w:rFonts w:hint="default"/>
        <w:lang w:val="es-ES" w:eastAsia="es-ES" w:bidi="es-ES"/>
      </w:rPr>
    </w:lvl>
    <w:lvl w:ilvl="3">
      <w:start w:val="0"/>
      <w:numFmt w:val="bullet"/>
      <w:lvlText w:val="•"/>
      <w:lvlJc w:val="left"/>
      <w:pPr>
        <w:ind w:left="3943" w:hanging="228"/>
      </w:pPr>
      <w:rPr>
        <w:rFonts w:hint="default"/>
        <w:lang w:val="es-ES" w:eastAsia="es-ES" w:bidi="es-ES"/>
      </w:rPr>
    </w:lvl>
    <w:lvl w:ilvl="4">
      <w:start w:val="0"/>
      <w:numFmt w:val="bullet"/>
      <w:lvlText w:val="•"/>
      <w:lvlJc w:val="left"/>
      <w:pPr>
        <w:ind w:left="4898" w:hanging="228"/>
      </w:pPr>
      <w:rPr>
        <w:rFonts w:hint="default"/>
        <w:lang w:val="es-ES" w:eastAsia="es-ES" w:bidi="es-ES"/>
      </w:rPr>
    </w:lvl>
    <w:lvl w:ilvl="5">
      <w:start w:val="0"/>
      <w:numFmt w:val="bullet"/>
      <w:lvlText w:val="•"/>
      <w:lvlJc w:val="left"/>
      <w:pPr>
        <w:ind w:left="5852" w:hanging="228"/>
      </w:pPr>
      <w:rPr>
        <w:rFonts w:hint="default"/>
        <w:lang w:val="es-ES" w:eastAsia="es-ES" w:bidi="es-ES"/>
      </w:rPr>
    </w:lvl>
    <w:lvl w:ilvl="6">
      <w:start w:val="0"/>
      <w:numFmt w:val="bullet"/>
      <w:lvlText w:val="•"/>
      <w:lvlJc w:val="left"/>
      <w:pPr>
        <w:ind w:left="6807" w:hanging="228"/>
      </w:pPr>
      <w:rPr>
        <w:rFonts w:hint="default"/>
        <w:lang w:val="es-ES" w:eastAsia="es-ES" w:bidi="es-ES"/>
      </w:rPr>
    </w:lvl>
    <w:lvl w:ilvl="7">
      <w:start w:val="0"/>
      <w:numFmt w:val="bullet"/>
      <w:lvlText w:val="•"/>
      <w:lvlJc w:val="left"/>
      <w:pPr>
        <w:ind w:left="7761" w:hanging="228"/>
      </w:pPr>
      <w:rPr>
        <w:rFonts w:hint="default"/>
        <w:lang w:val="es-ES" w:eastAsia="es-ES" w:bidi="es-ES"/>
      </w:rPr>
    </w:lvl>
    <w:lvl w:ilvl="8">
      <w:start w:val="0"/>
      <w:numFmt w:val="bullet"/>
      <w:lvlText w:val="•"/>
      <w:lvlJc w:val="left"/>
      <w:pPr>
        <w:ind w:left="8716" w:hanging="228"/>
      </w:pPr>
      <w:rPr>
        <w:rFonts w:hint="default"/>
        <w:lang w:val="es-ES" w:eastAsia="es-ES" w:bidi="es-ES"/>
      </w:rPr>
    </w:lvl>
  </w:abstractNum>
  <w:abstractNum w:abstractNumId="336">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1"/>
      <w:numFmt w:val="lowerRoman"/>
      <w:lvlText w:val="%2."/>
      <w:lvlJc w:val="left"/>
      <w:pPr>
        <w:ind w:left="1074" w:hanging="227"/>
        <w:jc w:val="left"/>
      </w:pPr>
      <w:rPr>
        <w:rFonts w:hint="default" w:ascii="Arial" w:hAnsi="Arial" w:eastAsia="Arial" w:cs="Arial"/>
        <w:spacing w:val="-2"/>
        <w:w w:val="100"/>
        <w:sz w:val="20"/>
        <w:szCs w:val="20"/>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335">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34">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1"/>
      <w:numFmt w:val="lowerRoman"/>
      <w:lvlText w:val="%2."/>
      <w:lvlJc w:val="left"/>
      <w:pPr>
        <w:ind w:left="1074" w:hanging="227"/>
        <w:jc w:val="left"/>
      </w:pPr>
      <w:rPr>
        <w:rFonts w:hint="default" w:ascii="Arial" w:hAnsi="Arial" w:eastAsia="Arial" w:cs="Arial"/>
        <w:spacing w:val="-2"/>
        <w:w w:val="100"/>
        <w:sz w:val="20"/>
        <w:szCs w:val="20"/>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333">
    <w:multiLevelType w:val="hybridMultilevel"/>
    <w:lvl w:ilvl="0">
      <w:start w:val="1"/>
      <w:numFmt w:val="lowerLetter"/>
      <w:lvlText w:val="%1)"/>
      <w:lvlJc w:val="left"/>
      <w:pPr>
        <w:ind w:left="1074" w:hanging="274"/>
        <w:jc w:val="left"/>
      </w:pPr>
      <w:rPr>
        <w:rFonts w:hint="default" w:ascii="Arial" w:hAnsi="Arial" w:eastAsia="Arial" w:cs="Arial"/>
        <w:spacing w:val="-16"/>
        <w:w w:val="100"/>
        <w:sz w:val="20"/>
        <w:szCs w:val="20"/>
        <w:lang w:val="es-ES" w:eastAsia="es-ES" w:bidi="es-ES"/>
      </w:rPr>
    </w:lvl>
    <w:lvl w:ilvl="1">
      <w:start w:val="0"/>
      <w:numFmt w:val="bullet"/>
      <w:lvlText w:val="•"/>
      <w:lvlJc w:val="left"/>
      <w:pPr>
        <w:ind w:left="2034" w:hanging="274"/>
      </w:pPr>
      <w:rPr>
        <w:rFonts w:hint="default"/>
        <w:lang w:val="es-ES" w:eastAsia="es-ES" w:bidi="es-ES"/>
      </w:rPr>
    </w:lvl>
    <w:lvl w:ilvl="2">
      <w:start w:val="0"/>
      <w:numFmt w:val="bullet"/>
      <w:lvlText w:val="•"/>
      <w:lvlJc w:val="left"/>
      <w:pPr>
        <w:ind w:left="2989" w:hanging="274"/>
      </w:pPr>
      <w:rPr>
        <w:rFonts w:hint="default"/>
        <w:lang w:val="es-ES" w:eastAsia="es-ES" w:bidi="es-ES"/>
      </w:rPr>
    </w:lvl>
    <w:lvl w:ilvl="3">
      <w:start w:val="0"/>
      <w:numFmt w:val="bullet"/>
      <w:lvlText w:val="•"/>
      <w:lvlJc w:val="left"/>
      <w:pPr>
        <w:ind w:left="3943" w:hanging="274"/>
      </w:pPr>
      <w:rPr>
        <w:rFonts w:hint="default"/>
        <w:lang w:val="es-ES" w:eastAsia="es-ES" w:bidi="es-ES"/>
      </w:rPr>
    </w:lvl>
    <w:lvl w:ilvl="4">
      <w:start w:val="0"/>
      <w:numFmt w:val="bullet"/>
      <w:lvlText w:val="•"/>
      <w:lvlJc w:val="left"/>
      <w:pPr>
        <w:ind w:left="4898" w:hanging="274"/>
      </w:pPr>
      <w:rPr>
        <w:rFonts w:hint="default"/>
        <w:lang w:val="es-ES" w:eastAsia="es-ES" w:bidi="es-ES"/>
      </w:rPr>
    </w:lvl>
    <w:lvl w:ilvl="5">
      <w:start w:val="0"/>
      <w:numFmt w:val="bullet"/>
      <w:lvlText w:val="•"/>
      <w:lvlJc w:val="left"/>
      <w:pPr>
        <w:ind w:left="5852" w:hanging="274"/>
      </w:pPr>
      <w:rPr>
        <w:rFonts w:hint="default"/>
        <w:lang w:val="es-ES" w:eastAsia="es-ES" w:bidi="es-ES"/>
      </w:rPr>
    </w:lvl>
    <w:lvl w:ilvl="6">
      <w:start w:val="0"/>
      <w:numFmt w:val="bullet"/>
      <w:lvlText w:val="•"/>
      <w:lvlJc w:val="left"/>
      <w:pPr>
        <w:ind w:left="6807" w:hanging="274"/>
      </w:pPr>
      <w:rPr>
        <w:rFonts w:hint="default"/>
        <w:lang w:val="es-ES" w:eastAsia="es-ES" w:bidi="es-ES"/>
      </w:rPr>
    </w:lvl>
    <w:lvl w:ilvl="7">
      <w:start w:val="0"/>
      <w:numFmt w:val="bullet"/>
      <w:lvlText w:val="•"/>
      <w:lvlJc w:val="left"/>
      <w:pPr>
        <w:ind w:left="7761" w:hanging="274"/>
      </w:pPr>
      <w:rPr>
        <w:rFonts w:hint="default"/>
        <w:lang w:val="es-ES" w:eastAsia="es-ES" w:bidi="es-ES"/>
      </w:rPr>
    </w:lvl>
    <w:lvl w:ilvl="8">
      <w:start w:val="0"/>
      <w:numFmt w:val="bullet"/>
      <w:lvlText w:val="•"/>
      <w:lvlJc w:val="left"/>
      <w:pPr>
        <w:ind w:left="8716" w:hanging="274"/>
      </w:pPr>
      <w:rPr>
        <w:rFonts w:hint="default"/>
        <w:lang w:val="es-ES" w:eastAsia="es-ES" w:bidi="es-ES"/>
      </w:rPr>
    </w:lvl>
  </w:abstractNum>
  <w:abstractNum w:abstractNumId="332">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1"/>
      <w:numFmt w:val="lowerRoman"/>
      <w:lvlText w:val="%2."/>
      <w:lvlJc w:val="left"/>
      <w:pPr>
        <w:ind w:left="1074" w:hanging="227"/>
        <w:jc w:val="left"/>
      </w:pPr>
      <w:rPr>
        <w:rFonts w:hint="default" w:ascii="Arial" w:hAnsi="Arial" w:eastAsia="Arial" w:cs="Arial"/>
        <w:spacing w:val="-20"/>
        <w:w w:val="100"/>
        <w:sz w:val="20"/>
        <w:szCs w:val="20"/>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331">
    <w:multiLevelType w:val="hybridMultilevel"/>
    <w:lvl w:ilvl="0">
      <w:start w:val="11"/>
      <w:numFmt w:val="lowerLetter"/>
      <w:lvlText w:val="%1)"/>
      <w:lvlJc w:val="left"/>
      <w:pPr>
        <w:ind w:left="1296" w:hanging="223"/>
        <w:jc w:val="left"/>
      </w:pPr>
      <w:rPr>
        <w:rFonts w:hint="default" w:ascii="Arial" w:hAnsi="Arial" w:eastAsia="Arial" w:cs="Arial"/>
        <w:spacing w:val="-1"/>
        <w:w w:val="100"/>
        <w:sz w:val="20"/>
        <w:szCs w:val="20"/>
        <w:lang w:val="es-ES" w:eastAsia="es-ES" w:bidi="es-ES"/>
      </w:rPr>
    </w:lvl>
    <w:lvl w:ilvl="1">
      <w:start w:val="1"/>
      <w:numFmt w:val="lowerLetter"/>
      <w:lvlText w:val="%2)"/>
      <w:lvlJc w:val="left"/>
      <w:pPr>
        <w:ind w:left="1647" w:hanging="234"/>
        <w:jc w:val="left"/>
      </w:pPr>
      <w:rPr>
        <w:rFonts w:hint="default" w:ascii="Arial" w:hAnsi="Arial" w:eastAsia="Arial" w:cs="Arial"/>
        <w:spacing w:val="-1"/>
        <w:w w:val="100"/>
        <w:sz w:val="20"/>
        <w:szCs w:val="20"/>
        <w:lang w:val="es-ES" w:eastAsia="es-ES" w:bidi="es-ES"/>
      </w:rPr>
    </w:lvl>
    <w:lvl w:ilvl="2">
      <w:start w:val="0"/>
      <w:numFmt w:val="bullet"/>
      <w:lvlText w:val="•"/>
      <w:lvlJc w:val="left"/>
      <w:pPr>
        <w:ind w:left="2638" w:hanging="234"/>
      </w:pPr>
      <w:rPr>
        <w:rFonts w:hint="default"/>
        <w:lang w:val="es-ES" w:eastAsia="es-ES" w:bidi="es-ES"/>
      </w:rPr>
    </w:lvl>
    <w:lvl w:ilvl="3">
      <w:start w:val="0"/>
      <w:numFmt w:val="bullet"/>
      <w:lvlText w:val="•"/>
      <w:lvlJc w:val="left"/>
      <w:pPr>
        <w:ind w:left="3636" w:hanging="234"/>
      </w:pPr>
      <w:rPr>
        <w:rFonts w:hint="default"/>
        <w:lang w:val="es-ES" w:eastAsia="es-ES" w:bidi="es-ES"/>
      </w:rPr>
    </w:lvl>
    <w:lvl w:ilvl="4">
      <w:start w:val="0"/>
      <w:numFmt w:val="bullet"/>
      <w:lvlText w:val="•"/>
      <w:lvlJc w:val="left"/>
      <w:pPr>
        <w:ind w:left="4635" w:hanging="234"/>
      </w:pPr>
      <w:rPr>
        <w:rFonts w:hint="default"/>
        <w:lang w:val="es-ES" w:eastAsia="es-ES" w:bidi="es-ES"/>
      </w:rPr>
    </w:lvl>
    <w:lvl w:ilvl="5">
      <w:start w:val="0"/>
      <w:numFmt w:val="bullet"/>
      <w:lvlText w:val="•"/>
      <w:lvlJc w:val="left"/>
      <w:pPr>
        <w:ind w:left="5633" w:hanging="234"/>
      </w:pPr>
      <w:rPr>
        <w:rFonts w:hint="default"/>
        <w:lang w:val="es-ES" w:eastAsia="es-ES" w:bidi="es-ES"/>
      </w:rPr>
    </w:lvl>
    <w:lvl w:ilvl="6">
      <w:start w:val="0"/>
      <w:numFmt w:val="bullet"/>
      <w:lvlText w:val="•"/>
      <w:lvlJc w:val="left"/>
      <w:pPr>
        <w:ind w:left="6631" w:hanging="234"/>
      </w:pPr>
      <w:rPr>
        <w:rFonts w:hint="default"/>
        <w:lang w:val="es-ES" w:eastAsia="es-ES" w:bidi="es-ES"/>
      </w:rPr>
    </w:lvl>
    <w:lvl w:ilvl="7">
      <w:start w:val="0"/>
      <w:numFmt w:val="bullet"/>
      <w:lvlText w:val="•"/>
      <w:lvlJc w:val="left"/>
      <w:pPr>
        <w:ind w:left="7630" w:hanging="234"/>
      </w:pPr>
      <w:rPr>
        <w:rFonts w:hint="default"/>
        <w:lang w:val="es-ES" w:eastAsia="es-ES" w:bidi="es-ES"/>
      </w:rPr>
    </w:lvl>
    <w:lvl w:ilvl="8">
      <w:start w:val="0"/>
      <w:numFmt w:val="bullet"/>
      <w:lvlText w:val="•"/>
      <w:lvlJc w:val="left"/>
      <w:pPr>
        <w:ind w:left="8628" w:hanging="234"/>
      </w:pPr>
      <w:rPr>
        <w:rFonts w:hint="default"/>
        <w:lang w:val="es-ES" w:eastAsia="es-ES" w:bidi="es-ES"/>
      </w:rPr>
    </w:lvl>
  </w:abstractNum>
  <w:abstractNum w:abstractNumId="330">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1"/>
      <w:numFmt w:val="lowerRoman"/>
      <w:lvlText w:val="%2."/>
      <w:lvlJc w:val="left"/>
      <w:pPr>
        <w:ind w:left="1074" w:hanging="227"/>
        <w:jc w:val="left"/>
      </w:pPr>
      <w:rPr>
        <w:rFonts w:hint="default" w:ascii="Arial" w:hAnsi="Arial" w:eastAsia="Arial" w:cs="Arial"/>
        <w:spacing w:val="-20"/>
        <w:w w:val="100"/>
        <w:sz w:val="20"/>
        <w:szCs w:val="20"/>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329">
    <w:multiLevelType w:val="hybridMultilevel"/>
    <w:lvl w:ilvl="0">
      <w:start w:val="1"/>
      <w:numFmt w:val="lowerLetter"/>
      <w:lvlText w:val="%1)"/>
      <w:lvlJc w:val="left"/>
      <w:pPr>
        <w:ind w:left="107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3"/>
      </w:pPr>
      <w:rPr>
        <w:rFonts w:hint="default"/>
        <w:lang w:val="es-ES" w:eastAsia="es-ES" w:bidi="es-ES"/>
      </w:rPr>
    </w:lvl>
    <w:lvl w:ilvl="2">
      <w:start w:val="0"/>
      <w:numFmt w:val="bullet"/>
      <w:lvlText w:val="•"/>
      <w:lvlJc w:val="left"/>
      <w:pPr>
        <w:ind w:left="2989" w:hanging="243"/>
      </w:pPr>
      <w:rPr>
        <w:rFonts w:hint="default"/>
        <w:lang w:val="es-ES" w:eastAsia="es-ES" w:bidi="es-ES"/>
      </w:rPr>
    </w:lvl>
    <w:lvl w:ilvl="3">
      <w:start w:val="0"/>
      <w:numFmt w:val="bullet"/>
      <w:lvlText w:val="•"/>
      <w:lvlJc w:val="left"/>
      <w:pPr>
        <w:ind w:left="3943" w:hanging="243"/>
      </w:pPr>
      <w:rPr>
        <w:rFonts w:hint="default"/>
        <w:lang w:val="es-ES" w:eastAsia="es-ES" w:bidi="es-ES"/>
      </w:rPr>
    </w:lvl>
    <w:lvl w:ilvl="4">
      <w:start w:val="0"/>
      <w:numFmt w:val="bullet"/>
      <w:lvlText w:val="•"/>
      <w:lvlJc w:val="left"/>
      <w:pPr>
        <w:ind w:left="4898" w:hanging="243"/>
      </w:pPr>
      <w:rPr>
        <w:rFonts w:hint="default"/>
        <w:lang w:val="es-ES" w:eastAsia="es-ES" w:bidi="es-ES"/>
      </w:rPr>
    </w:lvl>
    <w:lvl w:ilvl="5">
      <w:start w:val="0"/>
      <w:numFmt w:val="bullet"/>
      <w:lvlText w:val="•"/>
      <w:lvlJc w:val="left"/>
      <w:pPr>
        <w:ind w:left="5852" w:hanging="243"/>
      </w:pPr>
      <w:rPr>
        <w:rFonts w:hint="default"/>
        <w:lang w:val="es-ES" w:eastAsia="es-ES" w:bidi="es-ES"/>
      </w:rPr>
    </w:lvl>
    <w:lvl w:ilvl="6">
      <w:start w:val="0"/>
      <w:numFmt w:val="bullet"/>
      <w:lvlText w:val="•"/>
      <w:lvlJc w:val="left"/>
      <w:pPr>
        <w:ind w:left="6807" w:hanging="243"/>
      </w:pPr>
      <w:rPr>
        <w:rFonts w:hint="default"/>
        <w:lang w:val="es-ES" w:eastAsia="es-ES" w:bidi="es-ES"/>
      </w:rPr>
    </w:lvl>
    <w:lvl w:ilvl="7">
      <w:start w:val="0"/>
      <w:numFmt w:val="bullet"/>
      <w:lvlText w:val="•"/>
      <w:lvlJc w:val="left"/>
      <w:pPr>
        <w:ind w:left="7761" w:hanging="243"/>
      </w:pPr>
      <w:rPr>
        <w:rFonts w:hint="default"/>
        <w:lang w:val="es-ES" w:eastAsia="es-ES" w:bidi="es-ES"/>
      </w:rPr>
    </w:lvl>
    <w:lvl w:ilvl="8">
      <w:start w:val="0"/>
      <w:numFmt w:val="bullet"/>
      <w:lvlText w:val="•"/>
      <w:lvlJc w:val="left"/>
      <w:pPr>
        <w:ind w:left="8716" w:hanging="243"/>
      </w:pPr>
      <w:rPr>
        <w:rFonts w:hint="default"/>
        <w:lang w:val="es-ES" w:eastAsia="es-ES" w:bidi="es-ES"/>
      </w:rPr>
    </w:lvl>
  </w:abstractNum>
  <w:abstractNum w:abstractNumId="328">
    <w:multiLevelType w:val="hybridMultilevel"/>
    <w:lvl w:ilvl="0">
      <w:start w:val="1"/>
      <w:numFmt w:val="decimal"/>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327">
    <w:multiLevelType w:val="hybridMultilevel"/>
    <w:lvl w:ilvl="0">
      <w:start w:val="1"/>
      <w:numFmt w:val="lowerLetter"/>
      <w:lvlText w:val="%1)"/>
      <w:lvlJc w:val="left"/>
      <w:pPr>
        <w:ind w:left="1074" w:hanging="2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034" w:hanging="267"/>
      </w:pPr>
      <w:rPr>
        <w:rFonts w:hint="default"/>
        <w:lang w:val="es-ES" w:eastAsia="es-ES" w:bidi="es-ES"/>
      </w:rPr>
    </w:lvl>
    <w:lvl w:ilvl="2">
      <w:start w:val="0"/>
      <w:numFmt w:val="bullet"/>
      <w:lvlText w:val="•"/>
      <w:lvlJc w:val="left"/>
      <w:pPr>
        <w:ind w:left="2989" w:hanging="267"/>
      </w:pPr>
      <w:rPr>
        <w:rFonts w:hint="default"/>
        <w:lang w:val="es-ES" w:eastAsia="es-ES" w:bidi="es-ES"/>
      </w:rPr>
    </w:lvl>
    <w:lvl w:ilvl="3">
      <w:start w:val="0"/>
      <w:numFmt w:val="bullet"/>
      <w:lvlText w:val="•"/>
      <w:lvlJc w:val="left"/>
      <w:pPr>
        <w:ind w:left="3943" w:hanging="267"/>
      </w:pPr>
      <w:rPr>
        <w:rFonts w:hint="default"/>
        <w:lang w:val="es-ES" w:eastAsia="es-ES" w:bidi="es-ES"/>
      </w:rPr>
    </w:lvl>
    <w:lvl w:ilvl="4">
      <w:start w:val="0"/>
      <w:numFmt w:val="bullet"/>
      <w:lvlText w:val="•"/>
      <w:lvlJc w:val="left"/>
      <w:pPr>
        <w:ind w:left="4898" w:hanging="267"/>
      </w:pPr>
      <w:rPr>
        <w:rFonts w:hint="default"/>
        <w:lang w:val="es-ES" w:eastAsia="es-ES" w:bidi="es-ES"/>
      </w:rPr>
    </w:lvl>
    <w:lvl w:ilvl="5">
      <w:start w:val="0"/>
      <w:numFmt w:val="bullet"/>
      <w:lvlText w:val="•"/>
      <w:lvlJc w:val="left"/>
      <w:pPr>
        <w:ind w:left="5852" w:hanging="267"/>
      </w:pPr>
      <w:rPr>
        <w:rFonts w:hint="default"/>
        <w:lang w:val="es-ES" w:eastAsia="es-ES" w:bidi="es-ES"/>
      </w:rPr>
    </w:lvl>
    <w:lvl w:ilvl="6">
      <w:start w:val="0"/>
      <w:numFmt w:val="bullet"/>
      <w:lvlText w:val="•"/>
      <w:lvlJc w:val="left"/>
      <w:pPr>
        <w:ind w:left="6807" w:hanging="267"/>
      </w:pPr>
      <w:rPr>
        <w:rFonts w:hint="default"/>
        <w:lang w:val="es-ES" w:eastAsia="es-ES" w:bidi="es-ES"/>
      </w:rPr>
    </w:lvl>
    <w:lvl w:ilvl="7">
      <w:start w:val="0"/>
      <w:numFmt w:val="bullet"/>
      <w:lvlText w:val="•"/>
      <w:lvlJc w:val="left"/>
      <w:pPr>
        <w:ind w:left="7761" w:hanging="267"/>
      </w:pPr>
      <w:rPr>
        <w:rFonts w:hint="default"/>
        <w:lang w:val="es-ES" w:eastAsia="es-ES" w:bidi="es-ES"/>
      </w:rPr>
    </w:lvl>
    <w:lvl w:ilvl="8">
      <w:start w:val="0"/>
      <w:numFmt w:val="bullet"/>
      <w:lvlText w:val="•"/>
      <w:lvlJc w:val="left"/>
      <w:pPr>
        <w:ind w:left="8716" w:hanging="267"/>
      </w:pPr>
      <w:rPr>
        <w:rFonts w:hint="default"/>
        <w:lang w:val="es-ES" w:eastAsia="es-ES" w:bidi="es-ES"/>
      </w:rPr>
    </w:lvl>
  </w:abstractNum>
  <w:abstractNum w:abstractNumId="326">
    <w:multiLevelType w:val="hybridMultilevel"/>
    <w:lvl w:ilvl="0">
      <w:start w:val="1"/>
      <w:numFmt w:val="lowerLetter"/>
      <w:lvlText w:val="%1)"/>
      <w:lvlJc w:val="left"/>
      <w:pPr>
        <w:ind w:left="1074" w:hanging="264"/>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64"/>
      </w:pPr>
      <w:rPr>
        <w:rFonts w:hint="default"/>
        <w:lang w:val="es-ES" w:eastAsia="es-ES" w:bidi="es-ES"/>
      </w:rPr>
    </w:lvl>
    <w:lvl w:ilvl="2">
      <w:start w:val="0"/>
      <w:numFmt w:val="bullet"/>
      <w:lvlText w:val="•"/>
      <w:lvlJc w:val="left"/>
      <w:pPr>
        <w:ind w:left="2989" w:hanging="264"/>
      </w:pPr>
      <w:rPr>
        <w:rFonts w:hint="default"/>
        <w:lang w:val="es-ES" w:eastAsia="es-ES" w:bidi="es-ES"/>
      </w:rPr>
    </w:lvl>
    <w:lvl w:ilvl="3">
      <w:start w:val="0"/>
      <w:numFmt w:val="bullet"/>
      <w:lvlText w:val="•"/>
      <w:lvlJc w:val="left"/>
      <w:pPr>
        <w:ind w:left="3943" w:hanging="264"/>
      </w:pPr>
      <w:rPr>
        <w:rFonts w:hint="default"/>
        <w:lang w:val="es-ES" w:eastAsia="es-ES" w:bidi="es-ES"/>
      </w:rPr>
    </w:lvl>
    <w:lvl w:ilvl="4">
      <w:start w:val="0"/>
      <w:numFmt w:val="bullet"/>
      <w:lvlText w:val="•"/>
      <w:lvlJc w:val="left"/>
      <w:pPr>
        <w:ind w:left="4898" w:hanging="264"/>
      </w:pPr>
      <w:rPr>
        <w:rFonts w:hint="default"/>
        <w:lang w:val="es-ES" w:eastAsia="es-ES" w:bidi="es-ES"/>
      </w:rPr>
    </w:lvl>
    <w:lvl w:ilvl="5">
      <w:start w:val="0"/>
      <w:numFmt w:val="bullet"/>
      <w:lvlText w:val="•"/>
      <w:lvlJc w:val="left"/>
      <w:pPr>
        <w:ind w:left="5852" w:hanging="264"/>
      </w:pPr>
      <w:rPr>
        <w:rFonts w:hint="default"/>
        <w:lang w:val="es-ES" w:eastAsia="es-ES" w:bidi="es-ES"/>
      </w:rPr>
    </w:lvl>
    <w:lvl w:ilvl="6">
      <w:start w:val="0"/>
      <w:numFmt w:val="bullet"/>
      <w:lvlText w:val="•"/>
      <w:lvlJc w:val="left"/>
      <w:pPr>
        <w:ind w:left="6807" w:hanging="264"/>
      </w:pPr>
      <w:rPr>
        <w:rFonts w:hint="default"/>
        <w:lang w:val="es-ES" w:eastAsia="es-ES" w:bidi="es-ES"/>
      </w:rPr>
    </w:lvl>
    <w:lvl w:ilvl="7">
      <w:start w:val="0"/>
      <w:numFmt w:val="bullet"/>
      <w:lvlText w:val="•"/>
      <w:lvlJc w:val="left"/>
      <w:pPr>
        <w:ind w:left="7761" w:hanging="264"/>
      </w:pPr>
      <w:rPr>
        <w:rFonts w:hint="default"/>
        <w:lang w:val="es-ES" w:eastAsia="es-ES" w:bidi="es-ES"/>
      </w:rPr>
    </w:lvl>
    <w:lvl w:ilvl="8">
      <w:start w:val="0"/>
      <w:numFmt w:val="bullet"/>
      <w:lvlText w:val="•"/>
      <w:lvlJc w:val="left"/>
      <w:pPr>
        <w:ind w:left="8716" w:hanging="264"/>
      </w:pPr>
      <w:rPr>
        <w:rFonts w:hint="default"/>
        <w:lang w:val="es-ES" w:eastAsia="es-ES" w:bidi="es-ES"/>
      </w:rPr>
    </w:lvl>
  </w:abstractNum>
  <w:abstractNum w:abstractNumId="325">
    <w:multiLevelType w:val="hybridMultilevel"/>
    <w:lvl w:ilvl="0">
      <w:start w:val="1"/>
      <w:numFmt w:val="decimal"/>
      <w:lvlText w:val="%1."/>
      <w:lvlJc w:val="left"/>
      <w:pPr>
        <w:ind w:left="1074" w:hanging="22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9"/>
      </w:pPr>
      <w:rPr>
        <w:rFonts w:hint="default"/>
        <w:lang w:val="es-ES" w:eastAsia="es-ES" w:bidi="es-ES"/>
      </w:rPr>
    </w:lvl>
    <w:lvl w:ilvl="2">
      <w:start w:val="0"/>
      <w:numFmt w:val="bullet"/>
      <w:lvlText w:val="•"/>
      <w:lvlJc w:val="left"/>
      <w:pPr>
        <w:ind w:left="2989" w:hanging="229"/>
      </w:pPr>
      <w:rPr>
        <w:rFonts w:hint="default"/>
        <w:lang w:val="es-ES" w:eastAsia="es-ES" w:bidi="es-ES"/>
      </w:rPr>
    </w:lvl>
    <w:lvl w:ilvl="3">
      <w:start w:val="0"/>
      <w:numFmt w:val="bullet"/>
      <w:lvlText w:val="•"/>
      <w:lvlJc w:val="left"/>
      <w:pPr>
        <w:ind w:left="3943" w:hanging="229"/>
      </w:pPr>
      <w:rPr>
        <w:rFonts w:hint="default"/>
        <w:lang w:val="es-ES" w:eastAsia="es-ES" w:bidi="es-ES"/>
      </w:rPr>
    </w:lvl>
    <w:lvl w:ilvl="4">
      <w:start w:val="0"/>
      <w:numFmt w:val="bullet"/>
      <w:lvlText w:val="•"/>
      <w:lvlJc w:val="left"/>
      <w:pPr>
        <w:ind w:left="4898" w:hanging="229"/>
      </w:pPr>
      <w:rPr>
        <w:rFonts w:hint="default"/>
        <w:lang w:val="es-ES" w:eastAsia="es-ES" w:bidi="es-ES"/>
      </w:rPr>
    </w:lvl>
    <w:lvl w:ilvl="5">
      <w:start w:val="0"/>
      <w:numFmt w:val="bullet"/>
      <w:lvlText w:val="•"/>
      <w:lvlJc w:val="left"/>
      <w:pPr>
        <w:ind w:left="5852" w:hanging="229"/>
      </w:pPr>
      <w:rPr>
        <w:rFonts w:hint="default"/>
        <w:lang w:val="es-ES" w:eastAsia="es-ES" w:bidi="es-ES"/>
      </w:rPr>
    </w:lvl>
    <w:lvl w:ilvl="6">
      <w:start w:val="0"/>
      <w:numFmt w:val="bullet"/>
      <w:lvlText w:val="•"/>
      <w:lvlJc w:val="left"/>
      <w:pPr>
        <w:ind w:left="6807" w:hanging="229"/>
      </w:pPr>
      <w:rPr>
        <w:rFonts w:hint="default"/>
        <w:lang w:val="es-ES" w:eastAsia="es-ES" w:bidi="es-ES"/>
      </w:rPr>
    </w:lvl>
    <w:lvl w:ilvl="7">
      <w:start w:val="0"/>
      <w:numFmt w:val="bullet"/>
      <w:lvlText w:val="•"/>
      <w:lvlJc w:val="left"/>
      <w:pPr>
        <w:ind w:left="7761" w:hanging="229"/>
      </w:pPr>
      <w:rPr>
        <w:rFonts w:hint="default"/>
        <w:lang w:val="es-ES" w:eastAsia="es-ES" w:bidi="es-ES"/>
      </w:rPr>
    </w:lvl>
    <w:lvl w:ilvl="8">
      <w:start w:val="0"/>
      <w:numFmt w:val="bullet"/>
      <w:lvlText w:val="•"/>
      <w:lvlJc w:val="left"/>
      <w:pPr>
        <w:ind w:left="8716" w:hanging="229"/>
      </w:pPr>
      <w:rPr>
        <w:rFonts w:hint="default"/>
        <w:lang w:val="es-ES" w:eastAsia="es-ES" w:bidi="es-ES"/>
      </w:rPr>
    </w:lvl>
  </w:abstractNum>
  <w:abstractNum w:abstractNumId="324">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23">
    <w:multiLevelType w:val="hybridMultilevel"/>
    <w:lvl w:ilvl="0">
      <w:start w:val="1"/>
      <w:numFmt w:val="decimal"/>
      <w:lvlText w:val="%1."/>
      <w:lvlJc w:val="left"/>
      <w:pPr>
        <w:ind w:left="1074" w:hanging="23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3"/>
      </w:pPr>
      <w:rPr>
        <w:rFonts w:hint="default"/>
        <w:lang w:val="es-ES" w:eastAsia="es-ES" w:bidi="es-ES"/>
      </w:rPr>
    </w:lvl>
    <w:lvl w:ilvl="2">
      <w:start w:val="0"/>
      <w:numFmt w:val="bullet"/>
      <w:lvlText w:val="•"/>
      <w:lvlJc w:val="left"/>
      <w:pPr>
        <w:ind w:left="2989" w:hanging="233"/>
      </w:pPr>
      <w:rPr>
        <w:rFonts w:hint="default"/>
        <w:lang w:val="es-ES" w:eastAsia="es-ES" w:bidi="es-ES"/>
      </w:rPr>
    </w:lvl>
    <w:lvl w:ilvl="3">
      <w:start w:val="0"/>
      <w:numFmt w:val="bullet"/>
      <w:lvlText w:val="•"/>
      <w:lvlJc w:val="left"/>
      <w:pPr>
        <w:ind w:left="3943" w:hanging="233"/>
      </w:pPr>
      <w:rPr>
        <w:rFonts w:hint="default"/>
        <w:lang w:val="es-ES" w:eastAsia="es-ES" w:bidi="es-ES"/>
      </w:rPr>
    </w:lvl>
    <w:lvl w:ilvl="4">
      <w:start w:val="0"/>
      <w:numFmt w:val="bullet"/>
      <w:lvlText w:val="•"/>
      <w:lvlJc w:val="left"/>
      <w:pPr>
        <w:ind w:left="4898" w:hanging="233"/>
      </w:pPr>
      <w:rPr>
        <w:rFonts w:hint="default"/>
        <w:lang w:val="es-ES" w:eastAsia="es-ES" w:bidi="es-ES"/>
      </w:rPr>
    </w:lvl>
    <w:lvl w:ilvl="5">
      <w:start w:val="0"/>
      <w:numFmt w:val="bullet"/>
      <w:lvlText w:val="•"/>
      <w:lvlJc w:val="left"/>
      <w:pPr>
        <w:ind w:left="5852" w:hanging="233"/>
      </w:pPr>
      <w:rPr>
        <w:rFonts w:hint="default"/>
        <w:lang w:val="es-ES" w:eastAsia="es-ES" w:bidi="es-ES"/>
      </w:rPr>
    </w:lvl>
    <w:lvl w:ilvl="6">
      <w:start w:val="0"/>
      <w:numFmt w:val="bullet"/>
      <w:lvlText w:val="•"/>
      <w:lvlJc w:val="left"/>
      <w:pPr>
        <w:ind w:left="6807" w:hanging="233"/>
      </w:pPr>
      <w:rPr>
        <w:rFonts w:hint="default"/>
        <w:lang w:val="es-ES" w:eastAsia="es-ES" w:bidi="es-ES"/>
      </w:rPr>
    </w:lvl>
    <w:lvl w:ilvl="7">
      <w:start w:val="0"/>
      <w:numFmt w:val="bullet"/>
      <w:lvlText w:val="•"/>
      <w:lvlJc w:val="left"/>
      <w:pPr>
        <w:ind w:left="7761" w:hanging="233"/>
      </w:pPr>
      <w:rPr>
        <w:rFonts w:hint="default"/>
        <w:lang w:val="es-ES" w:eastAsia="es-ES" w:bidi="es-ES"/>
      </w:rPr>
    </w:lvl>
    <w:lvl w:ilvl="8">
      <w:start w:val="0"/>
      <w:numFmt w:val="bullet"/>
      <w:lvlText w:val="•"/>
      <w:lvlJc w:val="left"/>
      <w:pPr>
        <w:ind w:left="8716" w:hanging="233"/>
      </w:pPr>
      <w:rPr>
        <w:rFonts w:hint="default"/>
        <w:lang w:val="es-ES" w:eastAsia="es-ES" w:bidi="es-ES"/>
      </w:rPr>
    </w:lvl>
  </w:abstractNum>
  <w:abstractNum w:abstractNumId="322">
    <w:multiLevelType w:val="hybridMultilevel"/>
    <w:lvl w:ilvl="0">
      <w:start w:val="1"/>
      <w:numFmt w:val="lowerLetter"/>
      <w:lvlText w:val="%1)"/>
      <w:lvlJc w:val="left"/>
      <w:pPr>
        <w:ind w:left="1074" w:hanging="25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321">
    <w:multiLevelType w:val="hybridMultilevel"/>
    <w:lvl w:ilvl="0">
      <w:start w:val="1"/>
      <w:numFmt w:val="decimal"/>
      <w:lvlText w:val="%1."/>
      <w:lvlJc w:val="left"/>
      <w:pPr>
        <w:ind w:left="1074" w:hanging="28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3"/>
      </w:pPr>
      <w:rPr>
        <w:rFonts w:hint="default"/>
        <w:lang w:val="es-ES" w:eastAsia="es-ES" w:bidi="es-ES"/>
      </w:rPr>
    </w:lvl>
    <w:lvl w:ilvl="2">
      <w:start w:val="0"/>
      <w:numFmt w:val="bullet"/>
      <w:lvlText w:val="•"/>
      <w:lvlJc w:val="left"/>
      <w:pPr>
        <w:ind w:left="2989" w:hanging="283"/>
      </w:pPr>
      <w:rPr>
        <w:rFonts w:hint="default"/>
        <w:lang w:val="es-ES" w:eastAsia="es-ES" w:bidi="es-ES"/>
      </w:rPr>
    </w:lvl>
    <w:lvl w:ilvl="3">
      <w:start w:val="0"/>
      <w:numFmt w:val="bullet"/>
      <w:lvlText w:val="•"/>
      <w:lvlJc w:val="left"/>
      <w:pPr>
        <w:ind w:left="3943" w:hanging="283"/>
      </w:pPr>
      <w:rPr>
        <w:rFonts w:hint="default"/>
        <w:lang w:val="es-ES" w:eastAsia="es-ES" w:bidi="es-ES"/>
      </w:rPr>
    </w:lvl>
    <w:lvl w:ilvl="4">
      <w:start w:val="0"/>
      <w:numFmt w:val="bullet"/>
      <w:lvlText w:val="•"/>
      <w:lvlJc w:val="left"/>
      <w:pPr>
        <w:ind w:left="4898" w:hanging="283"/>
      </w:pPr>
      <w:rPr>
        <w:rFonts w:hint="default"/>
        <w:lang w:val="es-ES" w:eastAsia="es-ES" w:bidi="es-ES"/>
      </w:rPr>
    </w:lvl>
    <w:lvl w:ilvl="5">
      <w:start w:val="0"/>
      <w:numFmt w:val="bullet"/>
      <w:lvlText w:val="•"/>
      <w:lvlJc w:val="left"/>
      <w:pPr>
        <w:ind w:left="5852" w:hanging="283"/>
      </w:pPr>
      <w:rPr>
        <w:rFonts w:hint="default"/>
        <w:lang w:val="es-ES" w:eastAsia="es-ES" w:bidi="es-ES"/>
      </w:rPr>
    </w:lvl>
    <w:lvl w:ilvl="6">
      <w:start w:val="0"/>
      <w:numFmt w:val="bullet"/>
      <w:lvlText w:val="•"/>
      <w:lvlJc w:val="left"/>
      <w:pPr>
        <w:ind w:left="6807" w:hanging="283"/>
      </w:pPr>
      <w:rPr>
        <w:rFonts w:hint="default"/>
        <w:lang w:val="es-ES" w:eastAsia="es-ES" w:bidi="es-ES"/>
      </w:rPr>
    </w:lvl>
    <w:lvl w:ilvl="7">
      <w:start w:val="0"/>
      <w:numFmt w:val="bullet"/>
      <w:lvlText w:val="•"/>
      <w:lvlJc w:val="left"/>
      <w:pPr>
        <w:ind w:left="7761" w:hanging="283"/>
      </w:pPr>
      <w:rPr>
        <w:rFonts w:hint="default"/>
        <w:lang w:val="es-ES" w:eastAsia="es-ES" w:bidi="es-ES"/>
      </w:rPr>
    </w:lvl>
    <w:lvl w:ilvl="8">
      <w:start w:val="0"/>
      <w:numFmt w:val="bullet"/>
      <w:lvlText w:val="•"/>
      <w:lvlJc w:val="left"/>
      <w:pPr>
        <w:ind w:left="8716" w:hanging="283"/>
      </w:pPr>
      <w:rPr>
        <w:rFonts w:hint="default"/>
        <w:lang w:val="es-ES" w:eastAsia="es-ES" w:bidi="es-ES"/>
      </w:rPr>
    </w:lvl>
  </w:abstractNum>
  <w:abstractNum w:abstractNumId="320">
    <w:multiLevelType w:val="hybridMultilevel"/>
    <w:lvl w:ilvl="0">
      <w:start w:val="1"/>
      <w:numFmt w:val="decimal"/>
      <w:lvlText w:val="%1."/>
      <w:lvlJc w:val="left"/>
      <w:pPr>
        <w:ind w:left="1074" w:hanging="30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0"/>
      </w:pPr>
      <w:rPr>
        <w:rFonts w:hint="default"/>
        <w:lang w:val="es-ES" w:eastAsia="es-ES" w:bidi="es-ES"/>
      </w:rPr>
    </w:lvl>
    <w:lvl w:ilvl="2">
      <w:start w:val="0"/>
      <w:numFmt w:val="bullet"/>
      <w:lvlText w:val="•"/>
      <w:lvlJc w:val="left"/>
      <w:pPr>
        <w:ind w:left="2989" w:hanging="300"/>
      </w:pPr>
      <w:rPr>
        <w:rFonts w:hint="default"/>
        <w:lang w:val="es-ES" w:eastAsia="es-ES" w:bidi="es-ES"/>
      </w:rPr>
    </w:lvl>
    <w:lvl w:ilvl="3">
      <w:start w:val="0"/>
      <w:numFmt w:val="bullet"/>
      <w:lvlText w:val="•"/>
      <w:lvlJc w:val="left"/>
      <w:pPr>
        <w:ind w:left="3943" w:hanging="300"/>
      </w:pPr>
      <w:rPr>
        <w:rFonts w:hint="default"/>
        <w:lang w:val="es-ES" w:eastAsia="es-ES" w:bidi="es-ES"/>
      </w:rPr>
    </w:lvl>
    <w:lvl w:ilvl="4">
      <w:start w:val="0"/>
      <w:numFmt w:val="bullet"/>
      <w:lvlText w:val="•"/>
      <w:lvlJc w:val="left"/>
      <w:pPr>
        <w:ind w:left="4898" w:hanging="300"/>
      </w:pPr>
      <w:rPr>
        <w:rFonts w:hint="default"/>
        <w:lang w:val="es-ES" w:eastAsia="es-ES" w:bidi="es-ES"/>
      </w:rPr>
    </w:lvl>
    <w:lvl w:ilvl="5">
      <w:start w:val="0"/>
      <w:numFmt w:val="bullet"/>
      <w:lvlText w:val="•"/>
      <w:lvlJc w:val="left"/>
      <w:pPr>
        <w:ind w:left="5852" w:hanging="300"/>
      </w:pPr>
      <w:rPr>
        <w:rFonts w:hint="default"/>
        <w:lang w:val="es-ES" w:eastAsia="es-ES" w:bidi="es-ES"/>
      </w:rPr>
    </w:lvl>
    <w:lvl w:ilvl="6">
      <w:start w:val="0"/>
      <w:numFmt w:val="bullet"/>
      <w:lvlText w:val="•"/>
      <w:lvlJc w:val="left"/>
      <w:pPr>
        <w:ind w:left="6807" w:hanging="300"/>
      </w:pPr>
      <w:rPr>
        <w:rFonts w:hint="default"/>
        <w:lang w:val="es-ES" w:eastAsia="es-ES" w:bidi="es-ES"/>
      </w:rPr>
    </w:lvl>
    <w:lvl w:ilvl="7">
      <w:start w:val="0"/>
      <w:numFmt w:val="bullet"/>
      <w:lvlText w:val="•"/>
      <w:lvlJc w:val="left"/>
      <w:pPr>
        <w:ind w:left="7761" w:hanging="300"/>
      </w:pPr>
      <w:rPr>
        <w:rFonts w:hint="default"/>
        <w:lang w:val="es-ES" w:eastAsia="es-ES" w:bidi="es-ES"/>
      </w:rPr>
    </w:lvl>
    <w:lvl w:ilvl="8">
      <w:start w:val="0"/>
      <w:numFmt w:val="bullet"/>
      <w:lvlText w:val="•"/>
      <w:lvlJc w:val="left"/>
      <w:pPr>
        <w:ind w:left="8716" w:hanging="300"/>
      </w:pPr>
      <w:rPr>
        <w:rFonts w:hint="default"/>
        <w:lang w:val="es-ES" w:eastAsia="es-ES" w:bidi="es-ES"/>
      </w:rPr>
    </w:lvl>
  </w:abstractNum>
  <w:abstractNum w:abstractNumId="319">
    <w:multiLevelType w:val="hybridMultilevel"/>
    <w:lvl w:ilvl="0">
      <w:start w:val="1"/>
      <w:numFmt w:val="decimal"/>
      <w:lvlText w:val="%1."/>
      <w:lvlJc w:val="left"/>
      <w:pPr>
        <w:ind w:left="1074" w:hanging="251"/>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318">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6"/>
      </w:pPr>
      <w:rPr>
        <w:rFonts w:hint="default"/>
        <w:lang w:val="es-ES" w:eastAsia="es-ES" w:bidi="es-ES"/>
      </w:rPr>
    </w:lvl>
    <w:lvl w:ilvl="2">
      <w:start w:val="0"/>
      <w:numFmt w:val="bullet"/>
      <w:lvlText w:val="•"/>
      <w:lvlJc w:val="left"/>
      <w:pPr>
        <w:ind w:left="2989" w:hanging="226"/>
      </w:pPr>
      <w:rPr>
        <w:rFonts w:hint="default"/>
        <w:lang w:val="es-ES" w:eastAsia="es-ES" w:bidi="es-ES"/>
      </w:rPr>
    </w:lvl>
    <w:lvl w:ilvl="3">
      <w:start w:val="0"/>
      <w:numFmt w:val="bullet"/>
      <w:lvlText w:val="•"/>
      <w:lvlJc w:val="left"/>
      <w:pPr>
        <w:ind w:left="3943" w:hanging="226"/>
      </w:pPr>
      <w:rPr>
        <w:rFonts w:hint="default"/>
        <w:lang w:val="es-ES" w:eastAsia="es-ES" w:bidi="es-ES"/>
      </w:rPr>
    </w:lvl>
    <w:lvl w:ilvl="4">
      <w:start w:val="0"/>
      <w:numFmt w:val="bullet"/>
      <w:lvlText w:val="•"/>
      <w:lvlJc w:val="left"/>
      <w:pPr>
        <w:ind w:left="4898" w:hanging="226"/>
      </w:pPr>
      <w:rPr>
        <w:rFonts w:hint="default"/>
        <w:lang w:val="es-ES" w:eastAsia="es-ES" w:bidi="es-ES"/>
      </w:rPr>
    </w:lvl>
    <w:lvl w:ilvl="5">
      <w:start w:val="0"/>
      <w:numFmt w:val="bullet"/>
      <w:lvlText w:val="•"/>
      <w:lvlJc w:val="left"/>
      <w:pPr>
        <w:ind w:left="5852" w:hanging="226"/>
      </w:pPr>
      <w:rPr>
        <w:rFonts w:hint="default"/>
        <w:lang w:val="es-ES" w:eastAsia="es-ES" w:bidi="es-ES"/>
      </w:rPr>
    </w:lvl>
    <w:lvl w:ilvl="6">
      <w:start w:val="0"/>
      <w:numFmt w:val="bullet"/>
      <w:lvlText w:val="•"/>
      <w:lvlJc w:val="left"/>
      <w:pPr>
        <w:ind w:left="6807" w:hanging="226"/>
      </w:pPr>
      <w:rPr>
        <w:rFonts w:hint="default"/>
        <w:lang w:val="es-ES" w:eastAsia="es-ES" w:bidi="es-ES"/>
      </w:rPr>
    </w:lvl>
    <w:lvl w:ilvl="7">
      <w:start w:val="0"/>
      <w:numFmt w:val="bullet"/>
      <w:lvlText w:val="•"/>
      <w:lvlJc w:val="left"/>
      <w:pPr>
        <w:ind w:left="7761" w:hanging="226"/>
      </w:pPr>
      <w:rPr>
        <w:rFonts w:hint="default"/>
        <w:lang w:val="es-ES" w:eastAsia="es-ES" w:bidi="es-ES"/>
      </w:rPr>
    </w:lvl>
    <w:lvl w:ilvl="8">
      <w:start w:val="0"/>
      <w:numFmt w:val="bullet"/>
      <w:lvlText w:val="•"/>
      <w:lvlJc w:val="left"/>
      <w:pPr>
        <w:ind w:left="8716" w:hanging="226"/>
      </w:pPr>
      <w:rPr>
        <w:rFonts w:hint="default"/>
        <w:lang w:val="es-ES" w:eastAsia="es-ES" w:bidi="es-ES"/>
      </w:rPr>
    </w:lvl>
  </w:abstractNum>
  <w:abstractNum w:abstractNumId="317">
    <w:multiLevelType w:val="hybridMultilevel"/>
    <w:lvl w:ilvl="0">
      <w:start w:val="1"/>
      <w:numFmt w:val="decimal"/>
      <w:lvlText w:val="%1."/>
      <w:lvlJc w:val="left"/>
      <w:pPr>
        <w:ind w:left="1074" w:hanging="266"/>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66"/>
      </w:pPr>
      <w:rPr>
        <w:rFonts w:hint="default"/>
        <w:lang w:val="es-ES" w:eastAsia="es-ES" w:bidi="es-ES"/>
      </w:rPr>
    </w:lvl>
    <w:lvl w:ilvl="2">
      <w:start w:val="0"/>
      <w:numFmt w:val="bullet"/>
      <w:lvlText w:val="•"/>
      <w:lvlJc w:val="left"/>
      <w:pPr>
        <w:ind w:left="2989" w:hanging="266"/>
      </w:pPr>
      <w:rPr>
        <w:rFonts w:hint="default"/>
        <w:lang w:val="es-ES" w:eastAsia="es-ES" w:bidi="es-ES"/>
      </w:rPr>
    </w:lvl>
    <w:lvl w:ilvl="3">
      <w:start w:val="0"/>
      <w:numFmt w:val="bullet"/>
      <w:lvlText w:val="•"/>
      <w:lvlJc w:val="left"/>
      <w:pPr>
        <w:ind w:left="3943" w:hanging="266"/>
      </w:pPr>
      <w:rPr>
        <w:rFonts w:hint="default"/>
        <w:lang w:val="es-ES" w:eastAsia="es-ES" w:bidi="es-ES"/>
      </w:rPr>
    </w:lvl>
    <w:lvl w:ilvl="4">
      <w:start w:val="0"/>
      <w:numFmt w:val="bullet"/>
      <w:lvlText w:val="•"/>
      <w:lvlJc w:val="left"/>
      <w:pPr>
        <w:ind w:left="4898" w:hanging="266"/>
      </w:pPr>
      <w:rPr>
        <w:rFonts w:hint="default"/>
        <w:lang w:val="es-ES" w:eastAsia="es-ES" w:bidi="es-ES"/>
      </w:rPr>
    </w:lvl>
    <w:lvl w:ilvl="5">
      <w:start w:val="0"/>
      <w:numFmt w:val="bullet"/>
      <w:lvlText w:val="•"/>
      <w:lvlJc w:val="left"/>
      <w:pPr>
        <w:ind w:left="5852" w:hanging="266"/>
      </w:pPr>
      <w:rPr>
        <w:rFonts w:hint="default"/>
        <w:lang w:val="es-ES" w:eastAsia="es-ES" w:bidi="es-ES"/>
      </w:rPr>
    </w:lvl>
    <w:lvl w:ilvl="6">
      <w:start w:val="0"/>
      <w:numFmt w:val="bullet"/>
      <w:lvlText w:val="•"/>
      <w:lvlJc w:val="left"/>
      <w:pPr>
        <w:ind w:left="6807" w:hanging="266"/>
      </w:pPr>
      <w:rPr>
        <w:rFonts w:hint="default"/>
        <w:lang w:val="es-ES" w:eastAsia="es-ES" w:bidi="es-ES"/>
      </w:rPr>
    </w:lvl>
    <w:lvl w:ilvl="7">
      <w:start w:val="0"/>
      <w:numFmt w:val="bullet"/>
      <w:lvlText w:val="•"/>
      <w:lvlJc w:val="left"/>
      <w:pPr>
        <w:ind w:left="7761" w:hanging="266"/>
      </w:pPr>
      <w:rPr>
        <w:rFonts w:hint="default"/>
        <w:lang w:val="es-ES" w:eastAsia="es-ES" w:bidi="es-ES"/>
      </w:rPr>
    </w:lvl>
    <w:lvl w:ilvl="8">
      <w:start w:val="0"/>
      <w:numFmt w:val="bullet"/>
      <w:lvlText w:val="•"/>
      <w:lvlJc w:val="left"/>
      <w:pPr>
        <w:ind w:left="8716" w:hanging="266"/>
      </w:pPr>
      <w:rPr>
        <w:rFonts w:hint="default"/>
        <w:lang w:val="es-ES" w:eastAsia="es-ES" w:bidi="es-ES"/>
      </w:rPr>
    </w:lvl>
  </w:abstractNum>
  <w:abstractNum w:abstractNumId="316">
    <w:multiLevelType w:val="hybridMultilevel"/>
    <w:lvl w:ilvl="0">
      <w:start w:val="1"/>
      <w:numFmt w:val="decimal"/>
      <w:lvlText w:val="%1."/>
      <w:lvlJc w:val="left"/>
      <w:pPr>
        <w:ind w:left="1074" w:hanging="283"/>
        <w:jc w:val="left"/>
      </w:pPr>
      <w:rPr>
        <w:rFonts w:hint="default" w:ascii="Arial" w:hAnsi="Arial" w:eastAsia="Arial" w:cs="Arial"/>
        <w:spacing w:val="-20"/>
        <w:w w:val="100"/>
        <w:sz w:val="20"/>
        <w:szCs w:val="20"/>
        <w:lang w:val="es-ES" w:eastAsia="es-ES" w:bidi="es-ES"/>
      </w:rPr>
    </w:lvl>
    <w:lvl w:ilvl="1">
      <w:start w:val="0"/>
      <w:numFmt w:val="bullet"/>
      <w:lvlText w:val="•"/>
      <w:lvlJc w:val="left"/>
      <w:pPr>
        <w:ind w:left="2034" w:hanging="283"/>
      </w:pPr>
      <w:rPr>
        <w:rFonts w:hint="default"/>
        <w:lang w:val="es-ES" w:eastAsia="es-ES" w:bidi="es-ES"/>
      </w:rPr>
    </w:lvl>
    <w:lvl w:ilvl="2">
      <w:start w:val="0"/>
      <w:numFmt w:val="bullet"/>
      <w:lvlText w:val="•"/>
      <w:lvlJc w:val="left"/>
      <w:pPr>
        <w:ind w:left="2989" w:hanging="283"/>
      </w:pPr>
      <w:rPr>
        <w:rFonts w:hint="default"/>
        <w:lang w:val="es-ES" w:eastAsia="es-ES" w:bidi="es-ES"/>
      </w:rPr>
    </w:lvl>
    <w:lvl w:ilvl="3">
      <w:start w:val="0"/>
      <w:numFmt w:val="bullet"/>
      <w:lvlText w:val="•"/>
      <w:lvlJc w:val="left"/>
      <w:pPr>
        <w:ind w:left="3943" w:hanging="283"/>
      </w:pPr>
      <w:rPr>
        <w:rFonts w:hint="default"/>
        <w:lang w:val="es-ES" w:eastAsia="es-ES" w:bidi="es-ES"/>
      </w:rPr>
    </w:lvl>
    <w:lvl w:ilvl="4">
      <w:start w:val="0"/>
      <w:numFmt w:val="bullet"/>
      <w:lvlText w:val="•"/>
      <w:lvlJc w:val="left"/>
      <w:pPr>
        <w:ind w:left="4898" w:hanging="283"/>
      </w:pPr>
      <w:rPr>
        <w:rFonts w:hint="default"/>
        <w:lang w:val="es-ES" w:eastAsia="es-ES" w:bidi="es-ES"/>
      </w:rPr>
    </w:lvl>
    <w:lvl w:ilvl="5">
      <w:start w:val="0"/>
      <w:numFmt w:val="bullet"/>
      <w:lvlText w:val="•"/>
      <w:lvlJc w:val="left"/>
      <w:pPr>
        <w:ind w:left="5852" w:hanging="283"/>
      </w:pPr>
      <w:rPr>
        <w:rFonts w:hint="default"/>
        <w:lang w:val="es-ES" w:eastAsia="es-ES" w:bidi="es-ES"/>
      </w:rPr>
    </w:lvl>
    <w:lvl w:ilvl="6">
      <w:start w:val="0"/>
      <w:numFmt w:val="bullet"/>
      <w:lvlText w:val="•"/>
      <w:lvlJc w:val="left"/>
      <w:pPr>
        <w:ind w:left="6807" w:hanging="283"/>
      </w:pPr>
      <w:rPr>
        <w:rFonts w:hint="default"/>
        <w:lang w:val="es-ES" w:eastAsia="es-ES" w:bidi="es-ES"/>
      </w:rPr>
    </w:lvl>
    <w:lvl w:ilvl="7">
      <w:start w:val="0"/>
      <w:numFmt w:val="bullet"/>
      <w:lvlText w:val="•"/>
      <w:lvlJc w:val="left"/>
      <w:pPr>
        <w:ind w:left="7761" w:hanging="283"/>
      </w:pPr>
      <w:rPr>
        <w:rFonts w:hint="default"/>
        <w:lang w:val="es-ES" w:eastAsia="es-ES" w:bidi="es-ES"/>
      </w:rPr>
    </w:lvl>
    <w:lvl w:ilvl="8">
      <w:start w:val="0"/>
      <w:numFmt w:val="bullet"/>
      <w:lvlText w:val="•"/>
      <w:lvlJc w:val="left"/>
      <w:pPr>
        <w:ind w:left="8716" w:hanging="283"/>
      </w:pPr>
      <w:rPr>
        <w:rFonts w:hint="default"/>
        <w:lang w:val="es-ES" w:eastAsia="es-ES" w:bidi="es-ES"/>
      </w:rPr>
    </w:lvl>
  </w:abstractNum>
  <w:abstractNum w:abstractNumId="315">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14">
    <w:multiLevelType w:val="hybridMultilevel"/>
    <w:lvl w:ilvl="0">
      <w:start w:val="1"/>
      <w:numFmt w:val="lowerLetter"/>
      <w:lvlText w:val="%1)"/>
      <w:lvlJc w:val="left"/>
      <w:pPr>
        <w:ind w:left="1074" w:hanging="278"/>
        <w:jc w:val="left"/>
      </w:pPr>
      <w:rPr>
        <w:rFonts w:hint="default" w:ascii="Arial" w:hAnsi="Arial" w:eastAsia="Arial" w:cs="Arial"/>
        <w:spacing w:val="-12"/>
        <w:w w:val="100"/>
        <w:sz w:val="20"/>
        <w:szCs w:val="20"/>
        <w:lang w:val="es-ES" w:eastAsia="es-ES" w:bidi="es-ES"/>
      </w:rPr>
    </w:lvl>
    <w:lvl w:ilvl="1">
      <w:start w:val="0"/>
      <w:numFmt w:val="bullet"/>
      <w:lvlText w:val="•"/>
      <w:lvlJc w:val="left"/>
      <w:pPr>
        <w:ind w:left="2034" w:hanging="278"/>
      </w:pPr>
      <w:rPr>
        <w:rFonts w:hint="default"/>
        <w:lang w:val="es-ES" w:eastAsia="es-ES" w:bidi="es-ES"/>
      </w:rPr>
    </w:lvl>
    <w:lvl w:ilvl="2">
      <w:start w:val="0"/>
      <w:numFmt w:val="bullet"/>
      <w:lvlText w:val="•"/>
      <w:lvlJc w:val="left"/>
      <w:pPr>
        <w:ind w:left="2989" w:hanging="278"/>
      </w:pPr>
      <w:rPr>
        <w:rFonts w:hint="default"/>
        <w:lang w:val="es-ES" w:eastAsia="es-ES" w:bidi="es-ES"/>
      </w:rPr>
    </w:lvl>
    <w:lvl w:ilvl="3">
      <w:start w:val="0"/>
      <w:numFmt w:val="bullet"/>
      <w:lvlText w:val="•"/>
      <w:lvlJc w:val="left"/>
      <w:pPr>
        <w:ind w:left="3943" w:hanging="278"/>
      </w:pPr>
      <w:rPr>
        <w:rFonts w:hint="default"/>
        <w:lang w:val="es-ES" w:eastAsia="es-ES" w:bidi="es-ES"/>
      </w:rPr>
    </w:lvl>
    <w:lvl w:ilvl="4">
      <w:start w:val="0"/>
      <w:numFmt w:val="bullet"/>
      <w:lvlText w:val="•"/>
      <w:lvlJc w:val="left"/>
      <w:pPr>
        <w:ind w:left="4898" w:hanging="278"/>
      </w:pPr>
      <w:rPr>
        <w:rFonts w:hint="default"/>
        <w:lang w:val="es-ES" w:eastAsia="es-ES" w:bidi="es-ES"/>
      </w:rPr>
    </w:lvl>
    <w:lvl w:ilvl="5">
      <w:start w:val="0"/>
      <w:numFmt w:val="bullet"/>
      <w:lvlText w:val="•"/>
      <w:lvlJc w:val="left"/>
      <w:pPr>
        <w:ind w:left="5852" w:hanging="278"/>
      </w:pPr>
      <w:rPr>
        <w:rFonts w:hint="default"/>
        <w:lang w:val="es-ES" w:eastAsia="es-ES" w:bidi="es-ES"/>
      </w:rPr>
    </w:lvl>
    <w:lvl w:ilvl="6">
      <w:start w:val="0"/>
      <w:numFmt w:val="bullet"/>
      <w:lvlText w:val="•"/>
      <w:lvlJc w:val="left"/>
      <w:pPr>
        <w:ind w:left="6807" w:hanging="278"/>
      </w:pPr>
      <w:rPr>
        <w:rFonts w:hint="default"/>
        <w:lang w:val="es-ES" w:eastAsia="es-ES" w:bidi="es-ES"/>
      </w:rPr>
    </w:lvl>
    <w:lvl w:ilvl="7">
      <w:start w:val="0"/>
      <w:numFmt w:val="bullet"/>
      <w:lvlText w:val="•"/>
      <w:lvlJc w:val="left"/>
      <w:pPr>
        <w:ind w:left="7761" w:hanging="278"/>
      </w:pPr>
      <w:rPr>
        <w:rFonts w:hint="default"/>
        <w:lang w:val="es-ES" w:eastAsia="es-ES" w:bidi="es-ES"/>
      </w:rPr>
    </w:lvl>
    <w:lvl w:ilvl="8">
      <w:start w:val="0"/>
      <w:numFmt w:val="bullet"/>
      <w:lvlText w:val="•"/>
      <w:lvlJc w:val="left"/>
      <w:pPr>
        <w:ind w:left="8716" w:hanging="278"/>
      </w:pPr>
      <w:rPr>
        <w:rFonts w:hint="default"/>
        <w:lang w:val="es-ES" w:eastAsia="es-ES" w:bidi="es-ES"/>
      </w:rPr>
    </w:lvl>
  </w:abstractNum>
  <w:abstractNum w:abstractNumId="313">
    <w:multiLevelType w:val="hybridMultilevel"/>
    <w:lvl w:ilvl="0">
      <w:start w:val="1"/>
      <w:numFmt w:val="decimal"/>
      <w:lvlText w:val="%1."/>
      <w:lvlJc w:val="left"/>
      <w:pPr>
        <w:ind w:left="1074" w:hanging="22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7"/>
      </w:pPr>
      <w:rPr>
        <w:rFonts w:hint="default"/>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312">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311">
    <w:multiLevelType w:val="hybridMultilevel"/>
    <w:lvl w:ilvl="0">
      <w:start w:val="1"/>
      <w:numFmt w:val="lowerLetter"/>
      <w:lvlText w:val="%1)"/>
      <w:lvlJc w:val="left"/>
      <w:pPr>
        <w:ind w:left="1074" w:hanging="25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8"/>
      </w:pPr>
      <w:rPr>
        <w:rFonts w:hint="default"/>
        <w:lang w:val="es-ES" w:eastAsia="es-ES" w:bidi="es-ES"/>
      </w:rPr>
    </w:lvl>
    <w:lvl w:ilvl="2">
      <w:start w:val="0"/>
      <w:numFmt w:val="bullet"/>
      <w:lvlText w:val="•"/>
      <w:lvlJc w:val="left"/>
      <w:pPr>
        <w:ind w:left="2989" w:hanging="258"/>
      </w:pPr>
      <w:rPr>
        <w:rFonts w:hint="default"/>
        <w:lang w:val="es-ES" w:eastAsia="es-ES" w:bidi="es-ES"/>
      </w:rPr>
    </w:lvl>
    <w:lvl w:ilvl="3">
      <w:start w:val="0"/>
      <w:numFmt w:val="bullet"/>
      <w:lvlText w:val="•"/>
      <w:lvlJc w:val="left"/>
      <w:pPr>
        <w:ind w:left="3943" w:hanging="258"/>
      </w:pPr>
      <w:rPr>
        <w:rFonts w:hint="default"/>
        <w:lang w:val="es-ES" w:eastAsia="es-ES" w:bidi="es-ES"/>
      </w:rPr>
    </w:lvl>
    <w:lvl w:ilvl="4">
      <w:start w:val="0"/>
      <w:numFmt w:val="bullet"/>
      <w:lvlText w:val="•"/>
      <w:lvlJc w:val="left"/>
      <w:pPr>
        <w:ind w:left="4898" w:hanging="258"/>
      </w:pPr>
      <w:rPr>
        <w:rFonts w:hint="default"/>
        <w:lang w:val="es-ES" w:eastAsia="es-ES" w:bidi="es-ES"/>
      </w:rPr>
    </w:lvl>
    <w:lvl w:ilvl="5">
      <w:start w:val="0"/>
      <w:numFmt w:val="bullet"/>
      <w:lvlText w:val="•"/>
      <w:lvlJc w:val="left"/>
      <w:pPr>
        <w:ind w:left="5852" w:hanging="258"/>
      </w:pPr>
      <w:rPr>
        <w:rFonts w:hint="default"/>
        <w:lang w:val="es-ES" w:eastAsia="es-ES" w:bidi="es-ES"/>
      </w:rPr>
    </w:lvl>
    <w:lvl w:ilvl="6">
      <w:start w:val="0"/>
      <w:numFmt w:val="bullet"/>
      <w:lvlText w:val="•"/>
      <w:lvlJc w:val="left"/>
      <w:pPr>
        <w:ind w:left="6807" w:hanging="258"/>
      </w:pPr>
      <w:rPr>
        <w:rFonts w:hint="default"/>
        <w:lang w:val="es-ES" w:eastAsia="es-ES" w:bidi="es-ES"/>
      </w:rPr>
    </w:lvl>
    <w:lvl w:ilvl="7">
      <w:start w:val="0"/>
      <w:numFmt w:val="bullet"/>
      <w:lvlText w:val="•"/>
      <w:lvlJc w:val="left"/>
      <w:pPr>
        <w:ind w:left="7761" w:hanging="258"/>
      </w:pPr>
      <w:rPr>
        <w:rFonts w:hint="default"/>
        <w:lang w:val="es-ES" w:eastAsia="es-ES" w:bidi="es-ES"/>
      </w:rPr>
    </w:lvl>
    <w:lvl w:ilvl="8">
      <w:start w:val="0"/>
      <w:numFmt w:val="bullet"/>
      <w:lvlText w:val="•"/>
      <w:lvlJc w:val="left"/>
      <w:pPr>
        <w:ind w:left="8716" w:hanging="258"/>
      </w:pPr>
      <w:rPr>
        <w:rFonts w:hint="default"/>
        <w:lang w:val="es-ES" w:eastAsia="es-ES" w:bidi="es-ES"/>
      </w:rPr>
    </w:lvl>
  </w:abstractNum>
  <w:abstractNum w:abstractNumId="310">
    <w:multiLevelType w:val="hybridMultilevel"/>
    <w:lvl w:ilvl="0">
      <w:start w:val="1"/>
      <w:numFmt w:val="lowerLetter"/>
      <w:lvlText w:val="%1)"/>
      <w:lvlJc w:val="left"/>
      <w:pPr>
        <w:ind w:left="107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2"/>
      </w:pPr>
      <w:rPr>
        <w:rFonts w:hint="default"/>
        <w:lang w:val="es-ES" w:eastAsia="es-ES" w:bidi="es-ES"/>
      </w:rPr>
    </w:lvl>
    <w:lvl w:ilvl="2">
      <w:start w:val="0"/>
      <w:numFmt w:val="bullet"/>
      <w:lvlText w:val="•"/>
      <w:lvlJc w:val="left"/>
      <w:pPr>
        <w:ind w:left="2989" w:hanging="242"/>
      </w:pPr>
      <w:rPr>
        <w:rFonts w:hint="default"/>
        <w:lang w:val="es-ES" w:eastAsia="es-ES" w:bidi="es-ES"/>
      </w:rPr>
    </w:lvl>
    <w:lvl w:ilvl="3">
      <w:start w:val="0"/>
      <w:numFmt w:val="bullet"/>
      <w:lvlText w:val="•"/>
      <w:lvlJc w:val="left"/>
      <w:pPr>
        <w:ind w:left="3943" w:hanging="242"/>
      </w:pPr>
      <w:rPr>
        <w:rFonts w:hint="default"/>
        <w:lang w:val="es-ES" w:eastAsia="es-ES" w:bidi="es-ES"/>
      </w:rPr>
    </w:lvl>
    <w:lvl w:ilvl="4">
      <w:start w:val="0"/>
      <w:numFmt w:val="bullet"/>
      <w:lvlText w:val="•"/>
      <w:lvlJc w:val="left"/>
      <w:pPr>
        <w:ind w:left="4898" w:hanging="242"/>
      </w:pPr>
      <w:rPr>
        <w:rFonts w:hint="default"/>
        <w:lang w:val="es-ES" w:eastAsia="es-ES" w:bidi="es-ES"/>
      </w:rPr>
    </w:lvl>
    <w:lvl w:ilvl="5">
      <w:start w:val="0"/>
      <w:numFmt w:val="bullet"/>
      <w:lvlText w:val="•"/>
      <w:lvlJc w:val="left"/>
      <w:pPr>
        <w:ind w:left="5852" w:hanging="242"/>
      </w:pPr>
      <w:rPr>
        <w:rFonts w:hint="default"/>
        <w:lang w:val="es-ES" w:eastAsia="es-ES" w:bidi="es-ES"/>
      </w:rPr>
    </w:lvl>
    <w:lvl w:ilvl="6">
      <w:start w:val="0"/>
      <w:numFmt w:val="bullet"/>
      <w:lvlText w:val="•"/>
      <w:lvlJc w:val="left"/>
      <w:pPr>
        <w:ind w:left="6807" w:hanging="242"/>
      </w:pPr>
      <w:rPr>
        <w:rFonts w:hint="default"/>
        <w:lang w:val="es-ES" w:eastAsia="es-ES" w:bidi="es-ES"/>
      </w:rPr>
    </w:lvl>
    <w:lvl w:ilvl="7">
      <w:start w:val="0"/>
      <w:numFmt w:val="bullet"/>
      <w:lvlText w:val="•"/>
      <w:lvlJc w:val="left"/>
      <w:pPr>
        <w:ind w:left="7761" w:hanging="242"/>
      </w:pPr>
      <w:rPr>
        <w:rFonts w:hint="default"/>
        <w:lang w:val="es-ES" w:eastAsia="es-ES" w:bidi="es-ES"/>
      </w:rPr>
    </w:lvl>
    <w:lvl w:ilvl="8">
      <w:start w:val="0"/>
      <w:numFmt w:val="bullet"/>
      <w:lvlText w:val="•"/>
      <w:lvlJc w:val="left"/>
      <w:pPr>
        <w:ind w:left="8716" w:hanging="242"/>
      </w:pPr>
      <w:rPr>
        <w:rFonts w:hint="default"/>
        <w:lang w:val="es-ES" w:eastAsia="es-ES" w:bidi="es-ES"/>
      </w:rPr>
    </w:lvl>
  </w:abstractNum>
  <w:abstractNum w:abstractNumId="309">
    <w:multiLevelType w:val="hybridMultilevel"/>
    <w:lvl w:ilvl="0">
      <w:start w:val="1"/>
      <w:numFmt w:val="lowerLetter"/>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308">
    <w:multiLevelType w:val="hybridMultilevel"/>
    <w:lvl w:ilvl="0">
      <w:start w:val="1"/>
      <w:numFmt w:val="lowerLetter"/>
      <w:lvlText w:val="%1)"/>
      <w:lvlJc w:val="left"/>
      <w:pPr>
        <w:ind w:left="1074" w:hanging="338"/>
        <w:jc w:val="left"/>
      </w:pPr>
      <w:rPr>
        <w:rFonts w:hint="default" w:ascii="Arial" w:hAnsi="Arial" w:eastAsia="Arial" w:cs="Arial"/>
        <w:spacing w:val="-7"/>
        <w:w w:val="100"/>
        <w:sz w:val="20"/>
        <w:szCs w:val="20"/>
        <w:lang w:val="es-ES" w:eastAsia="es-ES" w:bidi="es-ES"/>
      </w:rPr>
    </w:lvl>
    <w:lvl w:ilvl="1">
      <w:start w:val="0"/>
      <w:numFmt w:val="bullet"/>
      <w:lvlText w:val="•"/>
      <w:lvlJc w:val="left"/>
      <w:pPr>
        <w:ind w:left="2034" w:hanging="338"/>
      </w:pPr>
      <w:rPr>
        <w:rFonts w:hint="default"/>
        <w:lang w:val="es-ES" w:eastAsia="es-ES" w:bidi="es-ES"/>
      </w:rPr>
    </w:lvl>
    <w:lvl w:ilvl="2">
      <w:start w:val="0"/>
      <w:numFmt w:val="bullet"/>
      <w:lvlText w:val="•"/>
      <w:lvlJc w:val="left"/>
      <w:pPr>
        <w:ind w:left="2989" w:hanging="338"/>
      </w:pPr>
      <w:rPr>
        <w:rFonts w:hint="default"/>
        <w:lang w:val="es-ES" w:eastAsia="es-ES" w:bidi="es-ES"/>
      </w:rPr>
    </w:lvl>
    <w:lvl w:ilvl="3">
      <w:start w:val="0"/>
      <w:numFmt w:val="bullet"/>
      <w:lvlText w:val="•"/>
      <w:lvlJc w:val="left"/>
      <w:pPr>
        <w:ind w:left="3943" w:hanging="338"/>
      </w:pPr>
      <w:rPr>
        <w:rFonts w:hint="default"/>
        <w:lang w:val="es-ES" w:eastAsia="es-ES" w:bidi="es-ES"/>
      </w:rPr>
    </w:lvl>
    <w:lvl w:ilvl="4">
      <w:start w:val="0"/>
      <w:numFmt w:val="bullet"/>
      <w:lvlText w:val="•"/>
      <w:lvlJc w:val="left"/>
      <w:pPr>
        <w:ind w:left="4898" w:hanging="338"/>
      </w:pPr>
      <w:rPr>
        <w:rFonts w:hint="default"/>
        <w:lang w:val="es-ES" w:eastAsia="es-ES" w:bidi="es-ES"/>
      </w:rPr>
    </w:lvl>
    <w:lvl w:ilvl="5">
      <w:start w:val="0"/>
      <w:numFmt w:val="bullet"/>
      <w:lvlText w:val="•"/>
      <w:lvlJc w:val="left"/>
      <w:pPr>
        <w:ind w:left="5852" w:hanging="338"/>
      </w:pPr>
      <w:rPr>
        <w:rFonts w:hint="default"/>
        <w:lang w:val="es-ES" w:eastAsia="es-ES" w:bidi="es-ES"/>
      </w:rPr>
    </w:lvl>
    <w:lvl w:ilvl="6">
      <w:start w:val="0"/>
      <w:numFmt w:val="bullet"/>
      <w:lvlText w:val="•"/>
      <w:lvlJc w:val="left"/>
      <w:pPr>
        <w:ind w:left="6807" w:hanging="338"/>
      </w:pPr>
      <w:rPr>
        <w:rFonts w:hint="default"/>
        <w:lang w:val="es-ES" w:eastAsia="es-ES" w:bidi="es-ES"/>
      </w:rPr>
    </w:lvl>
    <w:lvl w:ilvl="7">
      <w:start w:val="0"/>
      <w:numFmt w:val="bullet"/>
      <w:lvlText w:val="•"/>
      <w:lvlJc w:val="left"/>
      <w:pPr>
        <w:ind w:left="7761" w:hanging="338"/>
      </w:pPr>
      <w:rPr>
        <w:rFonts w:hint="default"/>
        <w:lang w:val="es-ES" w:eastAsia="es-ES" w:bidi="es-ES"/>
      </w:rPr>
    </w:lvl>
    <w:lvl w:ilvl="8">
      <w:start w:val="0"/>
      <w:numFmt w:val="bullet"/>
      <w:lvlText w:val="•"/>
      <w:lvlJc w:val="left"/>
      <w:pPr>
        <w:ind w:left="8716" w:hanging="338"/>
      </w:pPr>
      <w:rPr>
        <w:rFonts w:hint="default"/>
        <w:lang w:val="es-ES" w:eastAsia="es-ES" w:bidi="es-ES"/>
      </w:rPr>
    </w:lvl>
  </w:abstractNum>
  <w:abstractNum w:abstractNumId="307">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06">
    <w:multiLevelType w:val="hybridMultilevel"/>
    <w:lvl w:ilvl="0">
      <w:start w:val="1"/>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305">
    <w:multiLevelType w:val="hybridMultilevel"/>
    <w:lvl w:ilvl="0">
      <w:start w:val="4"/>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304">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303">
    <w:multiLevelType w:val="hybridMultilevel"/>
    <w:lvl w:ilvl="0">
      <w:start w:val="1"/>
      <w:numFmt w:val="lowerLetter"/>
      <w:lvlText w:val="%1)"/>
      <w:lvlJc w:val="left"/>
      <w:pPr>
        <w:ind w:left="1074" w:hanging="29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9"/>
      </w:pPr>
      <w:rPr>
        <w:rFonts w:hint="default"/>
        <w:lang w:val="es-ES" w:eastAsia="es-ES" w:bidi="es-ES"/>
      </w:rPr>
    </w:lvl>
    <w:lvl w:ilvl="2">
      <w:start w:val="0"/>
      <w:numFmt w:val="bullet"/>
      <w:lvlText w:val="•"/>
      <w:lvlJc w:val="left"/>
      <w:pPr>
        <w:ind w:left="2989" w:hanging="299"/>
      </w:pPr>
      <w:rPr>
        <w:rFonts w:hint="default"/>
        <w:lang w:val="es-ES" w:eastAsia="es-ES" w:bidi="es-ES"/>
      </w:rPr>
    </w:lvl>
    <w:lvl w:ilvl="3">
      <w:start w:val="0"/>
      <w:numFmt w:val="bullet"/>
      <w:lvlText w:val="•"/>
      <w:lvlJc w:val="left"/>
      <w:pPr>
        <w:ind w:left="3943" w:hanging="299"/>
      </w:pPr>
      <w:rPr>
        <w:rFonts w:hint="default"/>
        <w:lang w:val="es-ES" w:eastAsia="es-ES" w:bidi="es-ES"/>
      </w:rPr>
    </w:lvl>
    <w:lvl w:ilvl="4">
      <w:start w:val="0"/>
      <w:numFmt w:val="bullet"/>
      <w:lvlText w:val="•"/>
      <w:lvlJc w:val="left"/>
      <w:pPr>
        <w:ind w:left="4898" w:hanging="299"/>
      </w:pPr>
      <w:rPr>
        <w:rFonts w:hint="default"/>
        <w:lang w:val="es-ES" w:eastAsia="es-ES" w:bidi="es-ES"/>
      </w:rPr>
    </w:lvl>
    <w:lvl w:ilvl="5">
      <w:start w:val="0"/>
      <w:numFmt w:val="bullet"/>
      <w:lvlText w:val="•"/>
      <w:lvlJc w:val="left"/>
      <w:pPr>
        <w:ind w:left="5852" w:hanging="299"/>
      </w:pPr>
      <w:rPr>
        <w:rFonts w:hint="default"/>
        <w:lang w:val="es-ES" w:eastAsia="es-ES" w:bidi="es-ES"/>
      </w:rPr>
    </w:lvl>
    <w:lvl w:ilvl="6">
      <w:start w:val="0"/>
      <w:numFmt w:val="bullet"/>
      <w:lvlText w:val="•"/>
      <w:lvlJc w:val="left"/>
      <w:pPr>
        <w:ind w:left="6807" w:hanging="299"/>
      </w:pPr>
      <w:rPr>
        <w:rFonts w:hint="default"/>
        <w:lang w:val="es-ES" w:eastAsia="es-ES" w:bidi="es-ES"/>
      </w:rPr>
    </w:lvl>
    <w:lvl w:ilvl="7">
      <w:start w:val="0"/>
      <w:numFmt w:val="bullet"/>
      <w:lvlText w:val="•"/>
      <w:lvlJc w:val="left"/>
      <w:pPr>
        <w:ind w:left="7761" w:hanging="299"/>
      </w:pPr>
      <w:rPr>
        <w:rFonts w:hint="default"/>
        <w:lang w:val="es-ES" w:eastAsia="es-ES" w:bidi="es-ES"/>
      </w:rPr>
    </w:lvl>
    <w:lvl w:ilvl="8">
      <w:start w:val="0"/>
      <w:numFmt w:val="bullet"/>
      <w:lvlText w:val="•"/>
      <w:lvlJc w:val="left"/>
      <w:pPr>
        <w:ind w:left="8716" w:hanging="299"/>
      </w:pPr>
      <w:rPr>
        <w:rFonts w:hint="default"/>
        <w:lang w:val="es-ES" w:eastAsia="es-ES" w:bidi="es-ES"/>
      </w:rPr>
    </w:lvl>
  </w:abstractNum>
  <w:abstractNum w:abstractNumId="302">
    <w:multiLevelType w:val="hybridMultilevel"/>
    <w:lvl w:ilvl="0">
      <w:start w:val="1"/>
      <w:numFmt w:val="lowerLetter"/>
      <w:lvlText w:val="%1)"/>
      <w:lvlJc w:val="left"/>
      <w:pPr>
        <w:ind w:left="1074" w:hanging="288"/>
        <w:jc w:val="left"/>
      </w:pPr>
      <w:rPr>
        <w:rFonts w:hint="default" w:ascii="Arial" w:hAnsi="Arial" w:eastAsia="Arial" w:cs="Arial"/>
        <w:spacing w:val="-2"/>
        <w:w w:val="100"/>
        <w:sz w:val="20"/>
        <w:szCs w:val="20"/>
        <w:lang w:val="es-ES" w:eastAsia="es-ES" w:bidi="es-ES"/>
      </w:rPr>
    </w:lvl>
    <w:lvl w:ilvl="1">
      <w:start w:val="0"/>
      <w:numFmt w:val="bullet"/>
      <w:lvlText w:val="•"/>
      <w:lvlJc w:val="left"/>
      <w:pPr>
        <w:ind w:left="2034" w:hanging="288"/>
      </w:pPr>
      <w:rPr>
        <w:rFonts w:hint="default"/>
        <w:lang w:val="es-ES" w:eastAsia="es-ES" w:bidi="es-ES"/>
      </w:rPr>
    </w:lvl>
    <w:lvl w:ilvl="2">
      <w:start w:val="0"/>
      <w:numFmt w:val="bullet"/>
      <w:lvlText w:val="•"/>
      <w:lvlJc w:val="left"/>
      <w:pPr>
        <w:ind w:left="2989" w:hanging="288"/>
      </w:pPr>
      <w:rPr>
        <w:rFonts w:hint="default"/>
        <w:lang w:val="es-ES" w:eastAsia="es-ES" w:bidi="es-ES"/>
      </w:rPr>
    </w:lvl>
    <w:lvl w:ilvl="3">
      <w:start w:val="0"/>
      <w:numFmt w:val="bullet"/>
      <w:lvlText w:val="•"/>
      <w:lvlJc w:val="left"/>
      <w:pPr>
        <w:ind w:left="3943" w:hanging="288"/>
      </w:pPr>
      <w:rPr>
        <w:rFonts w:hint="default"/>
        <w:lang w:val="es-ES" w:eastAsia="es-ES" w:bidi="es-ES"/>
      </w:rPr>
    </w:lvl>
    <w:lvl w:ilvl="4">
      <w:start w:val="0"/>
      <w:numFmt w:val="bullet"/>
      <w:lvlText w:val="•"/>
      <w:lvlJc w:val="left"/>
      <w:pPr>
        <w:ind w:left="4898" w:hanging="288"/>
      </w:pPr>
      <w:rPr>
        <w:rFonts w:hint="default"/>
        <w:lang w:val="es-ES" w:eastAsia="es-ES" w:bidi="es-ES"/>
      </w:rPr>
    </w:lvl>
    <w:lvl w:ilvl="5">
      <w:start w:val="0"/>
      <w:numFmt w:val="bullet"/>
      <w:lvlText w:val="•"/>
      <w:lvlJc w:val="left"/>
      <w:pPr>
        <w:ind w:left="5852" w:hanging="288"/>
      </w:pPr>
      <w:rPr>
        <w:rFonts w:hint="default"/>
        <w:lang w:val="es-ES" w:eastAsia="es-ES" w:bidi="es-ES"/>
      </w:rPr>
    </w:lvl>
    <w:lvl w:ilvl="6">
      <w:start w:val="0"/>
      <w:numFmt w:val="bullet"/>
      <w:lvlText w:val="•"/>
      <w:lvlJc w:val="left"/>
      <w:pPr>
        <w:ind w:left="6807" w:hanging="288"/>
      </w:pPr>
      <w:rPr>
        <w:rFonts w:hint="default"/>
        <w:lang w:val="es-ES" w:eastAsia="es-ES" w:bidi="es-ES"/>
      </w:rPr>
    </w:lvl>
    <w:lvl w:ilvl="7">
      <w:start w:val="0"/>
      <w:numFmt w:val="bullet"/>
      <w:lvlText w:val="•"/>
      <w:lvlJc w:val="left"/>
      <w:pPr>
        <w:ind w:left="7761" w:hanging="288"/>
      </w:pPr>
      <w:rPr>
        <w:rFonts w:hint="default"/>
        <w:lang w:val="es-ES" w:eastAsia="es-ES" w:bidi="es-ES"/>
      </w:rPr>
    </w:lvl>
    <w:lvl w:ilvl="8">
      <w:start w:val="0"/>
      <w:numFmt w:val="bullet"/>
      <w:lvlText w:val="•"/>
      <w:lvlJc w:val="left"/>
      <w:pPr>
        <w:ind w:left="8716" w:hanging="288"/>
      </w:pPr>
      <w:rPr>
        <w:rFonts w:hint="default"/>
        <w:lang w:val="es-ES" w:eastAsia="es-ES" w:bidi="es-ES"/>
      </w:rPr>
    </w:lvl>
  </w:abstractNum>
  <w:abstractNum w:abstractNumId="301">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6"/>
      </w:pPr>
      <w:rPr>
        <w:rFonts w:hint="default"/>
        <w:lang w:val="es-ES" w:eastAsia="es-ES" w:bidi="es-ES"/>
      </w:rPr>
    </w:lvl>
    <w:lvl w:ilvl="2">
      <w:start w:val="0"/>
      <w:numFmt w:val="bullet"/>
      <w:lvlText w:val="•"/>
      <w:lvlJc w:val="left"/>
      <w:pPr>
        <w:ind w:left="2989" w:hanging="226"/>
      </w:pPr>
      <w:rPr>
        <w:rFonts w:hint="default"/>
        <w:lang w:val="es-ES" w:eastAsia="es-ES" w:bidi="es-ES"/>
      </w:rPr>
    </w:lvl>
    <w:lvl w:ilvl="3">
      <w:start w:val="0"/>
      <w:numFmt w:val="bullet"/>
      <w:lvlText w:val="•"/>
      <w:lvlJc w:val="left"/>
      <w:pPr>
        <w:ind w:left="3943" w:hanging="226"/>
      </w:pPr>
      <w:rPr>
        <w:rFonts w:hint="default"/>
        <w:lang w:val="es-ES" w:eastAsia="es-ES" w:bidi="es-ES"/>
      </w:rPr>
    </w:lvl>
    <w:lvl w:ilvl="4">
      <w:start w:val="0"/>
      <w:numFmt w:val="bullet"/>
      <w:lvlText w:val="•"/>
      <w:lvlJc w:val="left"/>
      <w:pPr>
        <w:ind w:left="4898" w:hanging="226"/>
      </w:pPr>
      <w:rPr>
        <w:rFonts w:hint="default"/>
        <w:lang w:val="es-ES" w:eastAsia="es-ES" w:bidi="es-ES"/>
      </w:rPr>
    </w:lvl>
    <w:lvl w:ilvl="5">
      <w:start w:val="0"/>
      <w:numFmt w:val="bullet"/>
      <w:lvlText w:val="•"/>
      <w:lvlJc w:val="left"/>
      <w:pPr>
        <w:ind w:left="5852" w:hanging="226"/>
      </w:pPr>
      <w:rPr>
        <w:rFonts w:hint="default"/>
        <w:lang w:val="es-ES" w:eastAsia="es-ES" w:bidi="es-ES"/>
      </w:rPr>
    </w:lvl>
    <w:lvl w:ilvl="6">
      <w:start w:val="0"/>
      <w:numFmt w:val="bullet"/>
      <w:lvlText w:val="•"/>
      <w:lvlJc w:val="left"/>
      <w:pPr>
        <w:ind w:left="6807" w:hanging="226"/>
      </w:pPr>
      <w:rPr>
        <w:rFonts w:hint="default"/>
        <w:lang w:val="es-ES" w:eastAsia="es-ES" w:bidi="es-ES"/>
      </w:rPr>
    </w:lvl>
    <w:lvl w:ilvl="7">
      <w:start w:val="0"/>
      <w:numFmt w:val="bullet"/>
      <w:lvlText w:val="•"/>
      <w:lvlJc w:val="left"/>
      <w:pPr>
        <w:ind w:left="7761" w:hanging="226"/>
      </w:pPr>
      <w:rPr>
        <w:rFonts w:hint="default"/>
        <w:lang w:val="es-ES" w:eastAsia="es-ES" w:bidi="es-ES"/>
      </w:rPr>
    </w:lvl>
    <w:lvl w:ilvl="8">
      <w:start w:val="0"/>
      <w:numFmt w:val="bullet"/>
      <w:lvlText w:val="•"/>
      <w:lvlJc w:val="left"/>
      <w:pPr>
        <w:ind w:left="8716" w:hanging="226"/>
      </w:pPr>
      <w:rPr>
        <w:rFonts w:hint="default"/>
        <w:lang w:val="es-ES" w:eastAsia="es-ES" w:bidi="es-ES"/>
      </w:rPr>
    </w:lvl>
  </w:abstractNum>
  <w:abstractNum w:abstractNumId="300">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99">
    <w:multiLevelType w:val="hybridMultilevel"/>
    <w:lvl w:ilvl="0">
      <w:start w:val="1"/>
      <w:numFmt w:val="lowerLetter"/>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298">
    <w:multiLevelType w:val="hybridMultilevel"/>
    <w:lvl w:ilvl="0">
      <w:start w:val="1"/>
      <w:numFmt w:val="decimal"/>
      <w:lvlText w:val="%1."/>
      <w:lvlJc w:val="left"/>
      <w:pPr>
        <w:ind w:left="1074" w:hanging="22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4"/>
      </w:pPr>
      <w:rPr>
        <w:rFonts w:hint="default"/>
        <w:lang w:val="es-ES" w:eastAsia="es-ES" w:bidi="es-ES"/>
      </w:rPr>
    </w:lvl>
    <w:lvl w:ilvl="2">
      <w:start w:val="0"/>
      <w:numFmt w:val="bullet"/>
      <w:lvlText w:val="•"/>
      <w:lvlJc w:val="left"/>
      <w:pPr>
        <w:ind w:left="2989" w:hanging="224"/>
      </w:pPr>
      <w:rPr>
        <w:rFonts w:hint="default"/>
        <w:lang w:val="es-ES" w:eastAsia="es-ES" w:bidi="es-ES"/>
      </w:rPr>
    </w:lvl>
    <w:lvl w:ilvl="3">
      <w:start w:val="0"/>
      <w:numFmt w:val="bullet"/>
      <w:lvlText w:val="•"/>
      <w:lvlJc w:val="left"/>
      <w:pPr>
        <w:ind w:left="3943" w:hanging="224"/>
      </w:pPr>
      <w:rPr>
        <w:rFonts w:hint="default"/>
        <w:lang w:val="es-ES" w:eastAsia="es-ES" w:bidi="es-ES"/>
      </w:rPr>
    </w:lvl>
    <w:lvl w:ilvl="4">
      <w:start w:val="0"/>
      <w:numFmt w:val="bullet"/>
      <w:lvlText w:val="•"/>
      <w:lvlJc w:val="left"/>
      <w:pPr>
        <w:ind w:left="4898" w:hanging="224"/>
      </w:pPr>
      <w:rPr>
        <w:rFonts w:hint="default"/>
        <w:lang w:val="es-ES" w:eastAsia="es-ES" w:bidi="es-ES"/>
      </w:rPr>
    </w:lvl>
    <w:lvl w:ilvl="5">
      <w:start w:val="0"/>
      <w:numFmt w:val="bullet"/>
      <w:lvlText w:val="•"/>
      <w:lvlJc w:val="left"/>
      <w:pPr>
        <w:ind w:left="5852" w:hanging="224"/>
      </w:pPr>
      <w:rPr>
        <w:rFonts w:hint="default"/>
        <w:lang w:val="es-ES" w:eastAsia="es-ES" w:bidi="es-ES"/>
      </w:rPr>
    </w:lvl>
    <w:lvl w:ilvl="6">
      <w:start w:val="0"/>
      <w:numFmt w:val="bullet"/>
      <w:lvlText w:val="•"/>
      <w:lvlJc w:val="left"/>
      <w:pPr>
        <w:ind w:left="6807" w:hanging="224"/>
      </w:pPr>
      <w:rPr>
        <w:rFonts w:hint="default"/>
        <w:lang w:val="es-ES" w:eastAsia="es-ES" w:bidi="es-ES"/>
      </w:rPr>
    </w:lvl>
    <w:lvl w:ilvl="7">
      <w:start w:val="0"/>
      <w:numFmt w:val="bullet"/>
      <w:lvlText w:val="•"/>
      <w:lvlJc w:val="left"/>
      <w:pPr>
        <w:ind w:left="7761" w:hanging="224"/>
      </w:pPr>
      <w:rPr>
        <w:rFonts w:hint="default"/>
        <w:lang w:val="es-ES" w:eastAsia="es-ES" w:bidi="es-ES"/>
      </w:rPr>
    </w:lvl>
    <w:lvl w:ilvl="8">
      <w:start w:val="0"/>
      <w:numFmt w:val="bullet"/>
      <w:lvlText w:val="•"/>
      <w:lvlJc w:val="left"/>
      <w:pPr>
        <w:ind w:left="8716" w:hanging="224"/>
      </w:pPr>
      <w:rPr>
        <w:rFonts w:hint="default"/>
        <w:lang w:val="es-ES" w:eastAsia="es-ES" w:bidi="es-ES"/>
      </w:rPr>
    </w:lvl>
  </w:abstractNum>
  <w:abstractNum w:abstractNumId="297">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96">
    <w:multiLevelType w:val="hybridMultilevel"/>
    <w:lvl w:ilvl="0">
      <w:start w:val="1"/>
      <w:numFmt w:val="decimal"/>
      <w:lvlText w:val="%1."/>
      <w:lvlJc w:val="left"/>
      <w:pPr>
        <w:ind w:left="1074" w:hanging="266"/>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034" w:hanging="266"/>
      </w:pPr>
      <w:rPr>
        <w:rFonts w:hint="default"/>
        <w:lang w:val="es-ES" w:eastAsia="es-ES" w:bidi="es-ES"/>
      </w:rPr>
    </w:lvl>
    <w:lvl w:ilvl="2">
      <w:start w:val="0"/>
      <w:numFmt w:val="bullet"/>
      <w:lvlText w:val="•"/>
      <w:lvlJc w:val="left"/>
      <w:pPr>
        <w:ind w:left="2989" w:hanging="266"/>
      </w:pPr>
      <w:rPr>
        <w:rFonts w:hint="default"/>
        <w:lang w:val="es-ES" w:eastAsia="es-ES" w:bidi="es-ES"/>
      </w:rPr>
    </w:lvl>
    <w:lvl w:ilvl="3">
      <w:start w:val="0"/>
      <w:numFmt w:val="bullet"/>
      <w:lvlText w:val="•"/>
      <w:lvlJc w:val="left"/>
      <w:pPr>
        <w:ind w:left="3943" w:hanging="266"/>
      </w:pPr>
      <w:rPr>
        <w:rFonts w:hint="default"/>
        <w:lang w:val="es-ES" w:eastAsia="es-ES" w:bidi="es-ES"/>
      </w:rPr>
    </w:lvl>
    <w:lvl w:ilvl="4">
      <w:start w:val="0"/>
      <w:numFmt w:val="bullet"/>
      <w:lvlText w:val="•"/>
      <w:lvlJc w:val="left"/>
      <w:pPr>
        <w:ind w:left="4898" w:hanging="266"/>
      </w:pPr>
      <w:rPr>
        <w:rFonts w:hint="default"/>
        <w:lang w:val="es-ES" w:eastAsia="es-ES" w:bidi="es-ES"/>
      </w:rPr>
    </w:lvl>
    <w:lvl w:ilvl="5">
      <w:start w:val="0"/>
      <w:numFmt w:val="bullet"/>
      <w:lvlText w:val="•"/>
      <w:lvlJc w:val="left"/>
      <w:pPr>
        <w:ind w:left="5852" w:hanging="266"/>
      </w:pPr>
      <w:rPr>
        <w:rFonts w:hint="default"/>
        <w:lang w:val="es-ES" w:eastAsia="es-ES" w:bidi="es-ES"/>
      </w:rPr>
    </w:lvl>
    <w:lvl w:ilvl="6">
      <w:start w:val="0"/>
      <w:numFmt w:val="bullet"/>
      <w:lvlText w:val="•"/>
      <w:lvlJc w:val="left"/>
      <w:pPr>
        <w:ind w:left="6807" w:hanging="266"/>
      </w:pPr>
      <w:rPr>
        <w:rFonts w:hint="default"/>
        <w:lang w:val="es-ES" w:eastAsia="es-ES" w:bidi="es-ES"/>
      </w:rPr>
    </w:lvl>
    <w:lvl w:ilvl="7">
      <w:start w:val="0"/>
      <w:numFmt w:val="bullet"/>
      <w:lvlText w:val="•"/>
      <w:lvlJc w:val="left"/>
      <w:pPr>
        <w:ind w:left="7761" w:hanging="266"/>
      </w:pPr>
      <w:rPr>
        <w:rFonts w:hint="default"/>
        <w:lang w:val="es-ES" w:eastAsia="es-ES" w:bidi="es-ES"/>
      </w:rPr>
    </w:lvl>
    <w:lvl w:ilvl="8">
      <w:start w:val="0"/>
      <w:numFmt w:val="bullet"/>
      <w:lvlText w:val="•"/>
      <w:lvlJc w:val="left"/>
      <w:pPr>
        <w:ind w:left="8716" w:hanging="266"/>
      </w:pPr>
      <w:rPr>
        <w:rFonts w:hint="default"/>
        <w:lang w:val="es-ES" w:eastAsia="es-ES" w:bidi="es-ES"/>
      </w:rPr>
    </w:lvl>
  </w:abstractNum>
  <w:abstractNum w:abstractNumId="295">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94">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93">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92">
    <w:multiLevelType w:val="hybridMultilevel"/>
    <w:lvl w:ilvl="0">
      <w:start w:val="1"/>
      <w:numFmt w:val="decimal"/>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291">
    <w:multiLevelType w:val="hybridMultilevel"/>
    <w:lvl w:ilvl="0">
      <w:start w:val="1"/>
      <w:numFmt w:val="decimal"/>
      <w:lvlText w:val="%1."/>
      <w:lvlJc w:val="left"/>
      <w:pPr>
        <w:ind w:left="1074" w:hanging="30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1"/>
      </w:pPr>
      <w:rPr>
        <w:rFonts w:hint="default"/>
        <w:lang w:val="es-ES" w:eastAsia="es-ES" w:bidi="es-ES"/>
      </w:rPr>
    </w:lvl>
    <w:lvl w:ilvl="2">
      <w:start w:val="0"/>
      <w:numFmt w:val="bullet"/>
      <w:lvlText w:val="•"/>
      <w:lvlJc w:val="left"/>
      <w:pPr>
        <w:ind w:left="2989" w:hanging="301"/>
      </w:pPr>
      <w:rPr>
        <w:rFonts w:hint="default"/>
        <w:lang w:val="es-ES" w:eastAsia="es-ES" w:bidi="es-ES"/>
      </w:rPr>
    </w:lvl>
    <w:lvl w:ilvl="3">
      <w:start w:val="0"/>
      <w:numFmt w:val="bullet"/>
      <w:lvlText w:val="•"/>
      <w:lvlJc w:val="left"/>
      <w:pPr>
        <w:ind w:left="3943" w:hanging="301"/>
      </w:pPr>
      <w:rPr>
        <w:rFonts w:hint="default"/>
        <w:lang w:val="es-ES" w:eastAsia="es-ES" w:bidi="es-ES"/>
      </w:rPr>
    </w:lvl>
    <w:lvl w:ilvl="4">
      <w:start w:val="0"/>
      <w:numFmt w:val="bullet"/>
      <w:lvlText w:val="•"/>
      <w:lvlJc w:val="left"/>
      <w:pPr>
        <w:ind w:left="4898" w:hanging="301"/>
      </w:pPr>
      <w:rPr>
        <w:rFonts w:hint="default"/>
        <w:lang w:val="es-ES" w:eastAsia="es-ES" w:bidi="es-ES"/>
      </w:rPr>
    </w:lvl>
    <w:lvl w:ilvl="5">
      <w:start w:val="0"/>
      <w:numFmt w:val="bullet"/>
      <w:lvlText w:val="•"/>
      <w:lvlJc w:val="left"/>
      <w:pPr>
        <w:ind w:left="5852" w:hanging="301"/>
      </w:pPr>
      <w:rPr>
        <w:rFonts w:hint="default"/>
        <w:lang w:val="es-ES" w:eastAsia="es-ES" w:bidi="es-ES"/>
      </w:rPr>
    </w:lvl>
    <w:lvl w:ilvl="6">
      <w:start w:val="0"/>
      <w:numFmt w:val="bullet"/>
      <w:lvlText w:val="•"/>
      <w:lvlJc w:val="left"/>
      <w:pPr>
        <w:ind w:left="6807" w:hanging="301"/>
      </w:pPr>
      <w:rPr>
        <w:rFonts w:hint="default"/>
        <w:lang w:val="es-ES" w:eastAsia="es-ES" w:bidi="es-ES"/>
      </w:rPr>
    </w:lvl>
    <w:lvl w:ilvl="7">
      <w:start w:val="0"/>
      <w:numFmt w:val="bullet"/>
      <w:lvlText w:val="•"/>
      <w:lvlJc w:val="left"/>
      <w:pPr>
        <w:ind w:left="7761" w:hanging="301"/>
      </w:pPr>
      <w:rPr>
        <w:rFonts w:hint="default"/>
        <w:lang w:val="es-ES" w:eastAsia="es-ES" w:bidi="es-ES"/>
      </w:rPr>
    </w:lvl>
    <w:lvl w:ilvl="8">
      <w:start w:val="0"/>
      <w:numFmt w:val="bullet"/>
      <w:lvlText w:val="•"/>
      <w:lvlJc w:val="left"/>
      <w:pPr>
        <w:ind w:left="8716" w:hanging="301"/>
      </w:pPr>
      <w:rPr>
        <w:rFonts w:hint="default"/>
        <w:lang w:val="es-ES" w:eastAsia="es-ES" w:bidi="es-ES"/>
      </w:rPr>
    </w:lvl>
  </w:abstractNum>
  <w:abstractNum w:abstractNumId="290">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89">
    <w:multiLevelType w:val="hybridMultilevel"/>
    <w:lvl w:ilvl="0">
      <w:start w:val="1"/>
      <w:numFmt w:val="decimal"/>
      <w:lvlText w:val="%1."/>
      <w:lvlJc w:val="left"/>
      <w:pPr>
        <w:ind w:left="1074" w:hanging="263"/>
        <w:jc w:val="left"/>
      </w:pPr>
      <w:rPr>
        <w:rFonts w:hint="default" w:ascii="Arial" w:hAnsi="Arial" w:eastAsia="Arial" w:cs="Arial"/>
        <w:spacing w:val="-16"/>
        <w:w w:val="100"/>
        <w:sz w:val="20"/>
        <w:szCs w:val="20"/>
        <w:lang w:val="es-ES" w:eastAsia="es-ES" w:bidi="es-ES"/>
      </w:rPr>
    </w:lvl>
    <w:lvl w:ilvl="1">
      <w:start w:val="0"/>
      <w:numFmt w:val="bullet"/>
      <w:lvlText w:val="•"/>
      <w:lvlJc w:val="left"/>
      <w:pPr>
        <w:ind w:left="2034" w:hanging="263"/>
      </w:pPr>
      <w:rPr>
        <w:rFonts w:hint="default"/>
        <w:lang w:val="es-ES" w:eastAsia="es-ES" w:bidi="es-ES"/>
      </w:rPr>
    </w:lvl>
    <w:lvl w:ilvl="2">
      <w:start w:val="0"/>
      <w:numFmt w:val="bullet"/>
      <w:lvlText w:val="•"/>
      <w:lvlJc w:val="left"/>
      <w:pPr>
        <w:ind w:left="2989" w:hanging="263"/>
      </w:pPr>
      <w:rPr>
        <w:rFonts w:hint="default"/>
        <w:lang w:val="es-ES" w:eastAsia="es-ES" w:bidi="es-ES"/>
      </w:rPr>
    </w:lvl>
    <w:lvl w:ilvl="3">
      <w:start w:val="0"/>
      <w:numFmt w:val="bullet"/>
      <w:lvlText w:val="•"/>
      <w:lvlJc w:val="left"/>
      <w:pPr>
        <w:ind w:left="3943" w:hanging="263"/>
      </w:pPr>
      <w:rPr>
        <w:rFonts w:hint="default"/>
        <w:lang w:val="es-ES" w:eastAsia="es-ES" w:bidi="es-ES"/>
      </w:rPr>
    </w:lvl>
    <w:lvl w:ilvl="4">
      <w:start w:val="0"/>
      <w:numFmt w:val="bullet"/>
      <w:lvlText w:val="•"/>
      <w:lvlJc w:val="left"/>
      <w:pPr>
        <w:ind w:left="4898" w:hanging="263"/>
      </w:pPr>
      <w:rPr>
        <w:rFonts w:hint="default"/>
        <w:lang w:val="es-ES" w:eastAsia="es-ES" w:bidi="es-ES"/>
      </w:rPr>
    </w:lvl>
    <w:lvl w:ilvl="5">
      <w:start w:val="0"/>
      <w:numFmt w:val="bullet"/>
      <w:lvlText w:val="•"/>
      <w:lvlJc w:val="left"/>
      <w:pPr>
        <w:ind w:left="5852" w:hanging="263"/>
      </w:pPr>
      <w:rPr>
        <w:rFonts w:hint="default"/>
        <w:lang w:val="es-ES" w:eastAsia="es-ES" w:bidi="es-ES"/>
      </w:rPr>
    </w:lvl>
    <w:lvl w:ilvl="6">
      <w:start w:val="0"/>
      <w:numFmt w:val="bullet"/>
      <w:lvlText w:val="•"/>
      <w:lvlJc w:val="left"/>
      <w:pPr>
        <w:ind w:left="6807" w:hanging="263"/>
      </w:pPr>
      <w:rPr>
        <w:rFonts w:hint="default"/>
        <w:lang w:val="es-ES" w:eastAsia="es-ES" w:bidi="es-ES"/>
      </w:rPr>
    </w:lvl>
    <w:lvl w:ilvl="7">
      <w:start w:val="0"/>
      <w:numFmt w:val="bullet"/>
      <w:lvlText w:val="•"/>
      <w:lvlJc w:val="left"/>
      <w:pPr>
        <w:ind w:left="7761" w:hanging="263"/>
      </w:pPr>
      <w:rPr>
        <w:rFonts w:hint="default"/>
        <w:lang w:val="es-ES" w:eastAsia="es-ES" w:bidi="es-ES"/>
      </w:rPr>
    </w:lvl>
    <w:lvl w:ilvl="8">
      <w:start w:val="0"/>
      <w:numFmt w:val="bullet"/>
      <w:lvlText w:val="•"/>
      <w:lvlJc w:val="left"/>
      <w:pPr>
        <w:ind w:left="8716" w:hanging="263"/>
      </w:pPr>
      <w:rPr>
        <w:rFonts w:hint="default"/>
        <w:lang w:val="es-ES" w:eastAsia="es-ES" w:bidi="es-ES"/>
      </w:rPr>
    </w:lvl>
  </w:abstractNum>
  <w:abstractNum w:abstractNumId="288">
    <w:multiLevelType w:val="hybridMultilevel"/>
    <w:lvl w:ilvl="0">
      <w:start w:val="2"/>
      <w:numFmt w:val="decimal"/>
      <w:lvlText w:val="%1."/>
      <w:lvlJc w:val="left"/>
      <w:pPr>
        <w:ind w:left="1074" w:hanging="27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78"/>
      </w:pPr>
      <w:rPr>
        <w:rFonts w:hint="default"/>
        <w:lang w:val="es-ES" w:eastAsia="es-ES" w:bidi="es-ES"/>
      </w:rPr>
    </w:lvl>
    <w:lvl w:ilvl="2">
      <w:start w:val="0"/>
      <w:numFmt w:val="bullet"/>
      <w:lvlText w:val="•"/>
      <w:lvlJc w:val="left"/>
      <w:pPr>
        <w:ind w:left="2989" w:hanging="278"/>
      </w:pPr>
      <w:rPr>
        <w:rFonts w:hint="default"/>
        <w:lang w:val="es-ES" w:eastAsia="es-ES" w:bidi="es-ES"/>
      </w:rPr>
    </w:lvl>
    <w:lvl w:ilvl="3">
      <w:start w:val="0"/>
      <w:numFmt w:val="bullet"/>
      <w:lvlText w:val="•"/>
      <w:lvlJc w:val="left"/>
      <w:pPr>
        <w:ind w:left="3943" w:hanging="278"/>
      </w:pPr>
      <w:rPr>
        <w:rFonts w:hint="default"/>
        <w:lang w:val="es-ES" w:eastAsia="es-ES" w:bidi="es-ES"/>
      </w:rPr>
    </w:lvl>
    <w:lvl w:ilvl="4">
      <w:start w:val="0"/>
      <w:numFmt w:val="bullet"/>
      <w:lvlText w:val="•"/>
      <w:lvlJc w:val="left"/>
      <w:pPr>
        <w:ind w:left="4898" w:hanging="278"/>
      </w:pPr>
      <w:rPr>
        <w:rFonts w:hint="default"/>
        <w:lang w:val="es-ES" w:eastAsia="es-ES" w:bidi="es-ES"/>
      </w:rPr>
    </w:lvl>
    <w:lvl w:ilvl="5">
      <w:start w:val="0"/>
      <w:numFmt w:val="bullet"/>
      <w:lvlText w:val="•"/>
      <w:lvlJc w:val="left"/>
      <w:pPr>
        <w:ind w:left="5852" w:hanging="278"/>
      </w:pPr>
      <w:rPr>
        <w:rFonts w:hint="default"/>
        <w:lang w:val="es-ES" w:eastAsia="es-ES" w:bidi="es-ES"/>
      </w:rPr>
    </w:lvl>
    <w:lvl w:ilvl="6">
      <w:start w:val="0"/>
      <w:numFmt w:val="bullet"/>
      <w:lvlText w:val="•"/>
      <w:lvlJc w:val="left"/>
      <w:pPr>
        <w:ind w:left="6807" w:hanging="278"/>
      </w:pPr>
      <w:rPr>
        <w:rFonts w:hint="default"/>
        <w:lang w:val="es-ES" w:eastAsia="es-ES" w:bidi="es-ES"/>
      </w:rPr>
    </w:lvl>
    <w:lvl w:ilvl="7">
      <w:start w:val="0"/>
      <w:numFmt w:val="bullet"/>
      <w:lvlText w:val="•"/>
      <w:lvlJc w:val="left"/>
      <w:pPr>
        <w:ind w:left="7761" w:hanging="278"/>
      </w:pPr>
      <w:rPr>
        <w:rFonts w:hint="default"/>
        <w:lang w:val="es-ES" w:eastAsia="es-ES" w:bidi="es-ES"/>
      </w:rPr>
    </w:lvl>
    <w:lvl w:ilvl="8">
      <w:start w:val="0"/>
      <w:numFmt w:val="bullet"/>
      <w:lvlText w:val="•"/>
      <w:lvlJc w:val="left"/>
      <w:pPr>
        <w:ind w:left="8716" w:hanging="278"/>
      </w:pPr>
      <w:rPr>
        <w:rFonts w:hint="default"/>
        <w:lang w:val="es-ES" w:eastAsia="es-ES" w:bidi="es-ES"/>
      </w:rPr>
    </w:lvl>
  </w:abstractNum>
  <w:abstractNum w:abstractNumId="287">
    <w:multiLevelType w:val="hybridMultilevel"/>
    <w:lvl w:ilvl="0">
      <w:start w:val="3"/>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86">
    <w:multiLevelType w:val="hybridMultilevel"/>
    <w:lvl w:ilvl="0">
      <w:start w:val="1"/>
      <w:numFmt w:val="decimal"/>
      <w:lvlText w:val="%1."/>
      <w:lvlJc w:val="left"/>
      <w:pPr>
        <w:ind w:left="158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484" w:hanging="168"/>
      </w:pPr>
      <w:rPr>
        <w:rFonts w:hint="default"/>
        <w:lang w:val="es-ES" w:eastAsia="es-ES" w:bidi="es-ES"/>
      </w:rPr>
    </w:lvl>
    <w:lvl w:ilvl="2">
      <w:start w:val="0"/>
      <w:numFmt w:val="bullet"/>
      <w:lvlText w:val="•"/>
      <w:lvlJc w:val="left"/>
      <w:pPr>
        <w:ind w:left="3389" w:hanging="168"/>
      </w:pPr>
      <w:rPr>
        <w:rFonts w:hint="default"/>
        <w:lang w:val="es-ES" w:eastAsia="es-ES" w:bidi="es-ES"/>
      </w:rPr>
    </w:lvl>
    <w:lvl w:ilvl="3">
      <w:start w:val="0"/>
      <w:numFmt w:val="bullet"/>
      <w:lvlText w:val="•"/>
      <w:lvlJc w:val="left"/>
      <w:pPr>
        <w:ind w:left="4293" w:hanging="168"/>
      </w:pPr>
      <w:rPr>
        <w:rFonts w:hint="default"/>
        <w:lang w:val="es-ES" w:eastAsia="es-ES" w:bidi="es-ES"/>
      </w:rPr>
    </w:lvl>
    <w:lvl w:ilvl="4">
      <w:start w:val="0"/>
      <w:numFmt w:val="bullet"/>
      <w:lvlText w:val="•"/>
      <w:lvlJc w:val="left"/>
      <w:pPr>
        <w:ind w:left="5198" w:hanging="168"/>
      </w:pPr>
      <w:rPr>
        <w:rFonts w:hint="default"/>
        <w:lang w:val="es-ES" w:eastAsia="es-ES" w:bidi="es-ES"/>
      </w:rPr>
    </w:lvl>
    <w:lvl w:ilvl="5">
      <w:start w:val="0"/>
      <w:numFmt w:val="bullet"/>
      <w:lvlText w:val="•"/>
      <w:lvlJc w:val="left"/>
      <w:pPr>
        <w:ind w:left="6102" w:hanging="168"/>
      </w:pPr>
      <w:rPr>
        <w:rFonts w:hint="default"/>
        <w:lang w:val="es-ES" w:eastAsia="es-ES" w:bidi="es-ES"/>
      </w:rPr>
    </w:lvl>
    <w:lvl w:ilvl="6">
      <w:start w:val="0"/>
      <w:numFmt w:val="bullet"/>
      <w:lvlText w:val="•"/>
      <w:lvlJc w:val="left"/>
      <w:pPr>
        <w:ind w:left="7007" w:hanging="168"/>
      </w:pPr>
      <w:rPr>
        <w:rFonts w:hint="default"/>
        <w:lang w:val="es-ES" w:eastAsia="es-ES" w:bidi="es-ES"/>
      </w:rPr>
    </w:lvl>
    <w:lvl w:ilvl="7">
      <w:start w:val="0"/>
      <w:numFmt w:val="bullet"/>
      <w:lvlText w:val="•"/>
      <w:lvlJc w:val="left"/>
      <w:pPr>
        <w:ind w:left="7911" w:hanging="168"/>
      </w:pPr>
      <w:rPr>
        <w:rFonts w:hint="default"/>
        <w:lang w:val="es-ES" w:eastAsia="es-ES" w:bidi="es-ES"/>
      </w:rPr>
    </w:lvl>
    <w:lvl w:ilvl="8">
      <w:start w:val="0"/>
      <w:numFmt w:val="bullet"/>
      <w:lvlText w:val="•"/>
      <w:lvlJc w:val="left"/>
      <w:pPr>
        <w:ind w:left="8816" w:hanging="168"/>
      </w:pPr>
      <w:rPr>
        <w:rFonts w:hint="default"/>
        <w:lang w:val="es-ES" w:eastAsia="es-ES" w:bidi="es-ES"/>
      </w:rPr>
    </w:lvl>
  </w:abstractNum>
  <w:abstractNum w:abstractNumId="285">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84">
    <w:multiLevelType w:val="hybridMultilevel"/>
    <w:lvl w:ilvl="0">
      <w:start w:val="1"/>
      <w:numFmt w:val="decimal"/>
      <w:lvlText w:val="%1."/>
      <w:lvlJc w:val="left"/>
      <w:pPr>
        <w:ind w:left="1074" w:hanging="3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34"/>
      </w:pPr>
      <w:rPr>
        <w:rFonts w:hint="default"/>
        <w:lang w:val="es-ES" w:eastAsia="es-ES" w:bidi="es-ES"/>
      </w:rPr>
    </w:lvl>
    <w:lvl w:ilvl="2">
      <w:start w:val="0"/>
      <w:numFmt w:val="bullet"/>
      <w:lvlText w:val="•"/>
      <w:lvlJc w:val="left"/>
      <w:pPr>
        <w:ind w:left="2989" w:hanging="334"/>
      </w:pPr>
      <w:rPr>
        <w:rFonts w:hint="default"/>
        <w:lang w:val="es-ES" w:eastAsia="es-ES" w:bidi="es-ES"/>
      </w:rPr>
    </w:lvl>
    <w:lvl w:ilvl="3">
      <w:start w:val="0"/>
      <w:numFmt w:val="bullet"/>
      <w:lvlText w:val="•"/>
      <w:lvlJc w:val="left"/>
      <w:pPr>
        <w:ind w:left="3943" w:hanging="334"/>
      </w:pPr>
      <w:rPr>
        <w:rFonts w:hint="default"/>
        <w:lang w:val="es-ES" w:eastAsia="es-ES" w:bidi="es-ES"/>
      </w:rPr>
    </w:lvl>
    <w:lvl w:ilvl="4">
      <w:start w:val="0"/>
      <w:numFmt w:val="bullet"/>
      <w:lvlText w:val="•"/>
      <w:lvlJc w:val="left"/>
      <w:pPr>
        <w:ind w:left="4898" w:hanging="334"/>
      </w:pPr>
      <w:rPr>
        <w:rFonts w:hint="default"/>
        <w:lang w:val="es-ES" w:eastAsia="es-ES" w:bidi="es-ES"/>
      </w:rPr>
    </w:lvl>
    <w:lvl w:ilvl="5">
      <w:start w:val="0"/>
      <w:numFmt w:val="bullet"/>
      <w:lvlText w:val="•"/>
      <w:lvlJc w:val="left"/>
      <w:pPr>
        <w:ind w:left="5852" w:hanging="334"/>
      </w:pPr>
      <w:rPr>
        <w:rFonts w:hint="default"/>
        <w:lang w:val="es-ES" w:eastAsia="es-ES" w:bidi="es-ES"/>
      </w:rPr>
    </w:lvl>
    <w:lvl w:ilvl="6">
      <w:start w:val="0"/>
      <w:numFmt w:val="bullet"/>
      <w:lvlText w:val="•"/>
      <w:lvlJc w:val="left"/>
      <w:pPr>
        <w:ind w:left="6807" w:hanging="334"/>
      </w:pPr>
      <w:rPr>
        <w:rFonts w:hint="default"/>
        <w:lang w:val="es-ES" w:eastAsia="es-ES" w:bidi="es-ES"/>
      </w:rPr>
    </w:lvl>
    <w:lvl w:ilvl="7">
      <w:start w:val="0"/>
      <w:numFmt w:val="bullet"/>
      <w:lvlText w:val="•"/>
      <w:lvlJc w:val="left"/>
      <w:pPr>
        <w:ind w:left="7761" w:hanging="334"/>
      </w:pPr>
      <w:rPr>
        <w:rFonts w:hint="default"/>
        <w:lang w:val="es-ES" w:eastAsia="es-ES" w:bidi="es-ES"/>
      </w:rPr>
    </w:lvl>
    <w:lvl w:ilvl="8">
      <w:start w:val="0"/>
      <w:numFmt w:val="bullet"/>
      <w:lvlText w:val="•"/>
      <w:lvlJc w:val="left"/>
      <w:pPr>
        <w:ind w:left="8716" w:hanging="334"/>
      </w:pPr>
      <w:rPr>
        <w:rFonts w:hint="default"/>
        <w:lang w:val="es-ES" w:eastAsia="es-ES" w:bidi="es-ES"/>
      </w:rPr>
    </w:lvl>
  </w:abstractNum>
  <w:abstractNum w:abstractNumId="283">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82">
    <w:multiLevelType w:val="hybridMultilevel"/>
    <w:lvl w:ilvl="0">
      <w:start w:val="1"/>
      <w:numFmt w:val="decimal"/>
      <w:lvlText w:val="%1."/>
      <w:lvlJc w:val="left"/>
      <w:pPr>
        <w:ind w:left="1074" w:hanging="22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7"/>
      </w:pPr>
      <w:rPr>
        <w:rFonts w:hint="default"/>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281">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80">
    <w:multiLevelType w:val="hybridMultilevel"/>
    <w:lvl w:ilvl="0">
      <w:start w:val="1"/>
      <w:numFmt w:val="decimal"/>
      <w:lvlText w:val="%1."/>
      <w:lvlJc w:val="left"/>
      <w:pPr>
        <w:ind w:left="1074" w:hanging="22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7"/>
      </w:pPr>
      <w:rPr>
        <w:rFonts w:hint="default"/>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279">
    <w:multiLevelType w:val="hybridMultilevel"/>
    <w:lvl w:ilvl="0">
      <w:start w:val="1"/>
      <w:numFmt w:val="decimal"/>
      <w:lvlText w:val="%1."/>
      <w:lvlJc w:val="left"/>
      <w:pPr>
        <w:ind w:left="107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6"/>
      </w:pPr>
      <w:rPr>
        <w:rFonts w:hint="default"/>
        <w:lang w:val="es-ES" w:eastAsia="es-ES" w:bidi="es-ES"/>
      </w:rPr>
    </w:lvl>
    <w:lvl w:ilvl="2">
      <w:start w:val="0"/>
      <w:numFmt w:val="bullet"/>
      <w:lvlText w:val="•"/>
      <w:lvlJc w:val="left"/>
      <w:pPr>
        <w:ind w:left="2989" w:hanging="246"/>
      </w:pPr>
      <w:rPr>
        <w:rFonts w:hint="default"/>
        <w:lang w:val="es-ES" w:eastAsia="es-ES" w:bidi="es-ES"/>
      </w:rPr>
    </w:lvl>
    <w:lvl w:ilvl="3">
      <w:start w:val="0"/>
      <w:numFmt w:val="bullet"/>
      <w:lvlText w:val="•"/>
      <w:lvlJc w:val="left"/>
      <w:pPr>
        <w:ind w:left="3943" w:hanging="246"/>
      </w:pPr>
      <w:rPr>
        <w:rFonts w:hint="default"/>
        <w:lang w:val="es-ES" w:eastAsia="es-ES" w:bidi="es-ES"/>
      </w:rPr>
    </w:lvl>
    <w:lvl w:ilvl="4">
      <w:start w:val="0"/>
      <w:numFmt w:val="bullet"/>
      <w:lvlText w:val="•"/>
      <w:lvlJc w:val="left"/>
      <w:pPr>
        <w:ind w:left="4898" w:hanging="246"/>
      </w:pPr>
      <w:rPr>
        <w:rFonts w:hint="default"/>
        <w:lang w:val="es-ES" w:eastAsia="es-ES" w:bidi="es-ES"/>
      </w:rPr>
    </w:lvl>
    <w:lvl w:ilvl="5">
      <w:start w:val="0"/>
      <w:numFmt w:val="bullet"/>
      <w:lvlText w:val="•"/>
      <w:lvlJc w:val="left"/>
      <w:pPr>
        <w:ind w:left="5852" w:hanging="246"/>
      </w:pPr>
      <w:rPr>
        <w:rFonts w:hint="default"/>
        <w:lang w:val="es-ES" w:eastAsia="es-ES" w:bidi="es-ES"/>
      </w:rPr>
    </w:lvl>
    <w:lvl w:ilvl="6">
      <w:start w:val="0"/>
      <w:numFmt w:val="bullet"/>
      <w:lvlText w:val="•"/>
      <w:lvlJc w:val="left"/>
      <w:pPr>
        <w:ind w:left="6807" w:hanging="246"/>
      </w:pPr>
      <w:rPr>
        <w:rFonts w:hint="default"/>
        <w:lang w:val="es-ES" w:eastAsia="es-ES" w:bidi="es-ES"/>
      </w:rPr>
    </w:lvl>
    <w:lvl w:ilvl="7">
      <w:start w:val="0"/>
      <w:numFmt w:val="bullet"/>
      <w:lvlText w:val="•"/>
      <w:lvlJc w:val="left"/>
      <w:pPr>
        <w:ind w:left="7761" w:hanging="246"/>
      </w:pPr>
      <w:rPr>
        <w:rFonts w:hint="default"/>
        <w:lang w:val="es-ES" w:eastAsia="es-ES" w:bidi="es-ES"/>
      </w:rPr>
    </w:lvl>
    <w:lvl w:ilvl="8">
      <w:start w:val="0"/>
      <w:numFmt w:val="bullet"/>
      <w:lvlText w:val="•"/>
      <w:lvlJc w:val="left"/>
      <w:pPr>
        <w:ind w:left="8716" w:hanging="246"/>
      </w:pPr>
      <w:rPr>
        <w:rFonts w:hint="default"/>
        <w:lang w:val="es-ES" w:eastAsia="es-ES" w:bidi="es-ES"/>
      </w:rPr>
    </w:lvl>
  </w:abstractNum>
  <w:abstractNum w:abstractNumId="278">
    <w:multiLevelType w:val="hybridMultilevel"/>
    <w:lvl w:ilvl="0">
      <w:start w:val="1"/>
      <w:numFmt w:val="decimal"/>
      <w:lvlText w:val="%1."/>
      <w:lvlJc w:val="left"/>
      <w:pPr>
        <w:ind w:left="1074" w:hanging="279"/>
        <w:jc w:val="left"/>
      </w:pPr>
      <w:rPr>
        <w:rFonts w:hint="default" w:ascii="Arial" w:hAnsi="Arial" w:eastAsia="Arial" w:cs="Arial"/>
        <w:spacing w:val="-25"/>
        <w:w w:val="100"/>
        <w:sz w:val="20"/>
        <w:szCs w:val="20"/>
        <w:lang w:val="es-ES" w:eastAsia="es-ES" w:bidi="es-ES"/>
      </w:rPr>
    </w:lvl>
    <w:lvl w:ilvl="1">
      <w:start w:val="0"/>
      <w:numFmt w:val="bullet"/>
      <w:lvlText w:val="•"/>
      <w:lvlJc w:val="left"/>
      <w:pPr>
        <w:ind w:left="2034" w:hanging="279"/>
      </w:pPr>
      <w:rPr>
        <w:rFonts w:hint="default"/>
        <w:lang w:val="es-ES" w:eastAsia="es-ES" w:bidi="es-ES"/>
      </w:rPr>
    </w:lvl>
    <w:lvl w:ilvl="2">
      <w:start w:val="0"/>
      <w:numFmt w:val="bullet"/>
      <w:lvlText w:val="•"/>
      <w:lvlJc w:val="left"/>
      <w:pPr>
        <w:ind w:left="2989" w:hanging="279"/>
      </w:pPr>
      <w:rPr>
        <w:rFonts w:hint="default"/>
        <w:lang w:val="es-ES" w:eastAsia="es-ES" w:bidi="es-ES"/>
      </w:rPr>
    </w:lvl>
    <w:lvl w:ilvl="3">
      <w:start w:val="0"/>
      <w:numFmt w:val="bullet"/>
      <w:lvlText w:val="•"/>
      <w:lvlJc w:val="left"/>
      <w:pPr>
        <w:ind w:left="3943" w:hanging="279"/>
      </w:pPr>
      <w:rPr>
        <w:rFonts w:hint="default"/>
        <w:lang w:val="es-ES" w:eastAsia="es-ES" w:bidi="es-ES"/>
      </w:rPr>
    </w:lvl>
    <w:lvl w:ilvl="4">
      <w:start w:val="0"/>
      <w:numFmt w:val="bullet"/>
      <w:lvlText w:val="•"/>
      <w:lvlJc w:val="left"/>
      <w:pPr>
        <w:ind w:left="4898" w:hanging="279"/>
      </w:pPr>
      <w:rPr>
        <w:rFonts w:hint="default"/>
        <w:lang w:val="es-ES" w:eastAsia="es-ES" w:bidi="es-ES"/>
      </w:rPr>
    </w:lvl>
    <w:lvl w:ilvl="5">
      <w:start w:val="0"/>
      <w:numFmt w:val="bullet"/>
      <w:lvlText w:val="•"/>
      <w:lvlJc w:val="left"/>
      <w:pPr>
        <w:ind w:left="5852" w:hanging="279"/>
      </w:pPr>
      <w:rPr>
        <w:rFonts w:hint="default"/>
        <w:lang w:val="es-ES" w:eastAsia="es-ES" w:bidi="es-ES"/>
      </w:rPr>
    </w:lvl>
    <w:lvl w:ilvl="6">
      <w:start w:val="0"/>
      <w:numFmt w:val="bullet"/>
      <w:lvlText w:val="•"/>
      <w:lvlJc w:val="left"/>
      <w:pPr>
        <w:ind w:left="6807" w:hanging="279"/>
      </w:pPr>
      <w:rPr>
        <w:rFonts w:hint="default"/>
        <w:lang w:val="es-ES" w:eastAsia="es-ES" w:bidi="es-ES"/>
      </w:rPr>
    </w:lvl>
    <w:lvl w:ilvl="7">
      <w:start w:val="0"/>
      <w:numFmt w:val="bullet"/>
      <w:lvlText w:val="•"/>
      <w:lvlJc w:val="left"/>
      <w:pPr>
        <w:ind w:left="7761" w:hanging="279"/>
      </w:pPr>
      <w:rPr>
        <w:rFonts w:hint="default"/>
        <w:lang w:val="es-ES" w:eastAsia="es-ES" w:bidi="es-ES"/>
      </w:rPr>
    </w:lvl>
    <w:lvl w:ilvl="8">
      <w:start w:val="0"/>
      <w:numFmt w:val="bullet"/>
      <w:lvlText w:val="•"/>
      <w:lvlJc w:val="left"/>
      <w:pPr>
        <w:ind w:left="8716" w:hanging="279"/>
      </w:pPr>
      <w:rPr>
        <w:rFonts w:hint="default"/>
        <w:lang w:val="es-ES" w:eastAsia="es-ES" w:bidi="es-ES"/>
      </w:rPr>
    </w:lvl>
  </w:abstractNum>
  <w:abstractNum w:abstractNumId="277">
    <w:multiLevelType w:val="hybridMultilevel"/>
    <w:lvl w:ilvl="0">
      <w:start w:val="1"/>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276">
    <w:multiLevelType w:val="hybridMultilevel"/>
    <w:lvl w:ilvl="0">
      <w:start w:val="1"/>
      <w:numFmt w:val="decimal"/>
      <w:lvlText w:val="%1."/>
      <w:lvlJc w:val="left"/>
      <w:pPr>
        <w:ind w:left="1074" w:hanging="28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1"/>
      </w:pPr>
      <w:rPr>
        <w:rFonts w:hint="default"/>
        <w:lang w:val="es-ES" w:eastAsia="es-ES" w:bidi="es-ES"/>
      </w:rPr>
    </w:lvl>
    <w:lvl w:ilvl="2">
      <w:start w:val="0"/>
      <w:numFmt w:val="bullet"/>
      <w:lvlText w:val="•"/>
      <w:lvlJc w:val="left"/>
      <w:pPr>
        <w:ind w:left="2989" w:hanging="281"/>
      </w:pPr>
      <w:rPr>
        <w:rFonts w:hint="default"/>
        <w:lang w:val="es-ES" w:eastAsia="es-ES" w:bidi="es-ES"/>
      </w:rPr>
    </w:lvl>
    <w:lvl w:ilvl="3">
      <w:start w:val="0"/>
      <w:numFmt w:val="bullet"/>
      <w:lvlText w:val="•"/>
      <w:lvlJc w:val="left"/>
      <w:pPr>
        <w:ind w:left="3943" w:hanging="281"/>
      </w:pPr>
      <w:rPr>
        <w:rFonts w:hint="default"/>
        <w:lang w:val="es-ES" w:eastAsia="es-ES" w:bidi="es-ES"/>
      </w:rPr>
    </w:lvl>
    <w:lvl w:ilvl="4">
      <w:start w:val="0"/>
      <w:numFmt w:val="bullet"/>
      <w:lvlText w:val="•"/>
      <w:lvlJc w:val="left"/>
      <w:pPr>
        <w:ind w:left="4898" w:hanging="281"/>
      </w:pPr>
      <w:rPr>
        <w:rFonts w:hint="default"/>
        <w:lang w:val="es-ES" w:eastAsia="es-ES" w:bidi="es-ES"/>
      </w:rPr>
    </w:lvl>
    <w:lvl w:ilvl="5">
      <w:start w:val="0"/>
      <w:numFmt w:val="bullet"/>
      <w:lvlText w:val="•"/>
      <w:lvlJc w:val="left"/>
      <w:pPr>
        <w:ind w:left="5852" w:hanging="281"/>
      </w:pPr>
      <w:rPr>
        <w:rFonts w:hint="default"/>
        <w:lang w:val="es-ES" w:eastAsia="es-ES" w:bidi="es-ES"/>
      </w:rPr>
    </w:lvl>
    <w:lvl w:ilvl="6">
      <w:start w:val="0"/>
      <w:numFmt w:val="bullet"/>
      <w:lvlText w:val="•"/>
      <w:lvlJc w:val="left"/>
      <w:pPr>
        <w:ind w:left="6807" w:hanging="281"/>
      </w:pPr>
      <w:rPr>
        <w:rFonts w:hint="default"/>
        <w:lang w:val="es-ES" w:eastAsia="es-ES" w:bidi="es-ES"/>
      </w:rPr>
    </w:lvl>
    <w:lvl w:ilvl="7">
      <w:start w:val="0"/>
      <w:numFmt w:val="bullet"/>
      <w:lvlText w:val="•"/>
      <w:lvlJc w:val="left"/>
      <w:pPr>
        <w:ind w:left="7761" w:hanging="281"/>
      </w:pPr>
      <w:rPr>
        <w:rFonts w:hint="default"/>
        <w:lang w:val="es-ES" w:eastAsia="es-ES" w:bidi="es-ES"/>
      </w:rPr>
    </w:lvl>
    <w:lvl w:ilvl="8">
      <w:start w:val="0"/>
      <w:numFmt w:val="bullet"/>
      <w:lvlText w:val="•"/>
      <w:lvlJc w:val="left"/>
      <w:pPr>
        <w:ind w:left="8716" w:hanging="281"/>
      </w:pPr>
      <w:rPr>
        <w:rFonts w:hint="default"/>
        <w:lang w:val="es-ES" w:eastAsia="es-ES" w:bidi="es-ES"/>
      </w:rPr>
    </w:lvl>
  </w:abstractNum>
  <w:abstractNum w:abstractNumId="275">
    <w:multiLevelType w:val="hybridMultilevel"/>
    <w:lvl w:ilvl="0">
      <w:start w:val="1"/>
      <w:numFmt w:val="decimal"/>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274">
    <w:multiLevelType w:val="hybridMultilevel"/>
    <w:lvl w:ilvl="0">
      <w:start w:val="1"/>
      <w:numFmt w:val="decimal"/>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273">
    <w:multiLevelType w:val="hybridMultilevel"/>
    <w:lvl w:ilvl="0">
      <w:start w:val="1"/>
      <w:numFmt w:val="decimal"/>
      <w:lvlText w:val="%1."/>
      <w:lvlJc w:val="left"/>
      <w:pPr>
        <w:ind w:left="1074" w:hanging="254"/>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54"/>
      </w:pPr>
      <w:rPr>
        <w:rFonts w:hint="default"/>
        <w:lang w:val="es-ES" w:eastAsia="es-ES" w:bidi="es-ES"/>
      </w:rPr>
    </w:lvl>
    <w:lvl w:ilvl="2">
      <w:start w:val="0"/>
      <w:numFmt w:val="bullet"/>
      <w:lvlText w:val="•"/>
      <w:lvlJc w:val="left"/>
      <w:pPr>
        <w:ind w:left="2989" w:hanging="254"/>
      </w:pPr>
      <w:rPr>
        <w:rFonts w:hint="default"/>
        <w:lang w:val="es-ES" w:eastAsia="es-ES" w:bidi="es-ES"/>
      </w:rPr>
    </w:lvl>
    <w:lvl w:ilvl="3">
      <w:start w:val="0"/>
      <w:numFmt w:val="bullet"/>
      <w:lvlText w:val="•"/>
      <w:lvlJc w:val="left"/>
      <w:pPr>
        <w:ind w:left="3943" w:hanging="254"/>
      </w:pPr>
      <w:rPr>
        <w:rFonts w:hint="default"/>
        <w:lang w:val="es-ES" w:eastAsia="es-ES" w:bidi="es-ES"/>
      </w:rPr>
    </w:lvl>
    <w:lvl w:ilvl="4">
      <w:start w:val="0"/>
      <w:numFmt w:val="bullet"/>
      <w:lvlText w:val="•"/>
      <w:lvlJc w:val="left"/>
      <w:pPr>
        <w:ind w:left="4898" w:hanging="254"/>
      </w:pPr>
      <w:rPr>
        <w:rFonts w:hint="default"/>
        <w:lang w:val="es-ES" w:eastAsia="es-ES" w:bidi="es-ES"/>
      </w:rPr>
    </w:lvl>
    <w:lvl w:ilvl="5">
      <w:start w:val="0"/>
      <w:numFmt w:val="bullet"/>
      <w:lvlText w:val="•"/>
      <w:lvlJc w:val="left"/>
      <w:pPr>
        <w:ind w:left="5852" w:hanging="254"/>
      </w:pPr>
      <w:rPr>
        <w:rFonts w:hint="default"/>
        <w:lang w:val="es-ES" w:eastAsia="es-ES" w:bidi="es-ES"/>
      </w:rPr>
    </w:lvl>
    <w:lvl w:ilvl="6">
      <w:start w:val="0"/>
      <w:numFmt w:val="bullet"/>
      <w:lvlText w:val="•"/>
      <w:lvlJc w:val="left"/>
      <w:pPr>
        <w:ind w:left="6807" w:hanging="254"/>
      </w:pPr>
      <w:rPr>
        <w:rFonts w:hint="default"/>
        <w:lang w:val="es-ES" w:eastAsia="es-ES" w:bidi="es-ES"/>
      </w:rPr>
    </w:lvl>
    <w:lvl w:ilvl="7">
      <w:start w:val="0"/>
      <w:numFmt w:val="bullet"/>
      <w:lvlText w:val="•"/>
      <w:lvlJc w:val="left"/>
      <w:pPr>
        <w:ind w:left="7761" w:hanging="254"/>
      </w:pPr>
      <w:rPr>
        <w:rFonts w:hint="default"/>
        <w:lang w:val="es-ES" w:eastAsia="es-ES" w:bidi="es-ES"/>
      </w:rPr>
    </w:lvl>
    <w:lvl w:ilvl="8">
      <w:start w:val="0"/>
      <w:numFmt w:val="bullet"/>
      <w:lvlText w:val="•"/>
      <w:lvlJc w:val="left"/>
      <w:pPr>
        <w:ind w:left="8716" w:hanging="254"/>
      </w:pPr>
      <w:rPr>
        <w:rFonts w:hint="default"/>
        <w:lang w:val="es-ES" w:eastAsia="es-ES" w:bidi="es-ES"/>
      </w:rPr>
    </w:lvl>
  </w:abstractNum>
  <w:abstractNum w:abstractNumId="272">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71">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70">
    <w:multiLevelType w:val="hybridMultilevel"/>
    <w:lvl w:ilvl="0">
      <w:start w:val="1"/>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269">
    <w:multiLevelType w:val="hybridMultilevel"/>
    <w:lvl w:ilvl="0">
      <w:start w:val="1"/>
      <w:numFmt w:val="decimal"/>
      <w:lvlText w:val="%1."/>
      <w:lvlJc w:val="left"/>
      <w:pPr>
        <w:ind w:left="107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6"/>
      </w:pPr>
      <w:rPr>
        <w:rFonts w:hint="default"/>
        <w:lang w:val="es-ES" w:eastAsia="es-ES" w:bidi="es-ES"/>
      </w:rPr>
    </w:lvl>
    <w:lvl w:ilvl="2">
      <w:start w:val="0"/>
      <w:numFmt w:val="bullet"/>
      <w:lvlText w:val="•"/>
      <w:lvlJc w:val="left"/>
      <w:pPr>
        <w:ind w:left="2989" w:hanging="236"/>
      </w:pPr>
      <w:rPr>
        <w:rFonts w:hint="default"/>
        <w:lang w:val="es-ES" w:eastAsia="es-ES" w:bidi="es-ES"/>
      </w:rPr>
    </w:lvl>
    <w:lvl w:ilvl="3">
      <w:start w:val="0"/>
      <w:numFmt w:val="bullet"/>
      <w:lvlText w:val="•"/>
      <w:lvlJc w:val="left"/>
      <w:pPr>
        <w:ind w:left="3943" w:hanging="236"/>
      </w:pPr>
      <w:rPr>
        <w:rFonts w:hint="default"/>
        <w:lang w:val="es-ES" w:eastAsia="es-ES" w:bidi="es-ES"/>
      </w:rPr>
    </w:lvl>
    <w:lvl w:ilvl="4">
      <w:start w:val="0"/>
      <w:numFmt w:val="bullet"/>
      <w:lvlText w:val="•"/>
      <w:lvlJc w:val="left"/>
      <w:pPr>
        <w:ind w:left="4898" w:hanging="236"/>
      </w:pPr>
      <w:rPr>
        <w:rFonts w:hint="default"/>
        <w:lang w:val="es-ES" w:eastAsia="es-ES" w:bidi="es-ES"/>
      </w:rPr>
    </w:lvl>
    <w:lvl w:ilvl="5">
      <w:start w:val="0"/>
      <w:numFmt w:val="bullet"/>
      <w:lvlText w:val="•"/>
      <w:lvlJc w:val="left"/>
      <w:pPr>
        <w:ind w:left="5852" w:hanging="236"/>
      </w:pPr>
      <w:rPr>
        <w:rFonts w:hint="default"/>
        <w:lang w:val="es-ES" w:eastAsia="es-ES" w:bidi="es-ES"/>
      </w:rPr>
    </w:lvl>
    <w:lvl w:ilvl="6">
      <w:start w:val="0"/>
      <w:numFmt w:val="bullet"/>
      <w:lvlText w:val="•"/>
      <w:lvlJc w:val="left"/>
      <w:pPr>
        <w:ind w:left="6807" w:hanging="236"/>
      </w:pPr>
      <w:rPr>
        <w:rFonts w:hint="default"/>
        <w:lang w:val="es-ES" w:eastAsia="es-ES" w:bidi="es-ES"/>
      </w:rPr>
    </w:lvl>
    <w:lvl w:ilvl="7">
      <w:start w:val="0"/>
      <w:numFmt w:val="bullet"/>
      <w:lvlText w:val="•"/>
      <w:lvlJc w:val="left"/>
      <w:pPr>
        <w:ind w:left="7761" w:hanging="236"/>
      </w:pPr>
      <w:rPr>
        <w:rFonts w:hint="default"/>
        <w:lang w:val="es-ES" w:eastAsia="es-ES" w:bidi="es-ES"/>
      </w:rPr>
    </w:lvl>
    <w:lvl w:ilvl="8">
      <w:start w:val="0"/>
      <w:numFmt w:val="bullet"/>
      <w:lvlText w:val="•"/>
      <w:lvlJc w:val="left"/>
      <w:pPr>
        <w:ind w:left="8716" w:hanging="236"/>
      </w:pPr>
      <w:rPr>
        <w:rFonts w:hint="default"/>
        <w:lang w:val="es-ES" w:eastAsia="es-ES" w:bidi="es-ES"/>
      </w:rPr>
    </w:lvl>
  </w:abstractNum>
  <w:abstractNum w:abstractNumId="268">
    <w:multiLevelType w:val="hybridMultilevel"/>
    <w:lvl w:ilvl="0">
      <w:start w:val="2"/>
      <w:numFmt w:val="decimal"/>
      <w:lvlText w:val="%1."/>
      <w:lvlJc w:val="left"/>
      <w:pPr>
        <w:ind w:left="1074" w:hanging="255"/>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034" w:hanging="255"/>
      </w:pPr>
      <w:rPr>
        <w:rFonts w:hint="default"/>
        <w:lang w:val="es-ES" w:eastAsia="es-ES" w:bidi="es-ES"/>
      </w:rPr>
    </w:lvl>
    <w:lvl w:ilvl="2">
      <w:start w:val="0"/>
      <w:numFmt w:val="bullet"/>
      <w:lvlText w:val="•"/>
      <w:lvlJc w:val="left"/>
      <w:pPr>
        <w:ind w:left="2989" w:hanging="255"/>
      </w:pPr>
      <w:rPr>
        <w:rFonts w:hint="default"/>
        <w:lang w:val="es-ES" w:eastAsia="es-ES" w:bidi="es-ES"/>
      </w:rPr>
    </w:lvl>
    <w:lvl w:ilvl="3">
      <w:start w:val="0"/>
      <w:numFmt w:val="bullet"/>
      <w:lvlText w:val="•"/>
      <w:lvlJc w:val="left"/>
      <w:pPr>
        <w:ind w:left="3943" w:hanging="255"/>
      </w:pPr>
      <w:rPr>
        <w:rFonts w:hint="default"/>
        <w:lang w:val="es-ES" w:eastAsia="es-ES" w:bidi="es-ES"/>
      </w:rPr>
    </w:lvl>
    <w:lvl w:ilvl="4">
      <w:start w:val="0"/>
      <w:numFmt w:val="bullet"/>
      <w:lvlText w:val="•"/>
      <w:lvlJc w:val="left"/>
      <w:pPr>
        <w:ind w:left="4898" w:hanging="255"/>
      </w:pPr>
      <w:rPr>
        <w:rFonts w:hint="default"/>
        <w:lang w:val="es-ES" w:eastAsia="es-ES" w:bidi="es-ES"/>
      </w:rPr>
    </w:lvl>
    <w:lvl w:ilvl="5">
      <w:start w:val="0"/>
      <w:numFmt w:val="bullet"/>
      <w:lvlText w:val="•"/>
      <w:lvlJc w:val="left"/>
      <w:pPr>
        <w:ind w:left="5852" w:hanging="255"/>
      </w:pPr>
      <w:rPr>
        <w:rFonts w:hint="default"/>
        <w:lang w:val="es-ES" w:eastAsia="es-ES" w:bidi="es-ES"/>
      </w:rPr>
    </w:lvl>
    <w:lvl w:ilvl="6">
      <w:start w:val="0"/>
      <w:numFmt w:val="bullet"/>
      <w:lvlText w:val="•"/>
      <w:lvlJc w:val="left"/>
      <w:pPr>
        <w:ind w:left="6807" w:hanging="255"/>
      </w:pPr>
      <w:rPr>
        <w:rFonts w:hint="default"/>
        <w:lang w:val="es-ES" w:eastAsia="es-ES" w:bidi="es-ES"/>
      </w:rPr>
    </w:lvl>
    <w:lvl w:ilvl="7">
      <w:start w:val="0"/>
      <w:numFmt w:val="bullet"/>
      <w:lvlText w:val="•"/>
      <w:lvlJc w:val="left"/>
      <w:pPr>
        <w:ind w:left="7761" w:hanging="255"/>
      </w:pPr>
      <w:rPr>
        <w:rFonts w:hint="default"/>
        <w:lang w:val="es-ES" w:eastAsia="es-ES" w:bidi="es-ES"/>
      </w:rPr>
    </w:lvl>
    <w:lvl w:ilvl="8">
      <w:start w:val="0"/>
      <w:numFmt w:val="bullet"/>
      <w:lvlText w:val="•"/>
      <w:lvlJc w:val="left"/>
      <w:pPr>
        <w:ind w:left="8716" w:hanging="255"/>
      </w:pPr>
      <w:rPr>
        <w:rFonts w:hint="default"/>
        <w:lang w:val="es-ES" w:eastAsia="es-ES" w:bidi="es-ES"/>
      </w:rPr>
    </w:lvl>
  </w:abstractNum>
  <w:abstractNum w:abstractNumId="267">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66">
    <w:multiLevelType w:val="hybridMultilevel"/>
    <w:lvl w:ilvl="0">
      <w:start w:val="1"/>
      <w:numFmt w:val="lowerLetter"/>
      <w:lvlText w:val="%1)"/>
      <w:lvlJc w:val="left"/>
      <w:pPr>
        <w:ind w:left="1074" w:hanging="280"/>
        <w:jc w:val="left"/>
      </w:pPr>
      <w:rPr>
        <w:rFonts w:hint="default" w:ascii="Arial" w:hAnsi="Arial" w:eastAsia="Arial" w:cs="Arial"/>
        <w:spacing w:val="-11"/>
        <w:w w:val="100"/>
        <w:sz w:val="20"/>
        <w:szCs w:val="20"/>
        <w:lang w:val="es-ES" w:eastAsia="es-ES" w:bidi="es-ES"/>
      </w:rPr>
    </w:lvl>
    <w:lvl w:ilvl="1">
      <w:start w:val="0"/>
      <w:numFmt w:val="bullet"/>
      <w:lvlText w:val="•"/>
      <w:lvlJc w:val="left"/>
      <w:pPr>
        <w:ind w:left="2034" w:hanging="280"/>
      </w:pPr>
      <w:rPr>
        <w:rFonts w:hint="default"/>
        <w:lang w:val="es-ES" w:eastAsia="es-ES" w:bidi="es-ES"/>
      </w:rPr>
    </w:lvl>
    <w:lvl w:ilvl="2">
      <w:start w:val="0"/>
      <w:numFmt w:val="bullet"/>
      <w:lvlText w:val="•"/>
      <w:lvlJc w:val="left"/>
      <w:pPr>
        <w:ind w:left="2989" w:hanging="280"/>
      </w:pPr>
      <w:rPr>
        <w:rFonts w:hint="default"/>
        <w:lang w:val="es-ES" w:eastAsia="es-ES" w:bidi="es-ES"/>
      </w:rPr>
    </w:lvl>
    <w:lvl w:ilvl="3">
      <w:start w:val="0"/>
      <w:numFmt w:val="bullet"/>
      <w:lvlText w:val="•"/>
      <w:lvlJc w:val="left"/>
      <w:pPr>
        <w:ind w:left="3943" w:hanging="280"/>
      </w:pPr>
      <w:rPr>
        <w:rFonts w:hint="default"/>
        <w:lang w:val="es-ES" w:eastAsia="es-ES" w:bidi="es-ES"/>
      </w:rPr>
    </w:lvl>
    <w:lvl w:ilvl="4">
      <w:start w:val="0"/>
      <w:numFmt w:val="bullet"/>
      <w:lvlText w:val="•"/>
      <w:lvlJc w:val="left"/>
      <w:pPr>
        <w:ind w:left="4898" w:hanging="280"/>
      </w:pPr>
      <w:rPr>
        <w:rFonts w:hint="default"/>
        <w:lang w:val="es-ES" w:eastAsia="es-ES" w:bidi="es-ES"/>
      </w:rPr>
    </w:lvl>
    <w:lvl w:ilvl="5">
      <w:start w:val="0"/>
      <w:numFmt w:val="bullet"/>
      <w:lvlText w:val="•"/>
      <w:lvlJc w:val="left"/>
      <w:pPr>
        <w:ind w:left="5852" w:hanging="280"/>
      </w:pPr>
      <w:rPr>
        <w:rFonts w:hint="default"/>
        <w:lang w:val="es-ES" w:eastAsia="es-ES" w:bidi="es-ES"/>
      </w:rPr>
    </w:lvl>
    <w:lvl w:ilvl="6">
      <w:start w:val="0"/>
      <w:numFmt w:val="bullet"/>
      <w:lvlText w:val="•"/>
      <w:lvlJc w:val="left"/>
      <w:pPr>
        <w:ind w:left="6807" w:hanging="280"/>
      </w:pPr>
      <w:rPr>
        <w:rFonts w:hint="default"/>
        <w:lang w:val="es-ES" w:eastAsia="es-ES" w:bidi="es-ES"/>
      </w:rPr>
    </w:lvl>
    <w:lvl w:ilvl="7">
      <w:start w:val="0"/>
      <w:numFmt w:val="bullet"/>
      <w:lvlText w:val="•"/>
      <w:lvlJc w:val="left"/>
      <w:pPr>
        <w:ind w:left="7761" w:hanging="280"/>
      </w:pPr>
      <w:rPr>
        <w:rFonts w:hint="default"/>
        <w:lang w:val="es-ES" w:eastAsia="es-ES" w:bidi="es-ES"/>
      </w:rPr>
    </w:lvl>
    <w:lvl w:ilvl="8">
      <w:start w:val="0"/>
      <w:numFmt w:val="bullet"/>
      <w:lvlText w:val="•"/>
      <w:lvlJc w:val="left"/>
      <w:pPr>
        <w:ind w:left="8716" w:hanging="280"/>
      </w:pPr>
      <w:rPr>
        <w:rFonts w:hint="default"/>
        <w:lang w:val="es-ES" w:eastAsia="es-ES" w:bidi="es-ES"/>
      </w:rPr>
    </w:lvl>
  </w:abstractNum>
  <w:abstractNum w:abstractNumId="265">
    <w:multiLevelType w:val="hybridMultilevel"/>
    <w:lvl w:ilvl="0">
      <w:start w:val="1"/>
      <w:numFmt w:val="decimal"/>
      <w:lvlText w:val="%1."/>
      <w:lvlJc w:val="left"/>
      <w:pPr>
        <w:ind w:left="1074" w:hanging="314"/>
        <w:jc w:val="left"/>
      </w:pPr>
      <w:rPr>
        <w:rFonts w:hint="default" w:ascii="Arial" w:hAnsi="Arial" w:eastAsia="Arial" w:cs="Arial"/>
        <w:spacing w:val="-21"/>
        <w:w w:val="100"/>
        <w:sz w:val="20"/>
        <w:szCs w:val="20"/>
        <w:lang w:val="es-ES" w:eastAsia="es-ES" w:bidi="es-ES"/>
      </w:rPr>
    </w:lvl>
    <w:lvl w:ilvl="1">
      <w:start w:val="0"/>
      <w:numFmt w:val="bullet"/>
      <w:lvlText w:val="•"/>
      <w:lvlJc w:val="left"/>
      <w:pPr>
        <w:ind w:left="2034" w:hanging="314"/>
      </w:pPr>
      <w:rPr>
        <w:rFonts w:hint="default"/>
        <w:lang w:val="es-ES" w:eastAsia="es-ES" w:bidi="es-ES"/>
      </w:rPr>
    </w:lvl>
    <w:lvl w:ilvl="2">
      <w:start w:val="0"/>
      <w:numFmt w:val="bullet"/>
      <w:lvlText w:val="•"/>
      <w:lvlJc w:val="left"/>
      <w:pPr>
        <w:ind w:left="2989" w:hanging="314"/>
      </w:pPr>
      <w:rPr>
        <w:rFonts w:hint="default"/>
        <w:lang w:val="es-ES" w:eastAsia="es-ES" w:bidi="es-ES"/>
      </w:rPr>
    </w:lvl>
    <w:lvl w:ilvl="3">
      <w:start w:val="0"/>
      <w:numFmt w:val="bullet"/>
      <w:lvlText w:val="•"/>
      <w:lvlJc w:val="left"/>
      <w:pPr>
        <w:ind w:left="3943" w:hanging="314"/>
      </w:pPr>
      <w:rPr>
        <w:rFonts w:hint="default"/>
        <w:lang w:val="es-ES" w:eastAsia="es-ES" w:bidi="es-ES"/>
      </w:rPr>
    </w:lvl>
    <w:lvl w:ilvl="4">
      <w:start w:val="0"/>
      <w:numFmt w:val="bullet"/>
      <w:lvlText w:val="•"/>
      <w:lvlJc w:val="left"/>
      <w:pPr>
        <w:ind w:left="4898" w:hanging="314"/>
      </w:pPr>
      <w:rPr>
        <w:rFonts w:hint="default"/>
        <w:lang w:val="es-ES" w:eastAsia="es-ES" w:bidi="es-ES"/>
      </w:rPr>
    </w:lvl>
    <w:lvl w:ilvl="5">
      <w:start w:val="0"/>
      <w:numFmt w:val="bullet"/>
      <w:lvlText w:val="•"/>
      <w:lvlJc w:val="left"/>
      <w:pPr>
        <w:ind w:left="5852" w:hanging="314"/>
      </w:pPr>
      <w:rPr>
        <w:rFonts w:hint="default"/>
        <w:lang w:val="es-ES" w:eastAsia="es-ES" w:bidi="es-ES"/>
      </w:rPr>
    </w:lvl>
    <w:lvl w:ilvl="6">
      <w:start w:val="0"/>
      <w:numFmt w:val="bullet"/>
      <w:lvlText w:val="•"/>
      <w:lvlJc w:val="left"/>
      <w:pPr>
        <w:ind w:left="6807" w:hanging="314"/>
      </w:pPr>
      <w:rPr>
        <w:rFonts w:hint="default"/>
        <w:lang w:val="es-ES" w:eastAsia="es-ES" w:bidi="es-ES"/>
      </w:rPr>
    </w:lvl>
    <w:lvl w:ilvl="7">
      <w:start w:val="0"/>
      <w:numFmt w:val="bullet"/>
      <w:lvlText w:val="•"/>
      <w:lvlJc w:val="left"/>
      <w:pPr>
        <w:ind w:left="7761" w:hanging="314"/>
      </w:pPr>
      <w:rPr>
        <w:rFonts w:hint="default"/>
        <w:lang w:val="es-ES" w:eastAsia="es-ES" w:bidi="es-ES"/>
      </w:rPr>
    </w:lvl>
    <w:lvl w:ilvl="8">
      <w:start w:val="0"/>
      <w:numFmt w:val="bullet"/>
      <w:lvlText w:val="•"/>
      <w:lvlJc w:val="left"/>
      <w:pPr>
        <w:ind w:left="8716" w:hanging="314"/>
      </w:pPr>
      <w:rPr>
        <w:rFonts w:hint="default"/>
        <w:lang w:val="es-ES" w:eastAsia="es-ES" w:bidi="es-ES"/>
      </w:rPr>
    </w:lvl>
  </w:abstractNum>
  <w:abstractNum w:abstractNumId="264">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6"/>
      </w:pPr>
      <w:rPr>
        <w:rFonts w:hint="default"/>
        <w:lang w:val="es-ES" w:eastAsia="es-ES" w:bidi="es-ES"/>
      </w:rPr>
    </w:lvl>
    <w:lvl w:ilvl="2">
      <w:start w:val="0"/>
      <w:numFmt w:val="bullet"/>
      <w:lvlText w:val="•"/>
      <w:lvlJc w:val="left"/>
      <w:pPr>
        <w:ind w:left="2989" w:hanging="226"/>
      </w:pPr>
      <w:rPr>
        <w:rFonts w:hint="default"/>
        <w:lang w:val="es-ES" w:eastAsia="es-ES" w:bidi="es-ES"/>
      </w:rPr>
    </w:lvl>
    <w:lvl w:ilvl="3">
      <w:start w:val="0"/>
      <w:numFmt w:val="bullet"/>
      <w:lvlText w:val="•"/>
      <w:lvlJc w:val="left"/>
      <w:pPr>
        <w:ind w:left="3943" w:hanging="226"/>
      </w:pPr>
      <w:rPr>
        <w:rFonts w:hint="default"/>
        <w:lang w:val="es-ES" w:eastAsia="es-ES" w:bidi="es-ES"/>
      </w:rPr>
    </w:lvl>
    <w:lvl w:ilvl="4">
      <w:start w:val="0"/>
      <w:numFmt w:val="bullet"/>
      <w:lvlText w:val="•"/>
      <w:lvlJc w:val="left"/>
      <w:pPr>
        <w:ind w:left="4898" w:hanging="226"/>
      </w:pPr>
      <w:rPr>
        <w:rFonts w:hint="default"/>
        <w:lang w:val="es-ES" w:eastAsia="es-ES" w:bidi="es-ES"/>
      </w:rPr>
    </w:lvl>
    <w:lvl w:ilvl="5">
      <w:start w:val="0"/>
      <w:numFmt w:val="bullet"/>
      <w:lvlText w:val="•"/>
      <w:lvlJc w:val="left"/>
      <w:pPr>
        <w:ind w:left="5852" w:hanging="226"/>
      </w:pPr>
      <w:rPr>
        <w:rFonts w:hint="default"/>
        <w:lang w:val="es-ES" w:eastAsia="es-ES" w:bidi="es-ES"/>
      </w:rPr>
    </w:lvl>
    <w:lvl w:ilvl="6">
      <w:start w:val="0"/>
      <w:numFmt w:val="bullet"/>
      <w:lvlText w:val="•"/>
      <w:lvlJc w:val="left"/>
      <w:pPr>
        <w:ind w:left="6807" w:hanging="226"/>
      </w:pPr>
      <w:rPr>
        <w:rFonts w:hint="default"/>
        <w:lang w:val="es-ES" w:eastAsia="es-ES" w:bidi="es-ES"/>
      </w:rPr>
    </w:lvl>
    <w:lvl w:ilvl="7">
      <w:start w:val="0"/>
      <w:numFmt w:val="bullet"/>
      <w:lvlText w:val="•"/>
      <w:lvlJc w:val="left"/>
      <w:pPr>
        <w:ind w:left="7761" w:hanging="226"/>
      </w:pPr>
      <w:rPr>
        <w:rFonts w:hint="default"/>
        <w:lang w:val="es-ES" w:eastAsia="es-ES" w:bidi="es-ES"/>
      </w:rPr>
    </w:lvl>
    <w:lvl w:ilvl="8">
      <w:start w:val="0"/>
      <w:numFmt w:val="bullet"/>
      <w:lvlText w:val="•"/>
      <w:lvlJc w:val="left"/>
      <w:pPr>
        <w:ind w:left="8716" w:hanging="226"/>
      </w:pPr>
      <w:rPr>
        <w:rFonts w:hint="default"/>
        <w:lang w:val="es-ES" w:eastAsia="es-ES" w:bidi="es-ES"/>
      </w:rPr>
    </w:lvl>
  </w:abstractNum>
  <w:abstractNum w:abstractNumId="263">
    <w:multiLevelType w:val="hybridMultilevel"/>
    <w:lvl w:ilvl="0">
      <w:start w:val="1"/>
      <w:numFmt w:val="decimal"/>
      <w:lvlText w:val="%1."/>
      <w:lvlJc w:val="left"/>
      <w:pPr>
        <w:ind w:left="1074" w:hanging="263"/>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63"/>
      </w:pPr>
      <w:rPr>
        <w:rFonts w:hint="default"/>
        <w:lang w:val="es-ES" w:eastAsia="es-ES" w:bidi="es-ES"/>
      </w:rPr>
    </w:lvl>
    <w:lvl w:ilvl="2">
      <w:start w:val="0"/>
      <w:numFmt w:val="bullet"/>
      <w:lvlText w:val="•"/>
      <w:lvlJc w:val="left"/>
      <w:pPr>
        <w:ind w:left="2989" w:hanging="263"/>
      </w:pPr>
      <w:rPr>
        <w:rFonts w:hint="default"/>
        <w:lang w:val="es-ES" w:eastAsia="es-ES" w:bidi="es-ES"/>
      </w:rPr>
    </w:lvl>
    <w:lvl w:ilvl="3">
      <w:start w:val="0"/>
      <w:numFmt w:val="bullet"/>
      <w:lvlText w:val="•"/>
      <w:lvlJc w:val="left"/>
      <w:pPr>
        <w:ind w:left="3943" w:hanging="263"/>
      </w:pPr>
      <w:rPr>
        <w:rFonts w:hint="default"/>
        <w:lang w:val="es-ES" w:eastAsia="es-ES" w:bidi="es-ES"/>
      </w:rPr>
    </w:lvl>
    <w:lvl w:ilvl="4">
      <w:start w:val="0"/>
      <w:numFmt w:val="bullet"/>
      <w:lvlText w:val="•"/>
      <w:lvlJc w:val="left"/>
      <w:pPr>
        <w:ind w:left="4898" w:hanging="263"/>
      </w:pPr>
      <w:rPr>
        <w:rFonts w:hint="default"/>
        <w:lang w:val="es-ES" w:eastAsia="es-ES" w:bidi="es-ES"/>
      </w:rPr>
    </w:lvl>
    <w:lvl w:ilvl="5">
      <w:start w:val="0"/>
      <w:numFmt w:val="bullet"/>
      <w:lvlText w:val="•"/>
      <w:lvlJc w:val="left"/>
      <w:pPr>
        <w:ind w:left="5852" w:hanging="263"/>
      </w:pPr>
      <w:rPr>
        <w:rFonts w:hint="default"/>
        <w:lang w:val="es-ES" w:eastAsia="es-ES" w:bidi="es-ES"/>
      </w:rPr>
    </w:lvl>
    <w:lvl w:ilvl="6">
      <w:start w:val="0"/>
      <w:numFmt w:val="bullet"/>
      <w:lvlText w:val="•"/>
      <w:lvlJc w:val="left"/>
      <w:pPr>
        <w:ind w:left="6807" w:hanging="263"/>
      </w:pPr>
      <w:rPr>
        <w:rFonts w:hint="default"/>
        <w:lang w:val="es-ES" w:eastAsia="es-ES" w:bidi="es-ES"/>
      </w:rPr>
    </w:lvl>
    <w:lvl w:ilvl="7">
      <w:start w:val="0"/>
      <w:numFmt w:val="bullet"/>
      <w:lvlText w:val="•"/>
      <w:lvlJc w:val="left"/>
      <w:pPr>
        <w:ind w:left="7761" w:hanging="263"/>
      </w:pPr>
      <w:rPr>
        <w:rFonts w:hint="default"/>
        <w:lang w:val="es-ES" w:eastAsia="es-ES" w:bidi="es-ES"/>
      </w:rPr>
    </w:lvl>
    <w:lvl w:ilvl="8">
      <w:start w:val="0"/>
      <w:numFmt w:val="bullet"/>
      <w:lvlText w:val="•"/>
      <w:lvlJc w:val="left"/>
      <w:pPr>
        <w:ind w:left="8716" w:hanging="263"/>
      </w:pPr>
      <w:rPr>
        <w:rFonts w:hint="default"/>
        <w:lang w:val="es-ES" w:eastAsia="es-ES" w:bidi="es-ES"/>
      </w:rPr>
    </w:lvl>
  </w:abstractNum>
  <w:abstractNum w:abstractNumId="262">
    <w:multiLevelType w:val="hybridMultilevel"/>
    <w:lvl w:ilvl="0">
      <w:start w:val="1"/>
      <w:numFmt w:val="decimal"/>
      <w:lvlText w:val="%1."/>
      <w:lvlJc w:val="left"/>
      <w:pPr>
        <w:ind w:left="1074" w:hanging="251"/>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261">
    <w:multiLevelType w:val="hybridMultilevel"/>
    <w:lvl w:ilvl="0">
      <w:start w:val="2"/>
      <w:numFmt w:val="decimal"/>
      <w:lvlText w:val="%1."/>
      <w:lvlJc w:val="left"/>
      <w:pPr>
        <w:ind w:left="1074" w:hanging="224"/>
        <w:jc w:val="left"/>
      </w:pPr>
      <w:rPr>
        <w:rFonts w:hint="default" w:ascii="Arial" w:hAnsi="Arial" w:eastAsia="Arial" w:cs="Arial"/>
        <w:spacing w:val="-19"/>
        <w:w w:val="100"/>
        <w:sz w:val="20"/>
        <w:szCs w:val="20"/>
        <w:lang w:val="es-ES" w:eastAsia="es-ES" w:bidi="es-ES"/>
      </w:rPr>
    </w:lvl>
    <w:lvl w:ilvl="1">
      <w:start w:val="0"/>
      <w:numFmt w:val="bullet"/>
      <w:lvlText w:val="•"/>
      <w:lvlJc w:val="left"/>
      <w:pPr>
        <w:ind w:left="2034" w:hanging="224"/>
      </w:pPr>
      <w:rPr>
        <w:rFonts w:hint="default"/>
        <w:lang w:val="es-ES" w:eastAsia="es-ES" w:bidi="es-ES"/>
      </w:rPr>
    </w:lvl>
    <w:lvl w:ilvl="2">
      <w:start w:val="0"/>
      <w:numFmt w:val="bullet"/>
      <w:lvlText w:val="•"/>
      <w:lvlJc w:val="left"/>
      <w:pPr>
        <w:ind w:left="2989" w:hanging="224"/>
      </w:pPr>
      <w:rPr>
        <w:rFonts w:hint="default"/>
        <w:lang w:val="es-ES" w:eastAsia="es-ES" w:bidi="es-ES"/>
      </w:rPr>
    </w:lvl>
    <w:lvl w:ilvl="3">
      <w:start w:val="0"/>
      <w:numFmt w:val="bullet"/>
      <w:lvlText w:val="•"/>
      <w:lvlJc w:val="left"/>
      <w:pPr>
        <w:ind w:left="3943" w:hanging="224"/>
      </w:pPr>
      <w:rPr>
        <w:rFonts w:hint="default"/>
        <w:lang w:val="es-ES" w:eastAsia="es-ES" w:bidi="es-ES"/>
      </w:rPr>
    </w:lvl>
    <w:lvl w:ilvl="4">
      <w:start w:val="0"/>
      <w:numFmt w:val="bullet"/>
      <w:lvlText w:val="•"/>
      <w:lvlJc w:val="left"/>
      <w:pPr>
        <w:ind w:left="4898" w:hanging="224"/>
      </w:pPr>
      <w:rPr>
        <w:rFonts w:hint="default"/>
        <w:lang w:val="es-ES" w:eastAsia="es-ES" w:bidi="es-ES"/>
      </w:rPr>
    </w:lvl>
    <w:lvl w:ilvl="5">
      <w:start w:val="0"/>
      <w:numFmt w:val="bullet"/>
      <w:lvlText w:val="•"/>
      <w:lvlJc w:val="left"/>
      <w:pPr>
        <w:ind w:left="5852" w:hanging="224"/>
      </w:pPr>
      <w:rPr>
        <w:rFonts w:hint="default"/>
        <w:lang w:val="es-ES" w:eastAsia="es-ES" w:bidi="es-ES"/>
      </w:rPr>
    </w:lvl>
    <w:lvl w:ilvl="6">
      <w:start w:val="0"/>
      <w:numFmt w:val="bullet"/>
      <w:lvlText w:val="•"/>
      <w:lvlJc w:val="left"/>
      <w:pPr>
        <w:ind w:left="6807" w:hanging="224"/>
      </w:pPr>
      <w:rPr>
        <w:rFonts w:hint="default"/>
        <w:lang w:val="es-ES" w:eastAsia="es-ES" w:bidi="es-ES"/>
      </w:rPr>
    </w:lvl>
    <w:lvl w:ilvl="7">
      <w:start w:val="0"/>
      <w:numFmt w:val="bullet"/>
      <w:lvlText w:val="•"/>
      <w:lvlJc w:val="left"/>
      <w:pPr>
        <w:ind w:left="7761" w:hanging="224"/>
      </w:pPr>
      <w:rPr>
        <w:rFonts w:hint="default"/>
        <w:lang w:val="es-ES" w:eastAsia="es-ES" w:bidi="es-ES"/>
      </w:rPr>
    </w:lvl>
    <w:lvl w:ilvl="8">
      <w:start w:val="0"/>
      <w:numFmt w:val="bullet"/>
      <w:lvlText w:val="•"/>
      <w:lvlJc w:val="left"/>
      <w:pPr>
        <w:ind w:left="8716" w:hanging="224"/>
      </w:pPr>
      <w:rPr>
        <w:rFonts w:hint="default"/>
        <w:lang w:val="es-ES" w:eastAsia="es-ES" w:bidi="es-ES"/>
      </w:rPr>
    </w:lvl>
  </w:abstractNum>
  <w:abstractNum w:abstractNumId="260">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59">
    <w:multiLevelType w:val="hybridMultilevel"/>
    <w:lvl w:ilvl="0">
      <w:start w:val="1"/>
      <w:numFmt w:val="lowerLetter"/>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258">
    <w:multiLevelType w:val="hybridMultilevel"/>
    <w:lvl w:ilvl="0">
      <w:start w:val="1"/>
      <w:numFmt w:val="decimal"/>
      <w:lvlText w:val="%1."/>
      <w:lvlJc w:val="left"/>
      <w:pPr>
        <w:ind w:left="1074" w:hanging="24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5"/>
      </w:pPr>
      <w:rPr>
        <w:rFonts w:hint="default"/>
        <w:lang w:val="es-ES" w:eastAsia="es-ES" w:bidi="es-ES"/>
      </w:rPr>
    </w:lvl>
    <w:lvl w:ilvl="2">
      <w:start w:val="0"/>
      <w:numFmt w:val="bullet"/>
      <w:lvlText w:val="•"/>
      <w:lvlJc w:val="left"/>
      <w:pPr>
        <w:ind w:left="2989" w:hanging="245"/>
      </w:pPr>
      <w:rPr>
        <w:rFonts w:hint="default"/>
        <w:lang w:val="es-ES" w:eastAsia="es-ES" w:bidi="es-ES"/>
      </w:rPr>
    </w:lvl>
    <w:lvl w:ilvl="3">
      <w:start w:val="0"/>
      <w:numFmt w:val="bullet"/>
      <w:lvlText w:val="•"/>
      <w:lvlJc w:val="left"/>
      <w:pPr>
        <w:ind w:left="3943" w:hanging="245"/>
      </w:pPr>
      <w:rPr>
        <w:rFonts w:hint="default"/>
        <w:lang w:val="es-ES" w:eastAsia="es-ES" w:bidi="es-ES"/>
      </w:rPr>
    </w:lvl>
    <w:lvl w:ilvl="4">
      <w:start w:val="0"/>
      <w:numFmt w:val="bullet"/>
      <w:lvlText w:val="•"/>
      <w:lvlJc w:val="left"/>
      <w:pPr>
        <w:ind w:left="4898" w:hanging="245"/>
      </w:pPr>
      <w:rPr>
        <w:rFonts w:hint="default"/>
        <w:lang w:val="es-ES" w:eastAsia="es-ES" w:bidi="es-ES"/>
      </w:rPr>
    </w:lvl>
    <w:lvl w:ilvl="5">
      <w:start w:val="0"/>
      <w:numFmt w:val="bullet"/>
      <w:lvlText w:val="•"/>
      <w:lvlJc w:val="left"/>
      <w:pPr>
        <w:ind w:left="5852" w:hanging="245"/>
      </w:pPr>
      <w:rPr>
        <w:rFonts w:hint="default"/>
        <w:lang w:val="es-ES" w:eastAsia="es-ES" w:bidi="es-ES"/>
      </w:rPr>
    </w:lvl>
    <w:lvl w:ilvl="6">
      <w:start w:val="0"/>
      <w:numFmt w:val="bullet"/>
      <w:lvlText w:val="•"/>
      <w:lvlJc w:val="left"/>
      <w:pPr>
        <w:ind w:left="6807" w:hanging="245"/>
      </w:pPr>
      <w:rPr>
        <w:rFonts w:hint="default"/>
        <w:lang w:val="es-ES" w:eastAsia="es-ES" w:bidi="es-ES"/>
      </w:rPr>
    </w:lvl>
    <w:lvl w:ilvl="7">
      <w:start w:val="0"/>
      <w:numFmt w:val="bullet"/>
      <w:lvlText w:val="•"/>
      <w:lvlJc w:val="left"/>
      <w:pPr>
        <w:ind w:left="7761" w:hanging="245"/>
      </w:pPr>
      <w:rPr>
        <w:rFonts w:hint="default"/>
        <w:lang w:val="es-ES" w:eastAsia="es-ES" w:bidi="es-ES"/>
      </w:rPr>
    </w:lvl>
    <w:lvl w:ilvl="8">
      <w:start w:val="0"/>
      <w:numFmt w:val="bullet"/>
      <w:lvlText w:val="•"/>
      <w:lvlJc w:val="left"/>
      <w:pPr>
        <w:ind w:left="8716" w:hanging="245"/>
      </w:pPr>
      <w:rPr>
        <w:rFonts w:hint="default"/>
        <w:lang w:val="es-ES" w:eastAsia="es-ES" w:bidi="es-ES"/>
      </w:rPr>
    </w:lvl>
  </w:abstractNum>
  <w:abstractNum w:abstractNumId="257">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56">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55">
    <w:multiLevelType w:val="hybridMultilevel"/>
    <w:lvl w:ilvl="0">
      <w:start w:val="1"/>
      <w:numFmt w:val="decimal"/>
      <w:lvlText w:val="%1."/>
      <w:lvlJc w:val="left"/>
      <w:pPr>
        <w:ind w:left="1074" w:hanging="252"/>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52"/>
      </w:pPr>
      <w:rPr>
        <w:rFonts w:hint="default"/>
        <w:lang w:val="es-ES" w:eastAsia="es-ES" w:bidi="es-ES"/>
      </w:rPr>
    </w:lvl>
    <w:lvl w:ilvl="2">
      <w:start w:val="0"/>
      <w:numFmt w:val="bullet"/>
      <w:lvlText w:val="•"/>
      <w:lvlJc w:val="left"/>
      <w:pPr>
        <w:ind w:left="2989" w:hanging="252"/>
      </w:pPr>
      <w:rPr>
        <w:rFonts w:hint="default"/>
        <w:lang w:val="es-ES" w:eastAsia="es-ES" w:bidi="es-ES"/>
      </w:rPr>
    </w:lvl>
    <w:lvl w:ilvl="3">
      <w:start w:val="0"/>
      <w:numFmt w:val="bullet"/>
      <w:lvlText w:val="•"/>
      <w:lvlJc w:val="left"/>
      <w:pPr>
        <w:ind w:left="3943" w:hanging="252"/>
      </w:pPr>
      <w:rPr>
        <w:rFonts w:hint="default"/>
        <w:lang w:val="es-ES" w:eastAsia="es-ES" w:bidi="es-ES"/>
      </w:rPr>
    </w:lvl>
    <w:lvl w:ilvl="4">
      <w:start w:val="0"/>
      <w:numFmt w:val="bullet"/>
      <w:lvlText w:val="•"/>
      <w:lvlJc w:val="left"/>
      <w:pPr>
        <w:ind w:left="4898" w:hanging="252"/>
      </w:pPr>
      <w:rPr>
        <w:rFonts w:hint="default"/>
        <w:lang w:val="es-ES" w:eastAsia="es-ES" w:bidi="es-ES"/>
      </w:rPr>
    </w:lvl>
    <w:lvl w:ilvl="5">
      <w:start w:val="0"/>
      <w:numFmt w:val="bullet"/>
      <w:lvlText w:val="•"/>
      <w:lvlJc w:val="left"/>
      <w:pPr>
        <w:ind w:left="5852" w:hanging="252"/>
      </w:pPr>
      <w:rPr>
        <w:rFonts w:hint="default"/>
        <w:lang w:val="es-ES" w:eastAsia="es-ES" w:bidi="es-ES"/>
      </w:rPr>
    </w:lvl>
    <w:lvl w:ilvl="6">
      <w:start w:val="0"/>
      <w:numFmt w:val="bullet"/>
      <w:lvlText w:val="•"/>
      <w:lvlJc w:val="left"/>
      <w:pPr>
        <w:ind w:left="6807" w:hanging="252"/>
      </w:pPr>
      <w:rPr>
        <w:rFonts w:hint="default"/>
        <w:lang w:val="es-ES" w:eastAsia="es-ES" w:bidi="es-ES"/>
      </w:rPr>
    </w:lvl>
    <w:lvl w:ilvl="7">
      <w:start w:val="0"/>
      <w:numFmt w:val="bullet"/>
      <w:lvlText w:val="•"/>
      <w:lvlJc w:val="left"/>
      <w:pPr>
        <w:ind w:left="7761" w:hanging="252"/>
      </w:pPr>
      <w:rPr>
        <w:rFonts w:hint="default"/>
        <w:lang w:val="es-ES" w:eastAsia="es-ES" w:bidi="es-ES"/>
      </w:rPr>
    </w:lvl>
    <w:lvl w:ilvl="8">
      <w:start w:val="0"/>
      <w:numFmt w:val="bullet"/>
      <w:lvlText w:val="•"/>
      <w:lvlJc w:val="left"/>
      <w:pPr>
        <w:ind w:left="8716" w:hanging="252"/>
      </w:pPr>
      <w:rPr>
        <w:rFonts w:hint="default"/>
        <w:lang w:val="es-ES" w:eastAsia="es-ES" w:bidi="es-ES"/>
      </w:rPr>
    </w:lvl>
  </w:abstractNum>
  <w:abstractNum w:abstractNumId="254">
    <w:multiLevelType w:val="hybridMultilevel"/>
    <w:lvl w:ilvl="0">
      <w:start w:val="1"/>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253">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52">
    <w:multiLevelType w:val="hybridMultilevel"/>
    <w:lvl w:ilvl="0">
      <w:start w:val="1"/>
      <w:numFmt w:val="lowerLetter"/>
      <w:lvlText w:val="%1)"/>
      <w:lvlJc w:val="left"/>
      <w:pPr>
        <w:ind w:left="1074" w:hanging="281"/>
        <w:jc w:val="left"/>
      </w:pPr>
      <w:rPr>
        <w:rFonts w:hint="default" w:ascii="Arial" w:hAnsi="Arial" w:eastAsia="Arial" w:cs="Arial"/>
        <w:spacing w:val="-8"/>
        <w:w w:val="100"/>
        <w:sz w:val="20"/>
        <w:szCs w:val="20"/>
        <w:lang w:val="es-ES" w:eastAsia="es-ES" w:bidi="es-ES"/>
      </w:rPr>
    </w:lvl>
    <w:lvl w:ilvl="1">
      <w:start w:val="0"/>
      <w:numFmt w:val="bullet"/>
      <w:lvlText w:val="•"/>
      <w:lvlJc w:val="left"/>
      <w:pPr>
        <w:ind w:left="2034" w:hanging="281"/>
      </w:pPr>
      <w:rPr>
        <w:rFonts w:hint="default"/>
        <w:lang w:val="es-ES" w:eastAsia="es-ES" w:bidi="es-ES"/>
      </w:rPr>
    </w:lvl>
    <w:lvl w:ilvl="2">
      <w:start w:val="0"/>
      <w:numFmt w:val="bullet"/>
      <w:lvlText w:val="•"/>
      <w:lvlJc w:val="left"/>
      <w:pPr>
        <w:ind w:left="2989" w:hanging="281"/>
      </w:pPr>
      <w:rPr>
        <w:rFonts w:hint="default"/>
        <w:lang w:val="es-ES" w:eastAsia="es-ES" w:bidi="es-ES"/>
      </w:rPr>
    </w:lvl>
    <w:lvl w:ilvl="3">
      <w:start w:val="0"/>
      <w:numFmt w:val="bullet"/>
      <w:lvlText w:val="•"/>
      <w:lvlJc w:val="left"/>
      <w:pPr>
        <w:ind w:left="3943" w:hanging="281"/>
      </w:pPr>
      <w:rPr>
        <w:rFonts w:hint="default"/>
        <w:lang w:val="es-ES" w:eastAsia="es-ES" w:bidi="es-ES"/>
      </w:rPr>
    </w:lvl>
    <w:lvl w:ilvl="4">
      <w:start w:val="0"/>
      <w:numFmt w:val="bullet"/>
      <w:lvlText w:val="•"/>
      <w:lvlJc w:val="left"/>
      <w:pPr>
        <w:ind w:left="4898" w:hanging="281"/>
      </w:pPr>
      <w:rPr>
        <w:rFonts w:hint="default"/>
        <w:lang w:val="es-ES" w:eastAsia="es-ES" w:bidi="es-ES"/>
      </w:rPr>
    </w:lvl>
    <w:lvl w:ilvl="5">
      <w:start w:val="0"/>
      <w:numFmt w:val="bullet"/>
      <w:lvlText w:val="•"/>
      <w:lvlJc w:val="left"/>
      <w:pPr>
        <w:ind w:left="5852" w:hanging="281"/>
      </w:pPr>
      <w:rPr>
        <w:rFonts w:hint="default"/>
        <w:lang w:val="es-ES" w:eastAsia="es-ES" w:bidi="es-ES"/>
      </w:rPr>
    </w:lvl>
    <w:lvl w:ilvl="6">
      <w:start w:val="0"/>
      <w:numFmt w:val="bullet"/>
      <w:lvlText w:val="•"/>
      <w:lvlJc w:val="left"/>
      <w:pPr>
        <w:ind w:left="6807" w:hanging="281"/>
      </w:pPr>
      <w:rPr>
        <w:rFonts w:hint="default"/>
        <w:lang w:val="es-ES" w:eastAsia="es-ES" w:bidi="es-ES"/>
      </w:rPr>
    </w:lvl>
    <w:lvl w:ilvl="7">
      <w:start w:val="0"/>
      <w:numFmt w:val="bullet"/>
      <w:lvlText w:val="•"/>
      <w:lvlJc w:val="left"/>
      <w:pPr>
        <w:ind w:left="7761" w:hanging="281"/>
      </w:pPr>
      <w:rPr>
        <w:rFonts w:hint="default"/>
        <w:lang w:val="es-ES" w:eastAsia="es-ES" w:bidi="es-ES"/>
      </w:rPr>
    </w:lvl>
    <w:lvl w:ilvl="8">
      <w:start w:val="0"/>
      <w:numFmt w:val="bullet"/>
      <w:lvlText w:val="•"/>
      <w:lvlJc w:val="left"/>
      <w:pPr>
        <w:ind w:left="8716" w:hanging="281"/>
      </w:pPr>
      <w:rPr>
        <w:rFonts w:hint="default"/>
        <w:lang w:val="es-ES" w:eastAsia="es-ES" w:bidi="es-ES"/>
      </w:rPr>
    </w:lvl>
  </w:abstractNum>
  <w:abstractNum w:abstractNumId="251">
    <w:multiLevelType w:val="hybridMultilevel"/>
    <w:lvl w:ilvl="0">
      <w:start w:val="1"/>
      <w:numFmt w:val="decimal"/>
      <w:lvlText w:val="%1."/>
      <w:lvlJc w:val="left"/>
      <w:pPr>
        <w:ind w:left="107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8"/>
      </w:pPr>
      <w:rPr>
        <w:rFonts w:hint="default"/>
        <w:lang w:val="es-ES" w:eastAsia="es-ES" w:bidi="es-ES"/>
      </w:rPr>
    </w:lvl>
    <w:lvl w:ilvl="2">
      <w:start w:val="0"/>
      <w:numFmt w:val="bullet"/>
      <w:lvlText w:val="•"/>
      <w:lvlJc w:val="left"/>
      <w:pPr>
        <w:ind w:left="2989" w:hanging="238"/>
      </w:pPr>
      <w:rPr>
        <w:rFonts w:hint="default"/>
        <w:lang w:val="es-ES" w:eastAsia="es-ES" w:bidi="es-ES"/>
      </w:rPr>
    </w:lvl>
    <w:lvl w:ilvl="3">
      <w:start w:val="0"/>
      <w:numFmt w:val="bullet"/>
      <w:lvlText w:val="•"/>
      <w:lvlJc w:val="left"/>
      <w:pPr>
        <w:ind w:left="3943" w:hanging="238"/>
      </w:pPr>
      <w:rPr>
        <w:rFonts w:hint="default"/>
        <w:lang w:val="es-ES" w:eastAsia="es-ES" w:bidi="es-ES"/>
      </w:rPr>
    </w:lvl>
    <w:lvl w:ilvl="4">
      <w:start w:val="0"/>
      <w:numFmt w:val="bullet"/>
      <w:lvlText w:val="•"/>
      <w:lvlJc w:val="left"/>
      <w:pPr>
        <w:ind w:left="4898" w:hanging="238"/>
      </w:pPr>
      <w:rPr>
        <w:rFonts w:hint="default"/>
        <w:lang w:val="es-ES" w:eastAsia="es-ES" w:bidi="es-ES"/>
      </w:rPr>
    </w:lvl>
    <w:lvl w:ilvl="5">
      <w:start w:val="0"/>
      <w:numFmt w:val="bullet"/>
      <w:lvlText w:val="•"/>
      <w:lvlJc w:val="left"/>
      <w:pPr>
        <w:ind w:left="5852" w:hanging="238"/>
      </w:pPr>
      <w:rPr>
        <w:rFonts w:hint="default"/>
        <w:lang w:val="es-ES" w:eastAsia="es-ES" w:bidi="es-ES"/>
      </w:rPr>
    </w:lvl>
    <w:lvl w:ilvl="6">
      <w:start w:val="0"/>
      <w:numFmt w:val="bullet"/>
      <w:lvlText w:val="•"/>
      <w:lvlJc w:val="left"/>
      <w:pPr>
        <w:ind w:left="6807" w:hanging="238"/>
      </w:pPr>
      <w:rPr>
        <w:rFonts w:hint="default"/>
        <w:lang w:val="es-ES" w:eastAsia="es-ES" w:bidi="es-ES"/>
      </w:rPr>
    </w:lvl>
    <w:lvl w:ilvl="7">
      <w:start w:val="0"/>
      <w:numFmt w:val="bullet"/>
      <w:lvlText w:val="•"/>
      <w:lvlJc w:val="left"/>
      <w:pPr>
        <w:ind w:left="7761" w:hanging="238"/>
      </w:pPr>
      <w:rPr>
        <w:rFonts w:hint="default"/>
        <w:lang w:val="es-ES" w:eastAsia="es-ES" w:bidi="es-ES"/>
      </w:rPr>
    </w:lvl>
    <w:lvl w:ilvl="8">
      <w:start w:val="0"/>
      <w:numFmt w:val="bullet"/>
      <w:lvlText w:val="•"/>
      <w:lvlJc w:val="left"/>
      <w:pPr>
        <w:ind w:left="8716" w:hanging="238"/>
      </w:pPr>
      <w:rPr>
        <w:rFonts w:hint="default"/>
        <w:lang w:val="es-ES" w:eastAsia="es-ES" w:bidi="es-ES"/>
      </w:rPr>
    </w:lvl>
  </w:abstractNum>
  <w:abstractNum w:abstractNumId="250">
    <w:multiLevelType w:val="hybridMultilevel"/>
    <w:lvl w:ilvl="0">
      <w:start w:val="1"/>
      <w:numFmt w:val="decimal"/>
      <w:lvlText w:val="%1."/>
      <w:lvlJc w:val="left"/>
      <w:pPr>
        <w:ind w:left="1074" w:hanging="251"/>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249">
    <w:multiLevelType w:val="hybridMultilevel"/>
    <w:lvl w:ilvl="0">
      <w:start w:val="1"/>
      <w:numFmt w:val="decimal"/>
      <w:lvlText w:val="%1."/>
      <w:lvlJc w:val="left"/>
      <w:pPr>
        <w:ind w:left="1074" w:hanging="251"/>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248">
    <w:multiLevelType w:val="hybridMultilevel"/>
    <w:lvl w:ilvl="0">
      <w:start w:val="1"/>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247">
    <w:multiLevelType w:val="hybridMultilevel"/>
    <w:lvl w:ilvl="0">
      <w:start w:val="1"/>
      <w:numFmt w:val="decimal"/>
      <w:lvlText w:val="%1."/>
      <w:lvlJc w:val="left"/>
      <w:pPr>
        <w:ind w:left="107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6"/>
      </w:pPr>
      <w:rPr>
        <w:rFonts w:hint="default"/>
        <w:lang w:val="es-ES" w:eastAsia="es-ES" w:bidi="es-ES"/>
      </w:rPr>
    </w:lvl>
    <w:lvl w:ilvl="2">
      <w:start w:val="0"/>
      <w:numFmt w:val="bullet"/>
      <w:lvlText w:val="•"/>
      <w:lvlJc w:val="left"/>
      <w:pPr>
        <w:ind w:left="2989" w:hanging="246"/>
      </w:pPr>
      <w:rPr>
        <w:rFonts w:hint="default"/>
        <w:lang w:val="es-ES" w:eastAsia="es-ES" w:bidi="es-ES"/>
      </w:rPr>
    </w:lvl>
    <w:lvl w:ilvl="3">
      <w:start w:val="0"/>
      <w:numFmt w:val="bullet"/>
      <w:lvlText w:val="•"/>
      <w:lvlJc w:val="left"/>
      <w:pPr>
        <w:ind w:left="3943" w:hanging="246"/>
      </w:pPr>
      <w:rPr>
        <w:rFonts w:hint="default"/>
        <w:lang w:val="es-ES" w:eastAsia="es-ES" w:bidi="es-ES"/>
      </w:rPr>
    </w:lvl>
    <w:lvl w:ilvl="4">
      <w:start w:val="0"/>
      <w:numFmt w:val="bullet"/>
      <w:lvlText w:val="•"/>
      <w:lvlJc w:val="left"/>
      <w:pPr>
        <w:ind w:left="4898" w:hanging="246"/>
      </w:pPr>
      <w:rPr>
        <w:rFonts w:hint="default"/>
        <w:lang w:val="es-ES" w:eastAsia="es-ES" w:bidi="es-ES"/>
      </w:rPr>
    </w:lvl>
    <w:lvl w:ilvl="5">
      <w:start w:val="0"/>
      <w:numFmt w:val="bullet"/>
      <w:lvlText w:val="•"/>
      <w:lvlJc w:val="left"/>
      <w:pPr>
        <w:ind w:left="5852" w:hanging="246"/>
      </w:pPr>
      <w:rPr>
        <w:rFonts w:hint="default"/>
        <w:lang w:val="es-ES" w:eastAsia="es-ES" w:bidi="es-ES"/>
      </w:rPr>
    </w:lvl>
    <w:lvl w:ilvl="6">
      <w:start w:val="0"/>
      <w:numFmt w:val="bullet"/>
      <w:lvlText w:val="•"/>
      <w:lvlJc w:val="left"/>
      <w:pPr>
        <w:ind w:left="6807" w:hanging="246"/>
      </w:pPr>
      <w:rPr>
        <w:rFonts w:hint="default"/>
        <w:lang w:val="es-ES" w:eastAsia="es-ES" w:bidi="es-ES"/>
      </w:rPr>
    </w:lvl>
    <w:lvl w:ilvl="7">
      <w:start w:val="0"/>
      <w:numFmt w:val="bullet"/>
      <w:lvlText w:val="•"/>
      <w:lvlJc w:val="left"/>
      <w:pPr>
        <w:ind w:left="7761" w:hanging="246"/>
      </w:pPr>
      <w:rPr>
        <w:rFonts w:hint="default"/>
        <w:lang w:val="es-ES" w:eastAsia="es-ES" w:bidi="es-ES"/>
      </w:rPr>
    </w:lvl>
    <w:lvl w:ilvl="8">
      <w:start w:val="0"/>
      <w:numFmt w:val="bullet"/>
      <w:lvlText w:val="•"/>
      <w:lvlJc w:val="left"/>
      <w:pPr>
        <w:ind w:left="8716" w:hanging="246"/>
      </w:pPr>
      <w:rPr>
        <w:rFonts w:hint="default"/>
        <w:lang w:val="es-ES" w:eastAsia="es-ES" w:bidi="es-ES"/>
      </w:rPr>
    </w:lvl>
  </w:abstractNum>
  <w:abstractNum w:abstractNumId="246">
    <w:multiLevelType w:val="hybridMultilevel"/>
    <w:lvl w:ilvl="0">
      <w:start w:val="1"/>
      <w:numFmt w:val="decimal"/>
      <w:lvlText w:val="%1."/>
      <w:lvlJc w:val="left"/>
      <w:pPr>
        <w:ind w:left="1074" w:hanging="264"/>
        <w:jc w:val="left"/>
      </w:pPr>
      <w:rPr>
        <w:rFonts w:hint="default" w:ascii="Arial" w:hAnsi="Arial" w:eastAsia="Arial" w:cs="Arial"/>
        <w:spacing w:val="-15"/>
        <w:w w:val="100"/>
        <w:sz w:val="20"/>
        <w:szCs w:val="20"/>
        <w:lang w:val="es-ES" w:eastAsia="es-ES" w:bidi="es-ES"/>
      </w:rPr>
    </w:lvl>
    <w:lvl w:ilvl="1">
      <w:start w:val="0"/>
      <w:numFmt w:val="bullet"/>
      <w:lvlText w:val="•"/>
      <w:lvlJc w:val="left"/>
      <w:pPr>
        <w:ind w:left="2034" w:hanging="264"/>
      </w:pPr>
      <w:rPr>
        <w:rFonts w:hint="default"/>
        <w:lang w:val="es-ES" w:eastAsia="es-ES" w:bidi="es-ES"/>
      </w:rPr>
    </w:lvl>
    <w:lvl w:ilvl="2">
      <w:start w:val="0"/>
      <w:numFmt w:val="bullet"/>
      <w:lvlText w:val="•"/>
      <w:lvlJc w:val="left"/>
      <w:pPr>
        <w:ind w:left="2989" w:hanging="264"/>
      </w:pPr>
      <w:rPr>
        <w:rFonts w:hint="default"/>
        <w:lang w:val="es-ES" w:eastAsia="es-ES" w:bidi="es-ES"/>
      </w:rPr>
    </w:lvl>
    <w:lvl w:ilvl="3">
      <w:start w:val="0"/>
      <w:numFmt w:val="bullet"/>
      <w:lvlText w:val="•"/>
      <w:lvlJc w:val="left"/>
      <w:pPr>
        <w:ind w:left="3943" w:hanging="264"/>
      </w:pPr>
      <w:rPr>
        <w:rFonts w:hint="default"/>
        <w:lang w:val="es-ES" w:eastAsia="es-ES" w:bidi="es-ES"/>
      </w:rPr>
    </w:lvl>
    <w:lvl w:ilvl="4">
      <w:start w:val="0"/>
      <w:numFmt w:val="bullet"/>
      <w:lvlText w:val="•"/>
      <w:lvlJc w:val="left"/>
      <w:pPr>
        <w:ind w:left="4898" w:hanging="264"/>
      </w:pPr>
      <w:rPr>
        <w:rFonts w:hint="default"/>
        <w:lang w:val="es-ES" w:eastAsia="es-ES" w:bidi="es-ES"/>
      </w:rPr>
    </w:lvl>
    <w:lvl w:ilvl="5">
      <w:start w:val="0"/>
      <w:numFmt w:val="bullet"/>
      <w:lvlText w:val="•"/>
      <w:lvlJc w:val="left"/>
      <w:pPr>
        <w:ind w:left="5852" w:hanging="264"/>
      </w:pPr>
      <w:rPr>
        <w:rFonts w:hint="default"/>
        <w:lang w:val="es-ES" w:eastAsia="es-ES" w:bidi="es-ES"/>
      </w:rPr>
    </w:lvl>
    <w:lvl w:ilvl="6">
      <w:start w:val="0"/>
      <w:numFmt w:val="bullet"/>
      <w:lvlText w:val="•"/>
      <w:lvlJc w:val="left"/>
      <w:pPr>
        <w:ind w:left="6807" w:hanging="264"/>
      </w:pPr>
      <w:rPr>
        <w:rFonts w:hint="default"/>
        <w:lang w:val="es-ES" w:eastAsia="es-ES" w:bidi="es-ES"/>
      </w:rPr>
    </w:lvl>
    <w:lvl w:ilvl="7">
      <w:start w:val="0"/>
      <w:numFmt w:val="bullet"/>
      <w:lvlText w:val="•"/>
      <w:lvlJc w:val="left"/>
      <w:pPr>
        <w:ind w:left="7761" w:hanging="264"/>
      </w:pPr>
      <w:rPr>
        <w:rFonts w:hint="default"/>
        <w:lang w:val="es-ES" w:eastAsia="es-ES" w:bidi="es-ES"/>
      </w:rPr>
    </w:lvl>
    <w:lvl w:ilvl="8">
      <w:start w:val="0"/>
      <w:numFmt w:val="bullet"/>
      <w:lvlText w:val="•"/>
      <w:lvlJc w:val="left"/>
      <w:pPr>
        <w:ind w:left="8716" w:hanging="264"/>
      </w:pPr>
      <w:rPr>
        <w:rFonts w:hint="default"/>
        <w:lang w:val="es-ES" w:eastAsia="es-ES" w:bidi="es-ES"/>
      </w:rPr>
    </w:lvl>
  </w:abstractNum>
  <w:abstractNum w:abstractNumId="245">
    <w:multiLevelType w:val="hybridMultilevel"/>
    <w:lvl w:ilvl="0">
      <w:start w:val="1"/>
      <w:numFmt w:val="decimal"/>
      <w:lvlText w:val="%1."/>
      <w:lvlJc w:val="left"/>
      <w:pPr>
        <w:ind w:left="107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6"/>
      </w:pPr>
      <w:rPr>
        <w:rFonts w:hint="default"/>
        <w:lang w:val="es-ES" w:eastAsia="es-ES" w:bidi="es-ES"/>
      </w:rPr>
    </w:lvl>
    <w:lvl w:ilvl="2">
      <w:start w:val="0"/>
      <w:numFmt w:val="bullet"/>
      <w:lvlText w:val="•"/>
      <w:lvlJc w:val="left"/>
      <w:pPr>
        <w:ind w:left="2989" w:hanging="236"/>
      </w:pPr>
      <w:rPr>
        <w:rFonts w:hint="default"/>
        <w:lang w:val="es-ES" w:eastAsia="es-ES" w:bidi="es-ES"/>
      </w:rPr>
    </w:lvl>
    <w:lvl w:ilvl="3">
      <w:start w:val="0"/>
      <w:numFmt w:val="bullet"/>
      <w:lvlText w:val="•"/>
      <w:lvlJc w:val="left"/>
      <w:pPr>
        <w:ind w:left="3943" w:hanging="236"/>
      </w:pPr>
      <w:rPr>
        <w:rFonts w:hint="default"/>
        <w:lang w:val="es-ES" w:eastAsia="es-ES" w:bidi="es-ES"/>
      </w:rPr>
    </w:lvl>
    <w:lvl w:ilvl="4">
      <w:start w:val="0"/>
      <w:numFmt w:val="bullet"/>
      <w:lvlText w:val="•"/>
      <w:lvlJc w:val="left"/>
      <w:pPr>
        <w:ind w:left="4898" w:hanging="236"/>
      </w:pPr>
      <w:rPr>
        <w:rFonts w:hint="default"/>
        <w:lang w:val="es-ES" w:eastAsia="es-ES" w:bidi="es-ES"/>
      </w:rPr>
    </w:lvl>
    <w:lvl w:ilvl="5">
      <w:start w:val="0"/>
      <w:numFmt w:val="bullet"/>
      <w:lvlText w:val="•"/>
      <w:lvlJc w:val="left"/>
      <w:pPr>
        <w:ind w:left="5852" w:hanging="236"/>
      </w:pPr>
      <w:rPr>
        <w:rFonts w:hint="default"/>
        <w:lang w:val="es-ES" w:eastAsia="es-ES" w:bidi="es-ES"/>
      </w:rPr>
    </w:lvl>
    <w:lvl w:ilvl="6">
      <w:start w:val="0"/>
      <w:numFmt w:val="bullet"/>
      <w:lvlText w:val="•"/>
      <w:lvlJc w:val="left"/>
      <w:pPr>
        <w:ind w:left="6807" w:hanging="236"/>
      </w:pPr>
      <w:rPr>
        <w:rFonts w:hint="default"/>
        <w:lang w:val="es-ES" w:eastAsia="es-ES" w:bidi="es-ES"/>
      </w:rPr>
    </w:lvl>
    <w:lvl w:ilvl="7">
      <w:start w:val="0"/>
      <w:numFmt w:val="bullet"/>
      <w:lvlText w:val="•"/>
      <w:lvlJc w:val="left"/>
      <w:pPr>
        <w:ind w:left="7761" w:hanging="236"/>
      </w:pPr>
      <w:rPr>
        <w:rFonts w:hint="default"/>
        <w:lang w:val="es-ES" w:eastAsia="es-ES" w:bidi="es-ES"/>
      </w:rPr>
    </w:lvl>
    <w:lvl w:ilvl="8">
      <w:start w:val="0"/>
      <w:numFmt w:val="bullet"/>
      <w:lvlText w:val="•"/>
      <w:lvlJc w:val="left"/>
      <w:pPr>
        <w:ind w:left="8716" w:hanging="236"/>
      </w:pPr>
      <w:rPr>
        <w:rFonts w:hint="default"/>
        <w:lang w:val="es-ES" w:eastAsia="es-ES" w:bidi="es-ES"/>
      </w:rPr>
    </w:lvl>
  </w:abstractNum>
  <w:abstractNum w:abstractNumId="244">
    <w:multiLevelType w:val="hybridMultilevel"/>
    <w:lvl w:ilvl="0">
      <w:start w:val="1"/>
      <w:numFmt w:val="lowerLetter"/>
      <w:lvlText w:val="%1)"/>
      <w:lvlJc w:val="left"/>
      <w:pPr>
        <w:ind w:left="1074" w:hanging="262"/>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62"/>
      </w:pPr>
      <w:rPr>
        <w:rFonts w:hint="default"/>
        <w:lang w:val="es-ES" w:eastAsia="es-ES" w:bidi="es-ES"/>
      </w:rPr>
    </w:lvl>
    <w:lvl w:ilvl="2">
      <w:start w:val="0"/>
      <w:numFmt w:val="bullet"/>
      <w:lvlText w:val="•"/>
      <w:lvlJc w:val="left"/>
      <w:pPr>
        <w:ind w:left="2989" w:hanging="262"/>
      </w:pPr>
      <w:rPr>
        <w:rFonts w:hint="default"/>
        <w:lang w:val="es-ES" w:eastAsia="es-ES" w:bidi="es-ES"/>
      </w:rPr>
    </w:lvl>
    <w:lvl w:ilvl="3">
      <w:start w:val="0"/>
      <w:numFmt w:val="bullet"/>
      <w:lvlText w:val="•"/>
      <w:lvlJc w:val="left"/>
      <w:pPr>
        <w:ind w:left="3943" w:hanging="262"/>
      </w:pPr>
      <w:rPr>
        <w:rFonts w:hint="default"/>
        <w:lang w:val="es-ES" w:eastAsia="es-ES" w:bidi="es-ES"/>
      </w:rPr>
    </w:lvl>
    <w:lvl w:ilvl="4">
      <w:start w:val="0"/>
      <w:numFmt w:val="bullet"/>
      <w:lvlText w:val="•"/>
      <w:lvlJc w:val="left"/>
      <w:pPr>
        <w:ind w:left="4898" w:hanging="262"/>
      </w:pPr>
      <w:rPr>
        <w:rFonts w:hint="default"/>
        <w:lang w:val="es-ES" w:eastAsia="es-ES" w:bidi="es-ES"/>
      </w:rPr>
    </w:lvl>
    <w:lvl w:ilvl="5">
      <w:start w:val="0"/>
      <w:numFmt w:val="bullet"/>
      <w:lvlText w:val="•"/>
      <w:lvlJc w:val="left"/>
      <w:pPr>
        <w:ind w:left="5852" w:hanging="262"/>
      </w:pPr>
      <w:rPr>
        <w:rFonts w:hint="default"/>
        <w:lang w:val="es-ES" w:eastAsia="es-ES" w:bidi="es-ES"/>
      </w:rPr>
    </w:lvl>
    <w:lvl w:ilvl="6">
      <w:start w:val="0"/>
      <w:numFmt w:val="bullet"/>
      <w:lvlText w:val="•"/>
      <w:lvlJc w:val="left"/>
      <w:pPr>
        <w:ind w:left="6807" w:hanging="262"/>
      </w:pPr>
      <w:rPr>
        <w:rFonts w:hint="default"/>
        <w:lang w:val="es-ES" w:eastAsia="es-ES" w:bidi="es-ES"/>
      </w:rPr>
    </w:lvl>
    <w:lvl w:ilvl="7">
      <w:start w:val="0"/>
      <w:numFmt w:val="bullet"/>
      <w:lvlText w:val="•"/>
      <w:lvlJc w:val="left"/>
      <w:pPr>
        <w:ind w:left="7761" w:hanging="262"/>
      </w:pPr>
      <w:rPr>
        <w:rFonts w:hint="default"/>
        <w:lang w:val="es-ES" w:eastAsia="es-ES" w:bidi="es-ES"/>
      </w:rPr>
    </w:lvl>
    <w:lvl w:ilvl="8">
      <w:start w:val="0"/>
      <w:numFmt w:val="bullet"/>
      <w:lvlText w:val="•"/>
      <w:lvlJc w:val="left"/>
      <w:pPr>
        <w:ind w:left="8716" w:hanging="262"/>
      </w:pPr>
      <w:rPr>
        <w:rFonts w:hint="default"/>
        <w:lang w:val="es-ES" w:eastAsia="es-ES" w:bidi="es-ES"/>
      </w:rPr>
    </w:lvl>
  </w:abstractNum>
  <w:abstractNum w:abstractNumId="243">
    <w:multiLevelType w:val="hybridMultilevel"/>
    <w:lvl w:ilvl="0">
      <w:start w:val="1"/>
      <w:numFmt w:val="decimal"/>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242">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41">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240">
    <w:multiLevelType w:val="hybridMultilevel"/>
    <w:lvl w:ilvl="0">
      <w:start w:val="1"/>
      <w:numFmt w:val="lowerLetter"/>
      <w:lvlText w:val="%1)"/>
      <w:lvlJc w:val="left"/>
      <w:pPr>
        <w:ind w:left="1074" w:hanging="25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3"/>
      </w:pPr>
      <w:rPr>
        <w:rFonts w:hint="default"/>
        <w:lang w:val="es-ES" w:eastAsia="es-ES" w:bidi="es-ES"/>
      </w:rPr>
    </w:lvl>
    <w:lvl w:ilvl="2">
      <w:start w:val="0"/>
      <w:numFmt w:val="bullet"/>
      <w:lvlText w:val="•"/>
      <w:lvlJc w:val="left"/>
      <w:pPr>
        <w:ind w:left="2989" w:hanging="253"/>
      </w:pPr>
      <w:rPr>
        <w:rFonts w:hint="default"/>
        <w:lang w:val="es-ES" w:eastAsia="es-ES" w:bidi="es-ES"/>
      </w:rPr>
    </w:lvl>
    <w:lvl w:ilvl="3">
      <w:start w:val="0"/>
      <w:numFmt w:val="bullet"/>
      <w:lvlText w:val="•"/>
      <w:lvlJc w:val="left"/>
      <w:pPr>
        <w:ind w:left="3943" w:hanging="253"/>
      </w:pPr>
      <w:rPr>
        <w:rFonts w:hint="default"/>
        <w:lang w:val="es-ES" w:eastAsia="es-ES" w:bidi="es-ES"/>
      </w:rPr>
    </w:lvl>
    <w:lvl w:ilvl="4">
      <w:start w:val="0"/>
      <w:numFmt w:val="bullet"/>
      <w:lvlText w:val="•"/>
      <w:lvlJc w:val="left"/>
      <w:pPr>
        <w:ind w:left="4898" w:hanging="253"/>
      </w:pPr>
      <w:rPr>
        <w:rFonts w:hint="default"/>
        <w:lang w:val="es-ES" w:eastAsia="es-ES" w:bidi="es-ES"/>
      </w:rPr>
    </w:lvl>
    <w:lvl w:ilvl="5">
      <w:start w:val="0"/>
      <w:numFmt w:val="bullet"/>
      <w:lvlText w:val="•"/>
      <w:lvlJc w:val="left"/>
      <w:pPr>
        <w:ind w:left="5852" w:hanging="253"/>
      </w:pPr>
      <w:rPr>
        <w:rFonts w:hint="default"/>
        <w:lang w:val="es-ES" w:eastAsia="es-ES" w:bidi="es-ES"/>
      </w:rPr>
    </w:lvl>
    <w:lvl w:ilvl="6">
      <w:start w:val="0"/>
      <w:numFmt w:val="bullet"/>
      <w:lvlText w:val="•"/>
      <w:lvlJc w:val="left"/>
      <w:pPr>
        <w:ind w:left="6807" w:hanging="253"/>
      </w:pPr>
      <w:rPr>
        <w:rFonts w:hint="default"/>
        <w:lang w:val="es-ES" w:eastAsia="es-ES" w:bidi="es-ES"/>
      </w:rPr>
    </w:lvl>
    <w:lvl w:ilvl="7">
      <w:start w:val="0"/>
      <w:numFmt w:val="bullet"/>
      <w:lvlText w:val="•"/>
      <w:lvlJc w:val="left"/>
      <w:pPr>
        <w:ind w:left="7761" w:hanging="253"/>
      </w:pPr>
      <w:rPr>
        <w:rFonts w:hint="default"/>
        <w:lang w:val="es-ES" w:eastAsia="es-ES" w:bidi="es-ES"/>
      </w:rPr>
    </w:lvl>
    <w:lvl w:ilvl="8">
      <w:start w:val="0"/>
      <w:numFmt w:val="bullet"/>
      <w:lvlText w:val="•"/>
      <w:lvlJc w:val="left"/>
      <w:pPr>
        <w:ind w:left="8716" w:hanging="253"/>
      </w:pPr>
      <w:rPr>
        <w:rFonts w:hint="default"/>
        <w:lang w:val="es-ES" w:eastAsia="es-ES" w:bidi="es-ES"/>
      </w:rPr>
    </w:lvl>
  </w:abstractNum>
  <w:abstractNum w:abstractNumId="239">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38">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237">
    <w:multiLevelType w:val="hybridMultilevel"/>
    <w:lvl w:ilvl="0">
      <w:start w:val="1"/>
      <w:numFmt w:val="decimal"/>
      <w:lvlText w:val="%1."/>
      <w:lvlJc w:val="left"/>
      <w:pPr>
        <w:ind w:left="1074" w:hanging="251"/>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236">
    <w:multiLevelType w:val="hybridMultilevel"/>
    <w:lvl w:ilvl="0">
      <w:start w:val="1"/>
      <w:numFmt w:val="lowerLetter"/>
      <w:lvlText w:val="%1)"/>
      <w:lvlJc w:val="left"/>
      <w:pPr>
        <w:ind w:left="107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2"/>
      </w:pPr>
      <w:rPr>
        <w:rFonts w:hint="default"/>
        <w:lang w:val="es-ES" w:eastAsia="es-ES" w:bidi="es-ES"/>
      </w:rPr>
    </w:lvl>
    <w:lvl w:ilvl="2">
      <w:start w:val="0"/>
      <w:numFmt w:val="bullet"/>
      <w:lvlText w:val="•"/>
      <w:lvlJc w:val="left"/>
      <w:pPr>
        <w:ind w:left="2989" w:hanging="242"/>
      </w:pPr>
      <w:rPr>
        <w:rFonts w:hint="default"/>
        <w:lang w:val="es-ES" w:eastAsia="es-ES" w:bidi="es-ES"/>
      </w:rPr>
    </w:lvl>
    <w:lvl w:ilvl="3">
      <w:start w:val="0"/>
      <w:numFmt w:val="bullet"/>
      <w:lvlText w:val="•"/>
      <w:lvlJc w:val="left"/>
      <w:pPr>
        <w:ind w:left="3943" w:hanging="242"/>
      </w:pPr>
      <w:rPr>
        <w:rFonts w:hint="default"/>
        <w:lang w:val="es-ES" w:eastAsia="es-ES" w:bidi="es-ES"/>
      </w:rPr>
    </w:lvl>
    <w:lvl w:ilvl="4">
      <w:start w:val="0"/>
      <w:numFmt w:val="bullet"/>
      <w:lvlText w:val="•"/>
      <w:lvlJc w:val="left"/>
      <w:pPr>
        <w:ind w:left="4898" w:hanging="242"/>
      </w:pPr>
      <w:rPr>
        <w:rFonts w:hint="default"/>
        <w:lang w:val="es-ES" w:eastAsia="es-ES" w:bidi="es-ES"/>
      </w:rPr>
    </w:lvl>
    <w:lvl w:ilvl="5">
      <w:start w:val="0"/>
      <w:numFmt w:val="bullet"/>
      <w:lvlText w:val="•"/>
      <w:lvlJc w:val="left"/>
      <w:pPr>
        <w:ind w:left="5852" w:hanging="242"/>
      </w:pPr>
      <w:rPr>
        <w:rFonts w:hint="default"/>
        <w:lang w:val="es-ES" w:eastAsia="es-ES" w:bidi="es-ES"/>
      </w:rPr>
    </w:lvl>
    <w:lvl w:ilvl="6">
      <w:start w:val="0"/>
      <w:numFmt w:val="bullet"/>
      <w:lvlText w:val="•"/>
      <w:lvlJc w:val="left"/>
      <w:pPr>
        <w:ind w:left="6807" w:hanging="242"/>
      </w:pPr>
      <w:rPr>
        <w:rFonts w:hint="default"/>
        <w:lang w:val="es-ES" w:eastAsia="es-ES" w:bidi="es-ES"/>
      </w:rPr>
    </w:lvl>
    <w:lvl w:ilvl="7">
      <w:start w:val="0"/>
      <w:numFmt w:val="bullet"/>
      <w:lvlText w:val="•"/>
      <w:lvlJc w:val="left"/>
      <w:pPr>
        <w:ind w:left="7761" w:hanging="242"/>
      </w:pPr>
      <w:rPr>
        <w:rFonts w:hint="default"/>
        <w:lang w:val="es-ES" w:eastAsia="es-ES" w:bidi="es-ES"/>
      </w:rPr>
    </w:lvl>
    <w:lvl w:ilvl="8">
      <w:start w:val="0"/>
      <w:numFmt w:val="bullet"/>
      <w:lvlText w:val="•"/>
      <w:lvlJc w:val="left"/>
      <w:pPr>
        <w:ind w:left="8716" w:hanging="242"/>
      </w:pPr>
      <w:rPr>
        <w:rFonts w:hint="default"/>
        <w:lang w:val="es-ES" w:eastAsia="es-ES" w:bidi="es-ES"/>
      </w:rPr>
    </w:lvl>
  </w:abstractNum>
  <w:abstractNum w:abstractNumId="235">
    <w:multiLevelType w:val="hybridMultilevel"/>
    <w:lvl w:ilvl="0">
      <w:start w:val="1"/>
      <w:numFmt w:val="decimal"/>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234">
    <w:multiLevelType w:val="hybridMultilevel"/>
    <w:lvl w:ilvl="0">
      <w:start w:val="1"/>
      <w:numFmt w:val="decimal"/>
      <w:lvlText w:val="%1."/>
      <w:lvlJc w:val="left"/>
      <w:pPr>
        <w:ind w:left="1074" w:hanging="285"/>
        <w:jc w:val="left"/>
      </w:pPr>
      <w:rPr>
        <w:rFonts w:hint="default" w:ascii="Arial" w:hAnsi="Arial" w:eastAsia="Arial" w:cs="Arial"/>
        <w:spacing w:val="-10"/>
        <w:w w:val="100"/>
        <w:sz w:val="20"/>
        <w:szCs w:val="20"/>
        <w:lang w:val="es-ES" w:eastAsia="es-ES" w:bidi="es-ES"/>
      </w:rPr>
    </w:lvl>
    <w:lvl w:ilvl="1">
      <w:start w:val="0"/>
      <w:numFmt w:val="bullet"/>
      <w:lvlText w:val="•"/>
      <w:lvlJc w:val="left"/>
      <w:pPr>
        <w:ind w:left="2034" w:hanging="285"/>
      </w:pPr>
      <w:rPr>
        <w:rFonts w:hint="default"/>
        <w:lang w:val="es-ES" w:eastAsia="es-ES" w:bidi="es-ES"/>
      </w:rPr>
    </w:lvl>
    <w:lvl w:ilvl="2">
      <w:start w:val="0"/>
      <w:numFmt w:val="bullet"/>
      <w:lvlText w:val="•"/>
      <w:lvlJc w:val="left"/>
      <w:pPr>
        <w:ind w:left="2989" w:hanging="285"/>
      </w:pPr>
      <w:rPr>
        <w:rFonts w:hint="default"/>
        <w:lang w:val="es-ES" w:eastAsia="es-ES" w:bidi="es-ES"/>
      </w:rPr>
    </w:lvl>
    <w:lvl w:ilvl="3">
      <w:start w:val="0"/>
      <w:numFmt w:val="bullet"/>
      <w:lvlText w:val="•"/>
      <w:lvlJc w:val="left"/>
      <w:pPr>
        <w:ind w:left="3943" w:hanging="285"/>
      </w:pPr>
      <w:rPr>
        <w:rFonts w:hint="default"/>
        <w:lang w:val="es-ES" w:eastAsia="es-ES" w:bidi="es-ES"/>
      </w:rPr>
    </w:lvl>
    <w:lvl w:ilvl="4">
      <w:start w:val="0"/>
      <w:numFmt w:val="bullet"/>
      <w:lvlText w:val="•"/>
      <w:lvlJc w:val="left"/>
      <w:pPr>
        <w:ind w:left="4898" w:hanging="285"/>
      </w:pPr>
      <w:rPr>
        <w:rFonts w:hint="default"/>
        <w:lang w:val="es-ES" w:eastAsia="es-ES" w:bidi="es-ES"/>
      </w:rPr>
    </w:lvl>
    <w:lvl w:ilvl="5">
      <w:start w:val="0"/>
      <w:numFmt w:val="bullet"/>
      <w:lvlText w:val="•"/>
      <w:lvlJc w:val="left"/>
      <w:pPr>
        <w:ind w:left="5852" w:hanging="285"/>
      </w:pPr>
      <w:rPr>
        <w:rFonts w:hint="default"/>
        <w:lang w:val="es-ES" w:eastAsia="es-ES" w:bidi="es-ES"/>
      </w:rPr>
    </w:lvl>
    <w:lvl w:ilvl="6">
      <w:start w:val="0"/>
      <w:numFmt w:val="bullet"/>
      <w:lvlText w:val="•"/>
      <w:lvlJc w:val="left"/>
      <w:pPr>
        <w:ind w:left="6807" w:hanging="285"/>
      </w:pPr>
      <w:rPr>
        <w:rFonts w:hint="default"/>
        <w:lang w:val="es-ES" w:eastAsia="es-ES" w:bidi="es-ES"/>
      </w:rPr>
    </w:lvl>
    <w:lvl w:ilvl="7">
      <w:start w:val="0"/>
      <w:numFmt w:val="bullet"/>
      <w:lvlText w:val="•"/>
      <w:lvlJc w:val="left"/>
      <w:pPr>
        <w:ind w:left="7761" w:hanging="285"/>
      </w:pPr>
      <w:rPr>
        <w:rFonts w:hint="default"/>
        <w:lang w:val="es-ES" w:eastAsia="es-ES" w:bidi="es-ES"/>
      </w:rPr>
    </w:lvl>
    <w:lvl w:ilvl="8">
      <w:start w:val="0"/>
      <w:numFmt w:val="bullet"/>
      <w:lvlText w:val="•"/>
      <w:lvlJc w:val="left"/>
      <w:pPr>
        <w:ind w:left="8716" w:hanging="285"/>
      </w:pPr>
      <w:rPr>
        <w:rFonts w:hint="default"/>
        <w:lang w:val="es-ES" w:eastAsia="es-ES" w:bidi="es-ES"/>
      </w:rPr>
    </w:lvl>
  </w:abstractNum>
  <w:abstractNum w:abstractNumId="233">
    <w:multiLevelType w:val="hybridMultilevel"/>
    <w:lvl w:ilvl="0">
      <w:start w:val="1"/>
      <w:numFmt w:val="lowerLetter"/>
      <w:lvlText w:val="%1)"/>
      <w:lvlJc w:val="left"/>
      <w:pPr>
        <w:ind w:left="1074" w:hanging="235"/>
        <w:jc w:val="left"/>
      </w:pPr>
      <w:rPr>
        <w:rFonts w:hint="default" w:ascii="Arial" w:hAnsi="Arial" w:eastAsia="Arial" w:cs="Arial"/>
        <w:spacing w:val="-2"/>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232">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31">
    <w:multiLevelType w:val="hybridMultilevel"/>
    <w:lvl w:ilvl="0">
      <w:start w:val="1"/>
      <w:numFmt w:val="lowerLetter"/>
      <w:lvlText w:val="%1)"/>
      <w:lvlJc w:val="left"/>
      <w:pPr>
        <w:ind w:left="1074" w:hanging="275"/>
        <w:jc w:val="left"/>
      </w:pPr>
      <w:rPr>
        <w:rFonts w:hint="default" w:ascii="Arial" w:hAnsi="Arial" w:eastAsia="Arial" w:cs="Arial"/>
        <w:spacing w:val="-15"/>
        <w:w w:val="100"/>
        <w:sz w:val="20"/>
        <w:szCs w:val="20"/>
        <w:lang w:val="es-ES" w:eastAsia="es-ES" w:bidi="es-ES"/>
      </w:rPr>
    </w:lvl>
    <w:lvl w:ilvl="1">
      <w:start w:val="0"/>
      <w:numFmt w:val="bullet"/>
      <w:lvlText w:val="•"/>
      <w:lvlJc w:val="left"/>
      <w:pPr>
        <w:ind w:left="2034" w:hanging="275"/>
      </w:pPr>
      <w:rPr>
        <w:rFonts w:hint="default"/>
        <w:lang w:val="es-ES" w:eastAsia="es-ES" w:bidi="es-ES"/>
      </w:rPr>
    </w:lvl>
    <w:lvl w:ilvl="2">
      <w:start w:val="0"/>
      <w:numFmt w:val="bullet"/>
      <w:lvlText w:val="•"/>
      <w:lvlJc w:val="left"/>
      <w:pPr>
        <w:ind w:left="2989" w:hanging="275"/>
      </w:pPr>
      <w:rPr>
        <w:rFonts w:hint="default"/>
        <w:lang w:val="es-ES" w:eastAsia="es-ES" w:bidi="es-ES"/>
      </w:rPr>
    </w:lvl>
    <w:lvl w:ilvl="3">
      <w:start w:val="0"/>
      <w:numFmt w:val="bullet"/>
      <w:lvlText w:val="•"/>
      <w:lvlJc w:val="left"/>
      <w:pPr>
        <w:ind w:left="3943" w:hanging="275"/>
      </w:pPr>
      <w:rPr>
        <w:rFonts w:hint="default"/>
        <w:lang w:val="es-ES" w:eastAsia="es-ES" w:bidi="es-ES"/>
      </w:rPr>
    </w:lvl>
    <w:lvl w:ilvl="4">
      <w:start w:val="0"/>
      <w:numFmt w:val="bullet"/>
      <w:lvlText w:val="•"/>
      <w:lvlJc w:val="left"/>
      <w:pPr>
        <w:ind w:left="4898" w:hanging="275"/>
      </w:pPr>
      <w:rPr>
        <w:rFonts w:hint="default"/>
        <w:lang w:val="es-ES" w:eastAsia="es-ES" w:bidi="es-ES"/>
      </w:rPr>
    </w:lvl>
    <w:lvl w:ilvl="5">
      <w:start w:val="0"/>
      <w:numFmt w:val="bullet"/>
      <w:lvlText w:val="•"/>
      <w:lvlJc w:val="left"/>
      <w:pPr>
        <w:ind w:left="5852" w:hanging="275"/>
      </w:pPr>
      <w:rPr>
        <w:rFonts w:hint="default"/>
        <w:lang w:val="es-ES" w:eastAsia="es-ES" w:bidi="es-ES"/>
      </w:rPr>
    </w:lvl>
    <w:lvl w:ilvl="6">
      <w:start w:val="0"/>
      <w:numFmt w:val="bullet"/>
      <w:lvlText w:val="•"/>
      <w:lvlJc w:val="left"/>
      <w:pPr>
        <w:ind w:left="6807" w:hanging="275"/>
      </w:pPr>
      <w:rPr>
        <w:rFonts w:hint="default"/>
        <w:lang w:val="es-ES" w:eastAsia="es-ES" w:bidi="es-ES"/>
      </w:rPr>
    </w:lvl>
    <w:lvl w:ilvl="7">
      <w:start w:val="0"/>
      <w:numFmt w:val="bullet"/>
      <w:lvlText w:val="•"/>
      <w:lvlJc w:val="left"/>
      <w:pPr>
        <w:ind w:left="7761" w:hanging="275"/>
      </w:pPr>
      <w:rPr>
        <w:rFonts w:hint="default"/>
        <w:lang w:val="es-ES" w:eastAsia="es-ES" w:bidi="es-ES"/>
      </w:rPr>
    </w:lvl>
    <w:lvl w:ilvl="8">
      <w:start w:val="0"/>
      <w:numFmt w:val="bullet"/>
      <w:lvlText w:val="•"/>
      <w:lvlJc w:val="left"/>
      <w:pPr>
        <w:ind w:left="8716" w:hanging="275"/>
      </w:pPr>
      <w:rPr>
        <w:rFonts w:hint="default"/>
        <w:lang w:val="es-ES" w:eastAsia="es-ES" w:bidi="es-ES"/>
      </w:rPr>
    </w:lvl>
  </w:abstractNum>
  <w:abstractNum w:abstractNumId="230">
    <w:multiLevelType w:val="hybridMultilevel"/>
    <w:lvl w:ilvl="0">
      <w:start w:val="1"/>
      <w:numFmt w:val="lowerLetter"/>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229">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228">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227">
    <w:multiLevelType w:val="hybridMultilevel"/>
    <w:lvl w:ilvl="0">
      <w:start w:val="4"/>
      <w:numFmt w:val="decimal"/>
      <w:lvlText w:val="%1."/>
      <w:lvlJc w:val="left"/>
      <w:pPr>
        <w:ind w:left="1074" w:hanging="270"/>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70"/>
      </w:pPr>
      <w:rPr>
        <w:rFonts w:hint="default"/>
        <w:lang w:val="es-ES" w:eastAsia="es-ES" w:bidi="es-ES"/>
      </w:rPr>
    </w:lvl>
    <w:lvl w:ilvl="2">
      <w:start w:val="0"/>
      <w:numFmt w:val="bullet"/>
      <w:lvlText w:val="•"/>
      <w:lvlJc w:val="left"/>
      <w:pPr>
        <w:ind w:left="2989" w:hanging="270"/>
      </w:pPr>
      <w:rPr>
        <w:rFonts w:hint="default"/>
        <w:lang w:val="es-ES" w:eastAsia="es-ES" w:bidi="es-ES"/>
      </w:rPr>
    </w:lvl>
    <w:lvl w:ilvl="3">
      <w:start w:val="0"/>
      <w:numFmt w:val="bullet"/>
      <w:lvlText w:val="•"/>
      <w:lvlJc w:val="left"/>
      <w:pPr>
        <w:ind w:left="3943" w:hanging="270"/>
      </w:pPr>
      <w:rPr>
        <w:rFonts w:hint="default"/>
        <w:lang w:val="es-ES" w:eastAsia="es-ES" w:bidi="es-ES"/>
      </w:rPr>
    </w:lvl>
    <w:lvl w:ilvl="4">
      <w:start w:val="0"/>
      <w:numFmt w:val="bullet"/>
      <w:lvlText w:val="•"/>
      <w:lvlJc w:val="left"/>
      <w:pPr>
        <w:ind w:left="4898" w:hanging="270"/>
      </w:pPr>
      <w:rPr>
        <w:rFonts w:hint="default"/>
        <w:lang w:val="es-ES" w:eastAsia="es-ES" w:bidi="es-ES"/>
      </w:rPr>
    </w:lvl>
    <w:lvl w:ilvl="5">
      <w:start w:val="0"/>
      <w:numFmt w:val="bullet"/>
      <w:lvlText w:val="•"/>
      <w:lvlJc w:val="left"/>
      <w:pPr>
        <w:ind w:left="5852" w:hanging="270"/>
      </w:pPr>
      <w:rPr>
        <w:rFonts w:hint="default"/>
        <w:lang w:val="es-ES" w:eastAsia="es-ES" w:bidi="es-ES"/>
      </w:rPr>
    </w:lvl>
    <w:lvl w:ilvl="6">
      <w:start w:val="0"/>
      <w:numFmt w:val="bullet"/>
      <w:lvlText w:val="•"/>
      <w:lvlJc w:val="left"/>
      <w:pPr>
        <w:ind w:left="6807" w:hanging="270"/>
      </w:pPr>
      <w:rPr>
        <w:rFonts w:hint="default"/>
        <w:lang w:val="es-ES" w:eastAsia="es-ES" w:bidi="es-ES"/>
      </w:rPr>
    </w:lvl>
    <w:lvl w:ilvl="7">
      <w:start w:val="0"/>
      <w:numFmt w:val="bullet"/>
      <w:lvlText w:val="•"/>
      <w:lvlJc w:val="left"/>
      <w:pPr>
        <w:ind w:left="7761" w:hanging="270"/>
      </w:pPr>
      <w:rPr>
        <w:rFonts w:hint="default"/>
        <w:lang w:val="es-ES" w:eastAsia="es-ES" w:bidi="es-ES"/>
      </w:rPr>
    </w:lvl>
    <w:lvl w:ilvl="8">
      <w:start w:val="0"/>
      <w:numFmt w:val="bullet"/>
      <w:lvlText w:val="•"/>
      <w:lvlJc w:val="left"/>
      <w:pPr>
        <w:ind w:left="8716" w:hanging="270"/>
      </w:pPr>
      <w:rPr>
        <w:rFonts w:hint="default"/>
        <w:lang w:val="es-ES" w:eastAsia="es-ES" w:bidi="es-ES"/>
      </w:rPr>
    </w:lvl>
  </w:abstractNum>
  <w:abstractNum w:abstractNumId="226">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25">
    <w:multiLevelType w:val="hybridMultilevel"/>
    <w:lvl w:ilvl="0">
      <w:start w:val="1"/>
      <w:numFmt w:val="lowerLetter"/>
      <w:lvlText w:val="%1)"/>
      <w:lvlJc w:val="left"/>
      <w:pPr>
        <w:ind w:left="1074" w:hanging="265"/>
        <w:jc w:val="left"/>
      </w:pPr>
      <w:rPr>
        <w:rFonts w:hint="default" w:ascii="Arial" w:hAnsi="Arial" w:eastAsia="Arial" w:cs="Arial"/>
        <w:spacing w:val="-25"/>
        <w:w w:val="100"/>
        <w:sz w:val="20"/>
        <w:szCs w:val="20"/>
        <w:lang w:val="es-ES" w:eastAsia="es-ES" w:bidi="es-ES"/>
      </w:rPr>
    </w:lvl>
    <w:lvl w:ilvl="1">
      <w:start w:val="0"/>
      <w:numFmt w:val="bullet"/>
      <w:lvlText w:val="•"/>
      <w:lvlJc w:val="left"/>
      <w:pPr>
        <w:ind w:left="2034" w:hanging="265"/>
      </w:pPr>
      <w:rPr>
        <w:rFonts w:hint="default"/>
        <w:lang w:val="es-ES" w:eastAsia="es-ES" w:bidi="es-ES"/>
      </w:rPr>
    </w:lvl>
    <w:lvl w:ilvl="2">
      <w:start w:val="0"/>
      <w:numFmt w:val="bullet"/>
      <w:lvlText w:val="•"/>
      <w:lvlJc w:val="left"/>
      <w:pPr>
        <w:ind w:left="2989" w:hanging="265"/>
      </w:pPr>
      <w:rPr>
        <w:rFonts w:hint="default"/>
        <w:lang w:val="es-ES" w:eastAsia="es-ES" w:bidi="es-ES"/>
      </w:rPr>
    </w:lvl>
    <w:lvl w:ilvl="3">
      <w:start w:val="0"/>
      <w:numFmt w:val="bullet"/>
      <w:lvlText w:val="•"/>
      <w:lvlJc w:val="left"/>
      <w:pPr>
        <w:ind w:left="3943" w:hanging="265"/>
      </w:pPr>
      <w:rPr>
        <w:rFonts w:hint="default"/>
        <w:lang w:val="es-ES" w:eastAsia="es-ES" w:bidi="es-ES"/>
      </w:rPr>
    </w:lvl>
    <w:lvl w:ilvl="4">
      <w:start w:val="0"/>
      <w:numFmt w:val="bullet"/>
      <w:lvlText w:val="•"/>
      <w:lvlJc w:val="left"/>
      <w:pPr>
        <w:ind w:left="4898" w:hanging="265"/>
      </w:pPr>
      <w:rPr>
        <w:rFonts w:hint="default"/>
        <w:lang w:val="es-ES" w:eastAsia="es-ES" w:bidi="es-ES"/>
      </w:rPr>
    </w:lvl>
    <w:lvl w:ilvl="5">
      <w:start w:val="0"/>
      <w:numFmt w:val="bullet"/>
      <w:lvlText w:val="•"/>
      <w:lvlJc w:val="left"/>
      <w:pPr>
        <w:ind w:left="5852" w:hanging="265"/>
      </w:pPr>
      <w:rPr>
        <w:rFonts w:hint="default"/>
        <w:lang w:val="es-ES" w:eastAsia="es-ES" w:bidi="es-ES"/>
      </w:rPr>
    </w:lvl>
    <w:lvl w:ilvl="6">
      <w:start w:val="0"/>
      <w:numFmt w:val="bullet"/>
      <w:lvlText w:val="•"/>
      <w:lvlJc w:val="left"/>
      <w:pPr>
        <w:ind w:left="6807" w:hanging="265"/>
      </w:pPr>
      <w:rPr>
        <w:rFonts w:hint="default"/>
        <w:lang w:val="es-ES" w:eastAsia="es-ES" w:bidi="es-ES"/>
      </w:rPr>
    </w:lvl>
    <w:lvl w:ilvl="7">
      <w:start w:val="0"/>
      <w:numFmt w:val="bullet"/>
      <w:lvlText w:val="•"/>
      <w:lvlJc w:val="left"/>
      <w:pPr>
        <w:ind w:left="7761" w:hanging="265"/>
      </w:pPr>
      <w:rPr>
        <w:rFonts w:hint="default"/>
        <w:lang w:val="es-ES" w:eastAsia="es-ES" w:bidi="es-ES"/>
      </w:rPr>
    </w:lvl>
    <w:lvl w:ilvl="8">
      <w:start w:val="0"/>
      <w:numFmt w:val="bullet"/>
      <w:lvlText w:val="•"/>
      <w:lvlJc w:val="left"/>
      <w:pPr>
        <w:ind w:left="8716" w:hanging="265"/>
      </w:pPr>
      <w:rPr>
        <w:rFonts w:hint="default"/>
        <w:lang w:val="es-ES" w:eastAsia="es-ES" w:bidi="es-ES"/>
      </w:rPr>
    </w:lvl>
  </w:abstractNum>
  <w:abstractNum w:abstractNumId="224">
    <w:multiLevelType w:val="hybridMultilevel"/>
    <w:lvl w:ilvl="0">
      <w:start w:val="1"/>
      <w:numFmt w:val="decimal"/>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223">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222">
    <w:multiLevelType w:val="hybridMultilevel"/>
    <w:lvl w:ilvl="0">
      <w:start w:val="1"/>
      <w:numFmt w:val="lowerLetter"/>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221">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220">
    <w:multiLevelType w:val="hybridMultilevel"/>
    <w:lvl w:ilvl="0">
      <w:start w:val="1"/>
      <w:numFmt w:val="lowerLetter"/>
      <w:lvlText w:val="%1)"/>
      <w:lvlJc w:val="left"/>
      <w:pPr>
        <w:ind w:left="1074" w:hanging="25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3"/>
      </w:pPr>
      <w:rPr>
        <w:rFonts w:hint="default"/>
        <w:lang w:val="es-ES" w:eastAsia="es-ES" w:bidi="es-ES"/>
      </w:rPr>
    </w:lvl>
    <w:lvl w:ilvl="2">
      <w:start w:val="0"/>
      <w:numFmt w:val="bullet"/>
      <w:lvlText w:val="•"/>
      <w:lvlJc w:val="left"/>
      <w:pPr>
        <w:ind w:left="2989" w:hanging="253"/>
      </w:pPr>
      <w:rPr>
        <w:rFonts w:hint="default"/>
        <w:lang w:val="es-ES" w:eastAsia="es-ES" w:bidi="es-ES"/>
      </w:rPr>
    </w:lvl>
    <w:lvl w:ilvl="3">
      <w:start w:val="0"/>
      <w:numFmt w:val="bullet"/>
      <w:lvlText w:val="•"/>
      <w:lvlJc w:val="left"/>
      <w:pPr>
        <w:ind w:left="3943" w:hanging="253"/>
      </w:pPr>
      <w:rPr>
        <w:rFonts w:hint="default"/>
        <w:lang w:val="es-ES" w:eastAsia="es-ES" w:bidi="es-ES"/>
      </w:rPr>
    </w:lvl>
    <w:lvl w:ilvl="4">
      <w:start w:val="0"/>
      <w:numFmt w:val="bullet"/>
      <w:lvlText w:val="•"/>
      <w:lvlJc w:val="left"/>
      <w:pPr>
        <w:ind w:left="4898" w:hanging="253"/>
      </w:pPr>
      <w:rPr>
        <w:rFonts w:hint="default"/>
        <w:lang w:val="es-ES" w:eastAsia="es-ES" w:bidi="es-ES"/>
      </w:rPr>
    </w:lvl>
    <w:lvl w:ilvl="5">
      <w:start w:val="0"/>
      <w:numFmt w:val="bullet"/>
      <w:lvlText w:val="•"/>
      <w:lvlJc w:val="left"/>
      <w:pPr>
        <w:ind w:left="5852" w:hanging="253"/>
      </w:pPr>
      <w:rPr>
        <w:rFonts w:hint="default"/>
        <w:lang w:val="es-ES" w:eastAsia="es-ES" w:bidi="es-ES"/>
      </w:rPr>
    </w:lvl>
    <w:lvl w:ilvl="6">
      <w:start w:val="0"/>
      <w:numFmt w:val="bullet"/>
      <w:lvlText w:val="•"/>
      <w:lvlJc w:val="left"/>
      <w:pPr>
        <w:ind w:left="6807" w:hanging="253"/>
      </w:pPr>
      <w:rPr>
        <w:rFonts w:hint="default"/>
        <w:lang w:val="es-ES" w:eastAsia="es-ES" w:bidi="es-ES"/>
      </w:rPr>
    </w:lvl>
    <w:lvl w:ilvl="7">
      <w:start w:val="0"/>
      <w:numFmt w:val="bullet"/>
      <w:lvlText w:val="•"/>
      <w:lvlJc w:val="left"/>
      <w:pPr>
        <w:ind w:left="7761" w:hanging="253"/>
      </w:pPr>
      <w:rPr>
        <w:rFonts w:hint="default"/>
        <w:lang w:val="es-ES" w:eastAsia="es-ES" w:bidi="es-ES"/>
      </w:rPr>
    </w:lvl>
    <w:lvl w:ilvl="8">
      <w:start w:val="0"/>
      <w:numFmt w:val="bullet"/>
      <w:lvlText w:val="•"/>
      <w:lvlJc w:val="left"/>
      <w:pPr>
        <w:ind w:left="8716" w:hanging="253"/>
      </w:pPr>
      <w:rPr>
        <w:rFonts w:hint="default"/>
        <w:lang w:val="es-ES" w:eastAsia="es-ES" w:bidi="es-ES"/>
      </w:rPr>
    </w:lvl>
  </w:abstractNum>
  <w:abstractNum w:abstractNumId="219">
    <w:multiLevelType w:val="hybridMultilevel"/>
    <w:lvl w:ilvl="0">
      <w:start w:val="1"/>
      <w:numFmt w:val="decimal"/>
      <w:lvlText w:val="%1."/>
      <w:lvlJc w:val="left"/>
      <w:pPr>
        <w:ind w:left="1074" w:hanging="286"/>
        <w:jc w:val="left"/>
      </w:pPr>
      <w:rPr>
        <w:rFonts w:hint="default" w:ascii="Arial" w:hAnsi="Arial" w:eastAsia="Arial" w:cs="Arial"/>
        <w:spacing w:val="-14"/>
        <w:w w:val="100"/>
        <w:sz w:val="20"/>
        <w:szCs w:val="20"/>
        <w:lang w:val="es-ES" w:eastAsia="es-ES" w:bidi="es-ES"/>
      </w:rPr>
    </w:lvl>
    <w:lvl w:ilvl="1">
      <w:start w:val="0"/>
      <w:numFmt w:val="bullet"/>
      <w:lvlText w:val="•"/>
      <w:lvlJc w:val="left"/>
      <w:pPr>
        <w:ind w:left="2034" w:hanging="286"/>
      </w:pPr>
      <w:rPr>
        <w:rFonts w:hint="default"/>
        <w:lang w:val="es-ES" w:eastAsia="es-ES" w:bidi="es-ES"/>
      </w:rPr>
    </w:lvl>
    <w:lvl w:ilvl="2">
      <w:start w:val="0"/>
      <w:numFmt w:val="bullet"/>
      <w:lvlText w:val="•"/>
      <w:lvlJc w:val="left"/>
      <w:pPr>
        <w:ind w:left="2989" w:hanging="286"/>
      </w:pPr>
      <w:rPr>
        <w:rFonts w:hint="default"/>
        <w:lang w:val="es-ES" w:eastAsia="es-ES" w:bidi="es-ES"/>
      </w:rPr>
    </w:lvl>
    <w:lvl w:ilvl="3">
      <w:start w:val="0"/>
      <w:numFmt w:val="bullet"/>
      <w:lvlText w:val="•"/>
      <w:lvlJc w:val="left"/>
      <w:pPr>
        <w:ind w:left="3943" w:hanging="286"/>
      </w:pPr>
      <w:rPr>
        <w:rFonts w:hint="default"/>
        <w:lang w:val="es-ES" w:eastAsia="es-ES" w:bidi="es-ES"/>
      </w:rPr>
    </w:lvl>
    <w:lvl w:ilvl="4">
      <w:start w:val="0"/>
      <w:numFmt w:val="bullet"/>
      <w:lvlText w:val="•"/>
      <w:lvlJc w:val="left"/>
      <w:pPr>
        <w:ind w:left="4898" w:hanging="286"/>
      </w:pPr>
      <w:rPr>
        <w:rFonts w:hint="default"/>
        <w:lang w:val="es-ES" w:eastAsia="es-ES" w:bidi="es-ES"/>
      </w:rPr>
    </w:lvl>
    <w:lvl w:ilvl="5">
      <w:start w:val="0"/>
      <w:numFmt w:val="bullet"/>
      <w:lvlText w:val="•"/>
      <w:lvlJc w:val="left"/>
      <w:pPr>
        <w:ind w:left="5852" w:hanging="286"/>
      </w:pPr>
      <w:rPr>
        <w:rFonts w:hint="default"/>
        <w:lang w:val="es-ES" w:eastAsia="es-ES" w:bidi="es-ES"/>
      </w:rPr>
    </w:lvl>
    <w:lvl w:ilvl="6">
      <w:start w:val="0"/>
      <w:numFmt w:val="bullet"/>
      <w:lvlText w:val="•"/>
      <w:lvlJc w:val="left"/>
      <w:pPr>
        <w:ind w:left="6807" w:hanging="286"/>
      </w:pPr>
      <w:rPr>
        <w:rFonts w:hint="default"/>
        <w:lang w:val="es-ES" w:eastAsia="es-ES" w:bidi="es-ES"/>
      </w:rPr>
    </w:lvl>
    <w:lvl w:ilvl="7">
      <w:start w:val="0"/>
      <w:numFmt w:val="bullet"/>
      <w:lvlText w:val="•"/>
      <w:lvlJc w:val="left"/>
      <w:pPr>
        <w:ind w:left="7761" w:hanging="286"/>
      </w:pPr>
      <w:rPr>
        <w:rFonts w:hint="default"/>
        <w:lang w:val="es-ES" w:eastAsia="es-ES" w:bidi="es-ES"/>
      </w:rPr>
    </w:lvl>
    <w:lvl w:ilvl="8">
      <w:start w:val="0"/>
      <w:numFmt w:val="bullet"/>
      <w:lvlText w:val="•"/>
      <w:lvlJc w:val="left"/>
      <w:pPr>
        <w:ind w:left="8716" w:hanging="286"/>
      </w:pPr>
      <w:rPr>
        <w:rFonts w:hint="default"/>
        <w:lang w:val="es-ES" w:eastAsia="es-ES" w:bidi="es-ES"/>
      </w:rPr>
    </w:lvl>
  </w:abstractNum>
  <w:abstractNum w:abstractNumId="218">
    <w:multiLevelType w:val="hybridMultilevel"/>
    <w:lvl w:ilvl="0">
      <w:start w:val="1"/>
      <w:numFmt w:val="lowerLetter"/>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217">
    <w:multiLevelType w:val="hybridMultilevel"/>
    <w:lvl w:ilvl="0">
      <w:start w:val="1"/>
      <w:numFmt w:val="decimal"/>
      <w:lvlText w:val="%1."/>
      <w:lvlJc w:val="left"/>
      <w:pPr>
        <w:ind w:left="1074" w:hanging="22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4"/>
      </w:pPr>
      <w:rPr>
        <w:rFonts w:hint="default"/>
        <w:lang w:val="es-ES" w:eastAsia="es-ES" w:bidi="es-ES"/>
      </w:rPr>
    </w:lvl>
    <w:lvl w:ilvl="2">
      <w:start w:val="0"/>
      <w:numFmt w:val="bullet"/>
      <w:lvlText w:val="•"/>
      <w:lvlJc w:val="left"/>
      <w:pPr>
        <w:ind w:left="2989" w:hanging="224"/>
      </w:pPr>
      <w:rPr>
        <w:rFonts w:hint="default"/>
        <w:lang w:val="es-ES" w:eastAsia="es-ES" w:bidi="es-ES"/>
      </w:rPr>
    </w:lvl>
    <w:lvl w:ilvl="3">
      <w:start w:val="0"/>
      <w:numFmt w:val="bullet"/>
      <w:lvlText w:val="•"/>
      <w:lvlJc w:val="left"/>
      <w:pPr>
        <w:ind w:left="3943" w:hanging="224"/>
      </w:pPr>
      <w:rPr>
        <w:rFonts w:hint="default"/>
        <w:lang w:val="es-ES" w:eastAsia="es-ES" w:bidi="es-ES"/>
      </w:rPr>
    </w:lvl>
    <w:lvl w:ilvl="4">
      <w:start w:val="0"/>
      <w:numFmt w:val="bullet"/>
      <w:lvlText w:val="•"/>
      <w:lvlJc w:val="left"/>
      <w:pPr>
        <w:ind w:left="4898" w:hanging="224"/>
      </w:pPr>
      <w:rPr>
        <w:rFonts w:hint="default"/>
        <w:lang w:val="es-ES" w:eastAsia="es-ES" w:bidi="es-ES"/>
      </w:rPr>
    </w:lvl>
    <w:lvl w:ilvl="5">
      <w:start w:val="0"/>
      <w:numFmt w:val="bullet"/>
      <w:lvlText w:val="•"/>
      <w:lvlJc w:val="left"/>
      <w:pPr>
        <w:ind w:left="5852" w:hanging="224"/>
      </w:pPr>
      <w:rPr>
        <w:rFonts w:hint="default"/>
        <w:lang w:val="es-ES" w:eastAsia="es-ES" w:bidi="es-ES"/>
      </w:rPr>
    </w:lvl>
    <w:lvl w:ilvl="6">
      <w:start w:val="0"/>
      <w:numFmt w:val="bullet"/>
      <w:lvlText w:val="•"/>
      <w:lvlJc w:val="left"/>
      <w:pPr>
        <w:ind w:left="6807" w:hanging="224"/>
      </w:pPr>
      <w:rPr>
        <w:rFonts w:hint="default"/>
        <w:lang w:val="es-ES" w:eastAsia="es-ES" w:bidi="es-ES"/>
      </w:rPr>
    </w:lvl>
    <w:lvl w:ilvl="7">
      <w:start w:val="0"/>
      <w:numFmt w:val="bullet"/>
      <w:lvlText w:val="•"/>
      <w:lvlJc w:val="left"/>
      <w:pPr>
        <w:ind w:left="7761" w:hanging="224"/>
      </w:pPr>
      <w:rPr>
        <w:rFonts w:hint="default"/>
        <w:lang w:val="es-ES" w:eastAsia="es-ES" w:bidi="es-ES"/>
      </w:rPr>
    </w:lvl>
    <w:lvl w:ilvl="8">
      <w:start w:val="0"/>
      <w:numFmt w:val="bullet"/>
      <w:lvlText w:val="•"/>
      <w:lvlJc w:val="left"/>
      <w:pPr>
        <w:ind w:left="8716" w:hanging="224"/>
      </w:pPr>
      <w:rPr>
        <w:rFonts w:hint="default"/>
        <w:lang w:val="es-ES" w:eastAsia="es-ES" w:bidi="es-ES"/>
      </w:rPr>
    </w:lvl>
  </w:abstractNum>
  <w:abstractNum w:abstractNumId="216">
    <w:multiLevelType w:val="hybridMultilevel"/>
    <w:lvl w:ilvl="0">
      <w:start w:val="1"/>
      <w:numFmt w:val="decimal"/>
      <w:lvlText w:val="%1."/>
      <w:lvlJc w:val="left"/>
      <w:pPr>
        <w:ind w:left="1074" w:hanging="22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8"/>
      </w:pPr>
      <w:rPr>
        <w:rFonts w:hint="default"/>
        <w:lang w:val="es-ES" w:eastAsia="es-ES" w:bidi="es-ES"/>
      </w:rPr>
    </w:lvl>
    <w:lvl w:ilvl="2">
      <w:start w:val="0"/>
      <w:numFmt w:val="bullet"/>
      <w:lvlText w:val="•"/>
      <w:lvlJc w:val="left"/>
      <w:pPr>
        <w:ind w:left="2989" w:hanging="228"/>
      </w:pPr>
      <w:rPr>
        <w:rFonts w:hint="default"/>
        <w:lang w:val="es-ES" w:eastAsia="es-ES" w:bidi="es-ES"/>
      </w:rPr>
    </w:lvl>
    <w:lvl w:ilvl="3">
      <w:start w:val="0"/>
      <w:numFmt w:val="bullet"/>
      <w:lvlText w:val="•"/>
      <w:lvlJc w:val="left"/>
      <w:pPr>
        <w:ind w:left="3943" w:hanging="228"/>
      </w:pPr>
      <w:rPr>
        <w:rFonts w:hint="default"/>
        <w:lang w:val="es-ES" w:eastAsia="es-ES" w:bidi="es-ES"/>
      </w:rPr>
    </w:lvl>
    <w:lvl w:ilvl="4">
      <w:start w:val="0"/>
      <w:numFmt w:val="bullet"/>
      <w:lvlText w:val="•"/>
      <w:lvlJc w:val="left"/>
      <w:pPr>
        <w:ind w:left="4898" w:hanging="228"/>
      </w:pPr>
      <w:rPr>
        <w:rFonts w:hint="default"/>
        <w:lang w:val="es-ES" w:eastAsia="es-ES" w:bidi="es-ES"/>
      </w:rPr>
    </w:lvl>
    <w:lvl w:ilvl="5">
      <w:start w:val="0"/>
      <w:numFmt w:val="bullet"/>
      <w:lvlText w:val="•"/>
      <w:lvlJc w:val="left"/>
      <w:pPr>
        <w:ind w:left="5852" w:hanging="228"/>
      </w:pPr>
      <w:rPr>
        <w:rFonts w:hint="default"/>
        <w:lang w:val="es-ES" w:eastAsia="es-ES" w:bidi="es-ES"/>
      </w:rPr>
    </w:lvl>
    <w:lvl w:ilvl="6">
      <w:start w:val="0"/>
      <w:numFmt w:val="bullet"/>
      <w:lvlText w:val="•"/>
      <w:lvlJc w:val="left"/>
      <w:pPr>
        <w:ind w:left="6807" w:hanging="228"/>
      </w:pPr>
      <w:rPr>
        <w:rFonts w:hint="default"/>
        <w:lang w:val="es-ES" w:eastAsia="es-ES" w:bidi="es-ES"/>
      </w:rPr>
    </w:lvl>
    <w:lvl w:ilvl="7">
      <w:start w:val="0"/>
      <w:numFmt w:val="bullet"/>
      <w:lvlText w:val="•"/>
      <w:lvlJc w:val="left"/>
      <w:pPr>
        <w:ind w:left="7761" w:hanging="228"/>
      </w:pPr>
      <w:rPr>
        <w:rFonts w:hint="default"/>
        <w:lang w:val="es-ES" w:eastAsia="es-ES" w:bidi="es-ES"/>
      </w:rPr>
    </w:lvl>
    <w:lvl w:ilvl="8">
      <w:start w:val="0"/>
      <w:numFmt w:val="bullet"/>
      <w:lvlText w:val="•"/>
      <w:lvlJc w:val="left"/>
      <w:pPr>
        <w:ind w:left="8716" w:hanging="228"/>
      </w:pPr>
      <w:rPr>
        <w:rFonts w:hint="default"/>
        <w:lang w:val="es-ES" w:eastAsia="es-ES" w:bidi="es-ES"/>
      </w:rPr>
    </w:lvl>
  </w:abstractNum>
  <w:abstractNum w:abstractNumId="215">
    <w:multiLevelType w:val="hybridMultilevel"/>
    <w:lvl w:ilvl="0">
      <w:start w:val="1"/>
      <w:numFmt w:val="lowerLetter"/>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214">
    <w:multiLevelType w:val="hybridMultilevel"/>
    <w:lvl w:ilvl="0">
      <w:start w:val="1"/>
      <w:numFmt w:val="decimal"/>
      <w:lvlText w:val="%1."/>
      <w:lvlJc w:val="left"/>
      <w:pPr>
        <w:ind w:left="1074" w:hanging="28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1"/>
      </w:pPr>
      <w:rPr>
        <w:rFonts w:hint="default"/>
        <w:lang w:val="es-ES" w:eastAsia="es-ES" w:bidi="es-ES"/>
      </w:rPr>
    </w:lvl>
    <w:lvl w:ilvl="2">
      <w:start w:val="0"/>
      <w:numFmt w:val="bullet"/>
      <w:lvlText w:val="•"/>
      <w:lvlJc w:val="left"/>
      <w:pPr>
        <w:ind w:left="2989" w:hanging="281"/>
      </w:pPr>
      <w:rPr>
        <w:rFonts w:hint="default"/>
        <w:lang w:val="es-ES" w:eastAsia="es-ES" w:bidi="es-ES"/>
      </w:rPr>
    </w:lvl>
    <w:lvl w:ilvl="3">
      <w:start w:val="0"/>
      <w:numFmt w:val="bullet"/>
      <w:lvlText w:val="•"/>
      <w:lvlJc w:val="left"/>
      <w:pPr>
        <w:ind w:left="3943" w:hanging="281"/>
      </w:pPr>
      <w:rPr>
        <w:rFonts w:hint="default"/>
        <w:lang w:val="es-ES" w:eastAsia="es-ES" w:bidi="es-ES"/>
      </w:rPr>
    </w:lvl>
    <w:lvl w:ilvl="4">
      <w:start w:val="0"/>
      <w:numFmt w:val="bullet"/>
      <w:lvlText w:val="•"/>
      <w:lvlJc w:val="left"/>
      <w:pPr>
        <w:ind w:left="4898" w:hanging="281"/>
      </w:pPr>
      <w:rPr>
        <w:rFonts w:hint="default"/>
        <w:lang w:val="es-ES" w:eastAsia="es-ES" w:bidi="es-ES"/>
      </w:rPr>
    </w:lvl>
    <w:lvl w:ilvl="5">
      <w:start w:val="0"/>
      <w:numFmt w:val="bullet"/>
      <w:lvlText w:val="•"/>
      <w:lvlJc w:val="left"/>
      <w:pPr>
        <w:ind w:left="5852" w:hanging="281"/>
      </w:pPr>
      <w:rPr>
        <w:rFonts w:hint="default"/>
        <w:lang w:val="es-ES" w:eastAsia="es-ES" w:bidi="es-ES"/>
      </w:rPr>
    </w:lvl>
    <w:lvl w:ilvl="6">
      <w:start w:val="0"/>
      <w:numFmt w:val="bullet"/>
      <w:lvlText w:val="•"/>
      <w:lvlJc w:val="left"/>
      <w:pPr>
        <w:ind w:left="6807" w:hanging="281"/>
      </w:pPr>
      <w:rPr>
        <w:rFonts w:hint="default"/>
        <w:lang w:val="es-ES" w:eastAsia="es-ES" w:bidi="es-ES"/>
      </w:rPr>
    </w:lvl>
    <w:lvl w:ilvl="7">
      <w:start w:val="0"/>
      <w:numFmt w:val="bullet"/>
      <w:lvlText w:val="•"/>
      <w:lvlJc w:val="left"/>
      <w:pPr>
        <w:ind w:left="7761" w:hanging="281"/>
      </w:pPr>
      <w:rPr>
        <w:rFonts w:hint="default"/>
        <w:lang w:val="es-ES" w:eastAsia="es-ES" w:bidi="es-ES"/>
      </w:rPr>
    </w:lvl>
    <w:lvl w:ilvl="8">
      <w:start w:val="0"/>
      <w:numFmt w:val="bullet"/>
      <w:lvlText w:val="•"/>
      <w:lvlJc w:val="left"/>
      <w:pPr>
        <w:ind w:left="8716" w:hanging="281"/>
      </w:pPr>
      <w:rPr>
        <w:rFonts w:hint="default"/>
        <w:lang w:val="es-ES" w:eastAsia="es-ES" w:bidi="es-ES"/>
      </w:rPr>
    </w:lvl>
  </w:abstractNum>
  <w:abstractNum w:abstractNumId="213">
    <w:multiLevelType w:val="hybridMultilevel"/>
    <w:lvl w:ilvl="0">
      <w:start w:val="1"/>
      <w:numFmt w:val="decimal"/>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212">
    <w:multiLevelType w:val="hybridMultilevel"/>
    <w:lvl w:ilvl="0">
      <w:start w:val="1"/>
      <w:numFmt w:val="decimal"/>
      <w:lvlText w:val="%1."/>
      <w:lvlJc w:val="left"/>
      <w:pPr>
        <w:ind w:left="1074" w:hanging="270"/>
        <w:jc w:val="left"/>
      </w:pPr>
      <w:rPr>
        <w:rFonts w:hint="default" w:ascii="Arial" w:hAnsi="Arial" w:eastAsia="Arial" w:cs="Arial"/>
        <w:spacing w:val="-9"/>
        <w:w w:val="100"/>
        <w:sz w:val="20"/>
        <w:szCs w:val="20"/>
        <w:lang w:val="es-ES" w:eastAsia="es-ES" w:bidi="es-ES"/>
      </w:rPr>
    </w:lvl>
    <w:lvl w:ilvl="1">
      <w:start w:val="0"/>
      <w:numFmt w:val="bullet"/>
      <w:lvlText w:val="•"/>
      <w:lvlJc w:val="left"/>
      <w:pPr>
        <w:ind w:left="2034" w:hanging="270"/>
      </w:pPr>
      <w:rPr>
        <w:rFonts w:hint="default"/>
        <w:lang w:val="es-ES" w:eastAsia="es-ES" w:bidi="es-ES"/>
      </w:rPr>
    </w:lvl>
    <w:lvl w:ilvl="2">
      <w:start w:val="0"/>
      <w:numFmt w:val="bullet"/>
      <w:lvlText w:val="•"/>
      <w:lvlJc w:val="left"/>
      <w:pPr>
        <w:ind w:left="2989" w:hanging="270"/>
      </w:pPr>
      <w:rPr>
        <w:rFonts w:hint="default"/>
        <w:lang w:val="es-ES" w:eastAsia="es-ES" w:bidi="es-ES"/>
      </w:rPr>
    </w:lvl>
    <w:lvl w:ilvl="3">
      <w:start w:val="0"/>
      <w:numFmt w:val="bullet"/>
      <w:lvlText w:val="•"/>
      <w:lvlJc w:val="left"/>
      <w:pPr>
        <w:ind w:left="3943" w:hanging="270"/>
      </w:pPr>
      <w:rPr>
        <w:rFonts w:hint="default"/>
        <w:lang w:val="es-ES" w:eastAsia="es-ES" w:bidi="es-ES"/>
      </w:rPr>
    </w:lvl>
    <w:lvl w:ilvl="4">
      <w:start w:val="0"/>
      <w:numFmt w:val="bullet"/>
      <w:lvlText w:val="•"/>
      <w:lvlJc w:val="left"/>
      <w:pPr>
        <w:ind w:left="4898" w:hanging="270"/>
      </w:pPr>
      <w:rPr>
        <w:rFonts w:hint="default"/>
        <w:lang w:val="es-ES" w:eastAsia="es-ES" w:bidi="es-ES"/>
      </w:rPr>
    </w:lvl>
    <w:lvl w:ilvl="5">
      <w:start w:val="0"/>
      <w:numFmt w:val="bullet"/>
      <w:lvlText w:val="•"/>
      <w:lvlJc w:val="left"/>
      <w:pPr>
        <w:ind w:left="5852" w:hanging="270"/>
      </w:pPr>
      <w:rPr>
        <w:rFonts w:hint="default"/>
        <w:lang w:val="es-ES" w:eastAsia="es-ES" w:bidi="es-ES"/>
      </w:rPr>
    </w:lvl>
    <w:lvl w:ilvl="6">
      <w:start w:val="0"/>
      <w:numFmt w:val="bullet"/>
      <w:lvlText w:val="•"/>
      <w:lvlJc w:val="left"/>
      <w:pPr>
        <w:ind w:left="6807" w:hanging="270"/>
      </w:pPr>
      <w:rPr>
        <w:rFonts w:hint="default"/>
        <w:lang w:val="es-ES" w:eastAsia="es-ES" w:bidi="es-ES"/>
      </w:rPr>
    </w:lvl>
    <w:lvl w:ilvl="7">
      <w:start w:val="0"/>
      <w:numFmt w:val="bullet"/>
      <w:lvlText w:val="•"/>
      <w:lvlJc w:val="left"/>
      <w:pPr>
        <w:ind w:left="7761" w:hanging="270"/>
      </w:pPr>
      <w:rPr>
        <w:rFonts w:hint="default"/>
        <w:lang w:val="es-ES" w:eastAsia="es-ES" w:bidi="es-ES"/>
      </w:rPr>
    </w:lvl>
    <w:lvl w:ilvl="8">
      <w:start w:val="0"/>
      <w:numFmt w:val="bullet"/>
      <w:lvlText w:val="•"/>
      <w:lvlJc w:val="left"/>
      <w:pPr>
        <w:ind w:left="8716" w:hanging="270"/>
      </w:pPr>
      <w:rPr>
        <w:rFonts w:hint="default"/>
        <w:lang w:val="es-ES" w:eastAsia="es-ES" w:bidi="es-ES"/>
      </w:rPr>
    </w:lvl>
  </w:abstractNum>
  <w:abstractNum w:abstractNumId="211">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10">
    <w:multiLevelType w:val="hybridMultilevel"/>
    <w:lvl w:ilvl="0">
      <w:start w:val="1"/>
      <w:numFmt w:val="lowerLetter"/>
      <w:lvlText w:val="%1)"/>
      <w:lvlJc w:val="left"/>
      <w:pPr>
        <w:ind w:left="1074" w:hanging="274"/>
        <w:jc w:val="left"/>
      </w:pPr>
      <w:rPr>
        <w:rFonts w:hint="default" w:ascii="Arial" w:hAnsi="Arial" w:eastAsia="Arial" w:cs="Arial"/>
        <w:spacing w:val="-15"/>
        <w:w w:val="100"/>
        <w:sz w:val="20"/>
        <w:szCs w:val="20"/>
        <w:lang w:val="es-ES" w:eastAsia="es-ES" w:bidi="es-ES"/>
      </w:rPr>
    </w:lvl>
    <w:lvl w:ilvl="1">
      <w:start w:val="0"/>
      <w:numFmt w:val="bullet"/>
      <w:lvlText w:val="•"/>
      <w:lvlJc w:val="left"/>
      <w:pPr>
        <w:ind w:left="2034" w:hanging="274"/>
      </w:pPr>
      <w:rPr>
        <w:rFonts w:hint="default"/>
        <w:lang w:val="es-ES" w:eastAsia="es-ES" w:bidi="es-ES"/>
      </w:rPr>
    </w:lvl>
    <w:lvl w:ilvl="2">
      <w:start w:val="0"/>
      <w:numFmt w:val="bullet"/>
      <w:lvlText w:val="•"/>
      <w:lvlJc w:val="left"/>
      <w:pPr>
        <w:ind w:left="2989" w:hanging="274"/>
      </w:pPr>
      <w:rPr>
        <w:rFonts w:hint="default"/>
        <w:lang w:val="es-ES" w:eastAsia="es-ES" w:bidi="es-ES"/>
      </w:rPr>
    </w:lvl>
    <w:lvl w:ilvl="3">
      <w:start w:val="0"/>
      <w:numFmt w:val="bullet"/>
      <w:lvlText w:val="•"/>
      <w:lvlJc w:val="left"/>
      <w:pPr>
        <w:ind w:left="3943" w:hanging="274"/>
      </w:pPr>
      <w:rPr>
        <w:rFonts w:hint="default"/>
        <w:lang w:val="es-ES" w:eastAsia="es-ES" w:bidi="es-ES"/>
      </w:rPr>
    </w:lvl>
    <w:lvl w:ilvl="4">
      <w:start w:val="0"/>
      <w:numFmt w:val="bullet"/>
      <w:lvlText w:val="•"/>
      <w:lvlJc w:val="left"/>
      <w:pPr>
        <w:ind w:left="4898" w:hanging="274"/>
      </w:pPr>
      <w:rPr>
        <w:rFonts w:hint="default"/>
        <w:lang w:val="es-ES" w:eastAsia="es-ES" w:bidi="es-ES"/>
      </w:rPr>
    </w:lvl>
    <w:lvl w:ilvl="5">
      <w:start w:val="0"/>
      <w:numFmt w:val="bullet"/>
      <w:lvlText w:val="•"/>
      <w:lvlJc w:val="left"/>
      <w:pPr>
        <w:ind w:left="5852" w:hanging="274"/>
      </w:pPr>
      <w:rPr>
        <w:rFonts w:hint="default"/>
        <w:lang w:val="es-ES" w:eastAsia="es-ES" w:bidi="es-ES"/>
      </w:rPr>
    </w:lvl>
    <w:lvl w:ilvl="6">
      <w:start w:val="0"/>
      <w:numFmt w:val="bullet"/>
      <w:lvlText w:val="•"/>
      <w:lvlJc w:val="left"/>
      <w:pPr>
        <w:ind w:left="6807" w:hanging="274"/>
      </w:pPr>
      <w:rPr>
        <w:rFonts w:hint="default"/>
        <w:lang w:val="es-ES" w:eastAsia="es-ES" w:bidi="es-ES"/>
      </w:rPr>
    </w:lvl>
    <w:lvl w:ilvl="7">
      <w:start w:val="0"/>
      <w:numFmt w:val="bullet"/>
      <w:lvlText w:val="•"/>
      <w:lvlJc w:val="left"/>
      <w:pPr>
        <w:ind w:left="7761" w:hanging="274"/>
      </w:pPr>
      <w:rPr>
        <w:rFonts w:hint="default"/>
        <w:lang w:val="es-ES" w:eastAsia="es-ES" w:bidi="es-ES"/>
      </w:rPr>
    </w:lvl>
    <w:lvl w:ilvl="8">
      <w:start w:val="0"/>
      <w:numFmt w:val="bullet"/>
      <w:lvlText w:val="•"/>
      <w:lvlJc w:val="left"/>
      <w:pPr>
        <w:ind w:left="8716" w:hanging="274"/>
      </w:pPr>
      <w:rPr>
        <w:rFonts w:hint="default"/>
        <w:lang w:val="es-ES" w:eastAsia="es-ES" w:bidi="es-ES"/>
      </w:rPr>
    </w:lvl>
  </w:abstractNum>
  <w:abstractNum w:abstractNumId="209">
    <w:multiLevelType w:val="hybridMultilevel"/>
    <w:lvl w:ilvl="0">
      <w:start w:val="1"/>
      <w:numFmt w:val="lowerLetter"/>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208">
    <w:multiLevelType w:val="hybridMultilevel"/>
    <w:lvl w:ilvl="0">
      <w:start w:val="1"/>
      <w:numFmt w:val="decimal"/>
      <w:lvlText w:val="%1."/>
      <w:lvlJc w:val="left"/>
      <w:pPr>
        <w:ind w:left="1074" w:hanging="30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1"/>
      </w:pPr>
      <w:rPr>
        <w:rFonts w:hint="default"/>
        <w:lang w:val="es-ES" w:eastAsia="es-ES" w:bidi="es-ES"/>
      </w:rPr>
    </w:lvl>
    <w:lvl w:ilvl="2">
      <w:start w:val="0"/>
      <w:numFmt w:val="bullet"/>
      <w:lvlText w:val="•"/>
      <w:lvlJc w:val="left"/>
      <w:pPr>
        <w:ind w:left="2989" w:hanging="301"/>
      </w:pPr>
      <w:rPr>
        <w:rFonts w:hint="default"/>
        <w:lang w:val="es-ES" w:eastAsia="es-ES" w:bidi="es-ES"/>
      </w:rPr>
    </w:lvl>
    <w:lvl w:ilvl="3">
      <w:start w:val="0"/>
      <w:numFmt w:val="bullet"/>
      <w:lvlText w:val="•"/>
      <w:lvlJc w:val="left"/>
      <w:pPr>
        <w:ind w:left="3943" w:hanging="301"/>
      </w:pPr>
      <w:rPr>
        <w:rFonts w:hint="default"/>
        <w:lang w:val="es-ES" w:eastAsia="es-ES" w:bidi="es-ES"/>
      </w:rPr>
    </w:lvl>
    <w:lvl w:ilvl="4">
      <w:start w:val="0"/>
      <w:numFmt w:val="bullet"/>
      <w:lvlText w:val="•"/>
      <w:lvlJc w:val="left"/>
      <w:pPr>
        <w:ind w:left="4898" w:hanging="301"/>
      </w:pPr>
      <w:rPr>
        <w:rFonts w:hint="default"/>
        <w:lang w:val="es-ES" w:eastAsia="es-ES" w:bidi="es-ES"/>
      </w:rPr>
    </w:lvl>
    <w:lvl w:ilvl="5">
      <w:start w:val="0"/>
      <w:numFmt w:val="bullet"/>
      <w:lvlText w:val="•"/>
      <w:lvlJc w:val="left"/>
      <w:pPr>
        <w:ind w:left="5852" w:hanging="301"/>
      </w:pPr>
      <w:rPr>
        <w:rFonts w:hint="default"/>
        <w:lang w:val="es-ES" w:eastAsia="es-ES" w:bidi="es-ES"/>
      </w:rPr>
    </w:lvl>
    <w:lvl w:ilvl="6">
      <w:start w:val="0"/>
      <w:numFmt w:val="bullet"/>
      <w:lvlText w:val="•"/>
      <w:lvlJc w:val="left"/>
      <w:pPr>
        <w:ind w:left="6807" w:hanging="301"/>
      </w:pPr>
      <w:rPr>
        <w:rFonts w:hint="default"/>
        <w:lang w:val="es-ES" w:eastAsia="es-ES" w:bidi="es-ES"/>
      </w:rPr>
    </w:lvl>
    <w:lvl w:ilvl="7">
      <w:start w:val="0"/>
      <w:numFmt w:val="bullet"/>
      <w:lvlText w:val="•"/>
      <w:lvlJc w:val="left"/>
      <w:pPr>
        <w:ind w:left="7761" w:hanging="301"/>
      </w:pPr>
      <w:rPr>
        <w:rFonts w:hint="default"/>
        <w:lang w:val="es-ES" w:eastAsia="es-ES" w:bidi="es-ES"/>
      </w:rPr>
    </w:lvl>
    <w:lvl w:ilvl="8">
      <w:start w:val="0"/>
      <w:numFmt w:val="bullet"/>
      <w:lvlText w:val="•"/>
      <w:lvlJc w:val="left"/>
      <w:pPr>
        <w:ind w:left="8716" w:hanging="301"/>
      </w:pPr>
      <w:rPr>
        <w:rFonts w:hint="default"/>
        <w:lang w:val="es-ES" w:eastAsia="es-ES" w:bidi="es-ES"/>
      </w:rPr>
    </w:lvl>
  </w:abstractNum>
  <w:abstractNum w:abstractNumId="207">
    <w:multiLevelType w:val="hybridMultilevel"/>
    <w:lvl w:ilvl="0">
      <w:start w:val="1"/>
      <w:numFmt w:val="lowerLetter"/>
      <w:lvlText w:val="%1)"/>
      <w:lvlJc w:val="left"/>
      <w:pPr>
        <w:ind w:left="1074" w:hanging="272"/>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72"/>
      </w:pPr>
      <w:rPr>
        <w:rFonts w:hint="default"/>
        <w:lang w:val="es-ES" w:eastAsia="es-ES" w:bidi="es-ES"/>
      </w:rPr>
    </w:lvl>
    <w:lvl w:ilvl="2">
      <w:start w:val="0"/>
      <w:numFmt w:val="bullet"/>
      <w:lvlText w:val="•"/>
      <w:lvlJc w:val="left"/>
      <w:pPr>
        <w:ind w:left="2989" w:hanging="272"/>
      </w:pPr>
      <w:rPr>
        <w:rFonts w:hint="default"/>
        <w:lang w:val="es-ES" w:eastAsia="es-ES" w:bidi="es-ES"/>
      </w:rPr>
    </w:lvl>
    <w:lvl w:ilvl="3">
      <w:start w:val="0"/>
      <w:numFmt w:val="bullet"/>
      <w:lvlText w:val="•"/>
      <w:lvlJc w:val="left"/>
      <w:pPr>
        <w:ind w:left="3943" w:hanging="272"/>
      </w:pPr>
      <w:rPr>
        <w:rFonts w:hint="default"/>
        <w:lang w:val="es-ES" w:eastAsia="es-ES" w:bidi="es-ES"/>
      </w:rPr>
    </w:lvl>
    <w:lvl w:ilvl="4">
      <w:start w:val="0"/>
      <w:numFmt w:val="bullet"/>
      <w:lvlText w:val="•"/>
      <w:lvlJc w:val="left"/>
      <w:pPr>
        <w:ind w:left="4898" w:hanging="272"/>
      </w:pPr>
      <w:rPr>
        <w:rFonts w:hint="default"/>
        <w:lang w:val="es-ES" w:eastAsia="es-ES" w:bidi="es-ES"/>
      </w:rPr>
    </w:lvl>
    <w:lvl w:ilvl="5">
      <w:start w:val="0"/>
      <w:numFmt w:val="bullet"/>
      <w:lvlText w:val="•"/>
      <w:lvlJc w:val="left"/>
      <w:pPr>
        <w:ind w:left="5852" w:hanging="272"/>
      </w:pPr>
      <w:rPr>
        <w:rFonts w:hint="default"/>
        <w:lang w:val="es-ES" w:eastAsia="es-ES" w:bidi="es-ES"/>
      </w:rPr>
    </w:lvl>
    <w:lvl w:ilvl="6">
      <w:start w:val="0"/>
      <w:numFmt w:val="bullet"/>
      <w:lvlText w:val="•"/>
      <w:lvlJc w:val="left"/>
      <w:pPr>
        <w:ind w:left="6807" w:hanging="272"/>
      </w:pPr>
      <w:rPr>
        <w:rFonts w:hint="default"/>
        <w:lang w:val="es-ES" w:eastAsia="es-ES" w:bidi="es-ES"/>
      </w:rPr>
    </w:lvl>
    <w:lvl w:ilvl="7">
      <w:start w:val="0"/>
      <w:numFmt w:val="bullet"/>
      <w:lvlText w:val="•"/>
      <w:lvlJc w:val="left"/>
      <w:pPr>
        <w:ind w:left="7761" w:hanging="272"/>
      </w:pPr>
      <w:rPr>
        <w:rFonts w:hint="default"/>
        <w:lang w:val="es-ES" w:eastAsia="es-ES" w:bidi="es-ES"/>
      </w:rPr>
    </w:lvl>
    <w:lvl w:ilvl="8">
      <w:start w:val="0"/>
      <w:numFmt w:val="bullet"/>
      <w:lvlText w:val="•"/>
      <w:lvlJc w:val="left"/>
      <w:pPr>
        <w:ind w:left="8716" w:hanging="272"/>
      </w:pPr>
      <w:rPr>
        <w:rFonts w:hint="default"/>
        <w:lang w:val="es-ES" w:eastAsia="es-ES" w:bidi="es-ES"/>
      </w:rPr>
    </w:lvl>
  </w:abstractNum>
  <w:abstractNum w:abstractNumId="206">
    <w:multiLevelType w:val="hybridMultilevel"/>
    <w:lvl w:ilvl="0">
      <w:start w:val="1"/>
      <w:numFmt w:val="decimal"/>
      <w:lvlText w:val="%1."/>
      <w:lvlJc w:val="left"/>
      <w:pPr>
        <w:ind w:left="1074" w:hanging="307"/>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307"/>
      </w:pPr>
      <w:rPr>
        <w:rFonts w:hint="default"/>
        <w:lang w:val="es-ES" w:eastAsia="es-ES" w:bidi="es-ES"/>
      </w:rPr>
    </w:lvl>
    <w:lvl w:ilvl="2">
      <w:start w:val="0"/>
      <w:numFmt w:val="bullet"/>
      <w:lvlText w:val="•"/>
      <w:lvlJc w:val="left"/>
      <w:pPr>
        <w:ind w:left="2989" w:hanging="307"/>
      </w:pPr>
      <w:rPr>
        <w:rFonts w:hint="default"/>
        <w:lang w:val="es-ES" w:eastAsia="es-ES" w:bidi="es-ES"/>
      </w:rPr>
    </w:lvl>
    <w:lvl w:ilvl="3">
      <w:start w:val="0"/>
      <w:numFmt w:val="bullet"/>
      <w:lvlText w:val="•"/>
      <w:lvlJc w:val="left"/>
      <w:pPr>
        <w:ind w:left="3943" w:hanging="307"/>
      </w:pPr>
      <w:rPr>
        <w:rFonts w:hint="default"/>
        <w:lang w:val="es-ES" w:eastAsia="es-ES" w:bidi="es-ES"/>
      </w:rPr>
    </w:lvl>
    <w:lvl w:ilvl="4">
      <w:start w:val="0"/>
      <w:numFmt w:val="bullet"/>
      <w:lvlText w:val="•"/>
      <w:lvlJc w:val="left"/>
      <w:pPr>
        <w:ind w:left="4898" w:hanging="307"/>
      </w:pPr>
      <w:rPr>
        <w:rFonts w:hint="default"/>
        <w:lang w:val="es-ES" w:eastAsia="es-ES" w:bidi="es-ES"/>
      </w:rPr>
    </w:lvl>
    <w:lvl w:ilvl="5">
      <w:start w:val="0"/>
      <w:numFmt w:val="bullet"/>
      <w:lvlText w:val="•"/>
      <w:lvlJc w:val="left"/>
      <w:pPr>
        <w:ind w:left="5852" w:hanging="307"/>
      </w:pPr>
      <w:rPr>
        <w:rFonts w:hint="default"/>
        <w:lang w:val="es-ES" w:eastAsia="es-ES" w:bidi="es-ES"/>
      </w:rPr>
    </w:lvl>
    <w:lvl w:ilvl="6">
      <w:start w:val="0"/>
      <w:numFmt w:val="bullet"/>
      <w:lvlText w:val="•"/>
      <w:lvlJc w:val="left"/>
      <w:pPr>
        <w:ind w:left="6807" w:hanging="307"/>
      </w:pPr>
      <w:rPr>
        <w:rFonts w:hint="default"/>
        <w:lang w:val="es-ES" w:eastAsia="es-ES" w:bidi="es-ES"/>
      </w:rPr>
    </w:lvl>
    <w:lvl w:ilvl="7">
      <w:start w:val="0"/>
      <w:numFmt w:val="bullet"/>
      <w:lvlText w:val="•"/>
      <w:lvlJc w:val="left"/>
      <w:pPr>
        <w:ind w:left="7761" w:hanging="307"/>
      </w:pPr>
      <w:rPr>
        <w:rFonts w:hint="default"/>
        <w:lang w:val="es-ES" w:eastAsia="es-ES" w:bidi="es-ES"/>
      </w:rPr>
    </w:lvl>
    <w:lvl w:ilvl="8">
      <w:start w:val="0"/>
      <w:numFmt w:val="bullet"/>
      <w:lvlText w:val="•"/>
      <w:lvlJc w:val="left"/>
      <w:pPr>
        <w:ind w:left="8716" w:hanging="307"/>
      </w:pPr>
      <w:rPr>
        <w:rFonts w:hint="default"/>
        <w:lang w:val="es-ES" w:eastAsia="es-ES" w:bidi="es-ES"/>
      </w:rPr>
    </w:lvl>
  </w:abstractNum>
  <w:abstractNum w:abstractNumId="205">
    <w:multiLevelType w:val="hybridMultilevel"/>
    <w:lvl w:ilvl="0">
      <w:start w:val="1"/>
      <w:numFmt w:val="decimal"/>
      <w:lvlText w:val="%1."/>
      <w:lvlJc w:val="left"/>
      <w:pPr>
        <w:ind w:left="1074" w:hanging="23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0"/>
      </w:pPr>
      <w:rPr>
        <w:rFonts w:hint="default"/>
        <w:lang w:val="es-ES" w:eastAsia="es-ES" w:bidi="es-ES"/>
      </w:rPr>
    </w:lvl>
    <w:lvl w:ilvl="2">
      <w:start w:val="0"/>
      <w:numFmt w:val="bullet"/>
      <w:lvlText w:val="•"/>
      <w:lvlJc w:val="left"/>
      <w:pPr>
        <w:ind w:left="2989" w:hanging="230"/>
      </w:pPr>
      <w:rPr>
        <w:rFonts w:hint="default"/>
        <w:lang w:val="es-ES" w:eastAsia="es-ES" w:bidi="es-ES"/>
      </w:rPr>
    </w:lvl>
    <w:lvl w:ilvl="3">
      <w:start w:val="0"/>
      <w:numFmt w:val="bullet"/>
      <w:lvlText w:val="•"/>
      <w:lvlJc w:val="left"/>
      <w:pPr>
        <w:ind w:left="3943" w:hanging="230"/>
      </w:pPr>
      <w:rPr>
        <w:rFonts w:hint="default"/>
        <w:lang w:val="es-ES" w:eastAsia="es-ES" w:bidi="es-ES"/>
      </w:rPr>
    </w:lvl>
    <w:lvl w:ilvl="4">
      <w:start w:val="0"/>
      <w:numFmt w:val="bullet"/>
      <w:lvlText w:val="•"/>
      <w:lvlJc w:val="left"/>
      <w:pPr>
        <w:ind w:left="4898" w:hanging="230"/>
      </w:pPr>
      <w:rPr>
        <w:rFonts w:hint="default"/>
        <w:lang w:val="es-ES" w:eastAsia="es-ES" w:bidi="es-ES"/>
      </w:rPr>
    </w:lvl>
    <w:lvl w:ilvl="5">
      <w:start w:val="0"/>
      <w:numFmt w:val="bullet"/>
      <w:lvlText w:val="•"/>
      <w:lvlJc w:val="left"/>
      <w:pPr>
        <w:ind w:left="5852" w:hanging="230"/>
      </w:pPr>
      <w:rPr>
        <w:rFonts w:hint="default"/>
        <w:lang w:val="es-ES" w:eastAsia="es-ES" w:bidi="es-ES"/>
      </w:rPr>
    </w:lvl>
    <w:lvl w:ilvl="6">
      <w:start w:val="0"/>
      <w:numFmt w:val="bullet"/>
      <w:lvlText w:val="•"/>
      <w:lvlJc w:val="left"/>
      <w:pPr>
        <w:ind w:left="6807" w:hanging="230"/>
      </w:pPr>
      <w:rPr>
        <w:rFonts w:hint="default"/>
        <w:lang w:val="es-ES" w:eastAsia="es-ES" w:bidi="es-ES"/>
      </w:rPr>
    </w:lvl>
    <w:lvl w:ilvl="7">
      <w:start w:val="0"/>
      <w:numFmt w:val="bullet"/>
      <w:lvlText w:val="•"/>
      <w:lvlJc w:val="left"/>
      <w:pPr>
        <w:ind w:left="7761" w:hanging="230"/>
      </w:pPr>
      <w:rPr>
        <w:rFonts w:hint="default"/>
        <w:lang w:val="es-ES" w:eastAsia="es-ES" w:bidi="es-ES"/>
      </w:rPr>
    </w:lvl>
    <w:lvl w:ilvl="8">
      <w:start w:val="0"/>
      <w:numFmt w:val="bullet"/>
      <w:lvlText w:val="•"/>
      <w:lvlJc w:val="left"/>
      <w:pPr>
        <w:ind w:left="8716" w:hanging="230"/>
      </w:pPr>
      <w:rPr>
        <w:rFonts w:hint="default"/>
        <w:lang w:val="es-ES" w:eastAsia="es-ES" w:bidi="es-ES"/>
      </w:rPr>
    </w:lvl>
  </w:abstractNum>
  <w:abstractNum w:abstractNumId="204">
    <w:multiLevelType w:val="hybridMultilevel"/>
    <w:lvl w:ilvl="0">
      <w:start w:val="1"/>
      <w:numFmt w:val="lowerLetter"/>
      <w:lvlText w:val="%1)"/>
      <w:lvlJc w:val="left"/>
      <w:pPr>
        <w:ind w:left="1074" w:hanging="25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5"/>
      </w:pPr>
      <w:rPr>
        <w:rFonts w:hint="default"/>
        <w:lang w:val="es-ES" w:eastAsia="es-ES" w:bidi="es-ES"/>
      </w:rPr>
    </w:lvl>
    <w:lvl w:ilvl="2">
      <w:start w:val="0"/>
      <w:numFmt w:val="bullet"/>
      <w:lvlText w:val="•"/>
      <w:lvlJc w:val="left"/>
      <w:pPr>
        <w:ind w:left="2989" w:hanging="255"/>
      </w:pPr>
      <w:rPr>
        <w:rFonts w:hint="default"/>
        <w:lang w:val="es-ES" w:eastAsia="es-ES" w:bidi="es-ES"/>
      </w:rPr>
    </w:lvl>
    <w:lvl w:ilvl="3">
      <w:start w:val="0"/>
      <w:numFmt w:val="bullet"/>
      <w:lvlText w:val="•"/>
      <w:lvlJc w:val="left"/>
      <w:pPr>
        <w:ind w:left="3943" w:hanging="255"/>
      </w:pPr>
      <w:rPr>
        <w:rFonts w:hint="default"/>
        <w:lang w:val="es-ES" w:eastAsia="es-ES" w:bidi="es-ES"/>
      </w:rPr>
    </w:lvl>
    <w:lvl w:ilvl="4">
      <w:start w:val="0"/>
      <w:numFmt w:val="bullet"/>
      <w:lvlText w:val="•"/>
      <w:lvlJc w:val="left"/>
      <w:pPr>
        <w:ind w:left="4898" w:hanging="255"/>
      </w:pPr>
      <w:rPr>
        <w:rFonts w:hint="default"/>
        <w:lang w:val="es-ES" w:eastAsia="es-ES" w:bidi="es-ES"/>
      </w:rPr>
    </w:lvl>
    <w:lvl w:ilvl="5">
      <w:start w:val="0"/>
      <w:numFmt w:val="bullet"/>
      <w:lvlText w:val="•"/>
      <w:lvlJc w:val="left"/>
      <w:pPr>
        <w:ind w:left="5852" w:hanging="255"/>
      </w:pPr>
      <w:rPr>
        <w:rFonts w:hint="default"/>
        <w:lang w:val="es-ES" w:eastAsia="es-ES" w:bidi="es-ES"/>
      </w:rPr>
    </w:lvl>
    <w:lvl w:ilvl="6">
      <w:start w:val="0"/>
      <w:numFmt w:val="bullet"/>
      <w:lvlText w:val="•"/>
      <w:lvlJc w:val="left"/>
      <w:pPr>
        <w:ind w:left="6807" w:hanging="255"/>
      </w:pPr>
      <w:rPr>
        <w:rFonts w:hint="default"/>
        <w:lang w:val="es-ES" w:eastAsia="es-ES" w:bidi="es-ES"/>
      </w:rPr>
    </w:lvl>
    <w:lvl w:ilvl="7">
      <w:start w:val="0"/>
      <w:numFmt w:val="bullet"/>
      <w:lvlText w:val="•"/>
      <w:lvlJc w:val="left"/>
      <w:pPr>
        <w:ind w:left="7761" w:hanging="255"/>
      </w:pPr>
      <w:rPr>
        <w:rFonts w:hint="default"/>
        <w:lang w:val="es-ES" w:eastAsia="es-ES" w:bidi="es-ES"/>
      </w:rPr>
    </w:lvl>
    <w:lvl w:ilvl="8">
      <w:start w:val="0"/>
      <w:numFmt w:val="bullet"/>
      <w:lvlText w:val="•"/>
      <w:lvlJc w:val="left"/>
      <w:pPr>
        <w:ind w:left="8716" w:hanging="255"/>
      </w:pPr>
      <w:rPr>
        <w:rFonts w:hint="default"/>
        <w:lang w:val="es-ES" w:eastAsia="es-ES" w:bidi="es-ES"/>
      </w:rPr>
    </w:lvl>
  </w:abstractNum>
  <w:abstractNum w:abstractNumId="203">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202">
    <w:multiLevelType w:val="hybridMultilevel"/>
    <w:lvl w:ilvl="0">
      <w:start w:val="1"/>
      <w:numFmt w:val="lowerLetter"/>
      <w:lvlText w:val="%1)"/>
      <w:lvlJc w:val="left"/>
      <w:pPr>
        <w:ind w:left="1074" w:hanging="29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2"/>
      </w:pPr>
      <w:rPr>
        <w:rFonts w:hint="default"/>
        <w:lang w:val="es-ES" w:eastAsia="es-ES" w:bidi="es-ES"/>
      </w:rPr>
    </w:lvl>
    <w:lvl w:ilvl="2">
      <w:start w:val="0"/>
      <w:numFmt w:val="bullet"/>
      <w:lvlText w:val="•"/>
      <w:lvlJc w:val="left"/>
      <w:pPr>
        <w:ind w:left="2989" w:hanging="292"/>
      </w:pPr>
      <w:rPr>
        <w:rFonts w:hint="default"/>
        <w:lang w:val="es-ES" w:eastAsia="es-ES" w:bidi="es-ES"/>
      </w:rPr>
    </w:lvl>
    <w:lvl w:ilvl="3">
      <w:start w:val="0"/>
      <w:numFmt w:val="bullet"/>
      <w:lvlText w:val="•"/>
      <w:lvlJc w:val="left"/>
      <w:pPr>
        <w:ind w:left="3943" w:hanging="292"/>
      </w:pPr>
      <w:rPr>
        <w:rFonts w:hint="default"/>
        <w:lang w:val="es-ES" w:eastAsia="es-ES" w:bidi="es-ES"/>
      </w:rPr>
    </w:lvl>
    <w:lvl w:ilvl="4">
      <w:start w:val="0"/>
      <w:numFmt w:val="bullet"/>
      <w:lvlText w:val="•"/>
      <w:lvlJc w:val="left"/>
      <w:pPr>
        <w:ind w:left="4898" w:hanging="292"/>
      </w:pPr>
      <w:rPr>
        <w:rFonts w:hint="default"/>
        <w:lang w:val="es-ES" w:eastAsia="es-ES" w:bidi="es-ES"/>
      </w:rPr>
    </w:lvl>
    <w:lvl w:ilvl="5">
      <w:start w:val="0"/>
      <w:numFmt w:val="bullet"/>
      <w:lvlText w:val="•"/>
      <w:lvlJc w:val="left"/>
      <w:pPr>
        <w:ind w:left="5852" w:hanging="292"/>
      </w:pPr>
      <w:rPr>
        <w:rFonts w:hint="default"/>
        <w:lang w:val="es-ES" w:eastAsia="es-ES" w:bidi="es-ES"/>
      </w:rPr>
    </w:lvl>
    <w:lvl w:ilvl="6">
      <w:start w:val="0"/>
      <w:numFmt w:val="bullet"/>
      <w:lvlText w:val="•"/>
      <w:lvlJc w:val="left"/>
      <w:pPr>
        <w:ind w:left="6807" w:hanging="292"/>
      </w:pPr>
      <w:rPr>
        <w:rFonts w:hint="default"/>
        <w:lang w:val="es-ES" w:eastAsia="es-ES" w:bidi="es-ES"/>
      </w:rPr>
    </w:lvl>
    <w:lvl w:ilvl="7">
      <w:start w:val="0"/>
      <w:numFmt w:val="bullet"/>
      <w:lvlText w:val="•"/>
      <w:lvlJc w:val="left"/>
      <w:pPr>
        <w:ind w:left="7761" w:hanging="292"/>
      </w:pPr>
      <w:rPr>
        <w:rFonts w:hint="default"/>
        <w:lang w:val="es-ES" w:eastAsia="es-ES" w:bidi="es-ES"/>
      </w:rPr>
    </w:lvl>
    <w:lvl w:ilvl="8">
      <w:start w:val="0"/>
      <w:numFmt w:val="bullet"/>
      <w:lvlText w:val="•"/>
      <w:lvlJc w:val="left"/>
      <w:pPr>
        <w:ind w:left="8716" w:hanging="292"/>
      </w:pPr>
      <w:rPr>
        <w:rFonts w:hint="default"/>
        <w:lang w:val="es-ES" w:eastAsia="es-ES" w:bidi="es-ES"/>
      </w:rPr>
    </w:lvl>
  </w:abstractNum>
  <w:abstractNum w:abstractNumId="201">
    <w:multiLevelType w:val="hybridMultilevel"/>
    <w:lvl w:ilvl="0">
      <w:start w:val="1"/>
      <w:numFmt w:val="decimal"/>
      <w:lvlText w:val="%1."/>
      <w:lvlJc w:val="left"/>
      <w:pPr>
        <w:ind w:left="1074" w:hanging="274"/>
        <w:jc w:val="left"/>
      </w:pPr>
      <w:rPr>
        <w:rFonts w:hint="default" w:ascii="Arial" w:hAnsi="Arial" w:eastAsia="Arial" w:cs="Arial"/>
        <w:spacing w:val="-8"/>
        <w:w w:val="100"/>
        <w:sz w:val="20"/>
        <w:szCs w:val="20"/>
        <w:lang w:val="es-ES" w:eastAsia="es-ES" w:bidi="es-ES"/>
      </w:rPr>
    </w:lvl>
    <w:lvl w:ilvl="1">
      <w:start w:val="0"/>
      <w:numFmt w:val="bullet"/>
      <w:lvlText w:val="•"/>
      <w:lvlJc w:val="left"/>
      <w:pPr>
        <w:ind w:left="2034" w:hanging="274"/>
      </w:pPr>
      <w:rPr>
        <w:rFonts w:hint="default"/>
        <w:lang w:val="es-ES" w:eastAsia="es-ES" w:bidi="es-ES"/>
      </w:rPr>
    </w:lvl>
    <w:lvl w:ilvl="2">
      <w:start w:val="0"/>
      <w:numFmt w:val="bullet"/>
      <w:lvlText w:val="•"/>
      <w:lvlJc w:val="left"/>
      <w:pPr>
        <w:ind w:left="2989" w:hanging="274"/>
      </w:pPr>
      <w:rPr>
        <w:rFonts w:hint="default"/>
        <w:lang w:val="es-ES" w:eastAsia="es-ES" w:bidi="es-ES"/>
      </w:rPr>
    </w:lvl>
    <w:lvl w:ilvl="3">
      <w:start w:val="0"/>
      <w:numFmt w:val="bullet"/>
      <w:lvlText w:val="•"/>
      <w:lvlJc w:val="left"/>
      <w:pPr>
        <w:ind w:left="3943" w:hanging="274"/>
      </w:pPr>
      <w:rPr>
        <w:rFonts w:hint="default"/>
        <w:lang w:val="es-ES" w:eastAsia="es-ES" w:bidi="es-ES"/>
      </w:rPr>
    </w:lvl>
    <w:lvl w:ilvl="4">
      <w:start w:val="0"/>
      <w:numFmt w:val="bullet"/>
      <w:lvlText w:val="•"/>
      <w:lvlJc w:val="left"/>
      <w:pPr>
        <w:ind w:left="4898" w:hanging="274"/>
      </w:pPr>
      <w:rPr>
        <w:rFonts w:hint="default"/>
        <w:lang w:val="es-ES" w:eastAsia="es-ES" w:bidi="es-ES"/>
      </w:rPr>
    </w:lvl>
    <w:lvl w:ilvl="5">
      <w:start w:val="0"/>
      <w:numFmt w:val="bullet"/>
      <w:lvlText w:val="•"/>
      <w:lvlJc w:val="left"/>
      <w:pPr>
        <w:ind w:left="5852" w:hanging="274"/>
      </w:pPr>
      <w:rPr>
        <w:rFonts w:hint="default"/>
        <w:lang w:val="es-ES" w:eastAsia="es-ES" w:bidi="es-ES"/>
      </w:rPr>
    </w:lvl>
    <w:lvl w:ilvl="6">
      <w:start w:val="0"/>
      <w:numFmt w:val="bullet"/>
      <w:lvlText w:val="•"/>
      <w:lvlJc w:val="left"/>
      <w:pPr>
        <w:ind w:left="6807" w:hanging="274"/>
      </w:pPr>
      <w:rPr>
        <w:rFonts w:hint="default"/>
        <w:lang w:val="es-ES" w:eastAsia="es-ES" w:bidi="es-ES"/>
      </w:rPr>
    </w:lvl>
    <w:lvl w:ilvl="7">
      <w:start w:val="0"/>
      <w:numFmt w:val="bullet"/>
      <w:lvlText w:val="•"/>
      <w:lvlJc w:val="left"/>
      <w:pPr>
        <w:ind w:left="7761" w:hanging="274"/>
      </w:pPr>
      <w:rPr>
        <w:rFonts w:hint="default"/>
        <w:lang w:val="es-ES" w:eastAsia="es-ES" w:bidi="es-ES"/>
      </w:rPr>
    </w:lvl>
    <w:lvl w:ilvl="8">
      <w:start w:val="0"/>
      <w:numFmt w:val="bullet"/>
      <w:lvlText w:val="•"/>
      <w:lvlJc w:val="left"/>
      <w:pPr>
        <w:ind w:left="8716" w:hanging="274"/>
      </w:pPr>
      <w:rPr>
        <w:rFonts w:hint="default"/>
        <w:lang w:val="es-ES" w:eastAsia="es-ES" w:bidi="es-ES"/>
      </w:rPr>
    </w:lvl>
  </w:abstractNum>
  <w:abstractNum w:abstractNumId="200">
    <w:multiLevelType w:val="hybridMultilevel"/>
    <w:lvl w:ilvl="0">
      <w:start w:val="1"/>
      <w:numFmt w:val="lowerLetter"/>
      <w:lvlText w:val="%1)"/>
      <w:lvlJc w:val="left"/>
      <w:pPr>
        <w:ind w:left="107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3"/>
      </w:pPr>
      <w:rPr>
        <w:rFonts w:hint="default"/>
        <w:lang w:val="es-ES" w:eastAsia="es-ES" w:bidi="es-ES"/>
      </w:rPr>
    </w:lvl>
    <w:lvl w:ilvl="2">
      <w:start w:val="0"/>
      <w:numFmt w:val="bullet"/>
      <w:lvlText w:val="•"/>
      <w:lvlJc w:val="left"/>
      <w:pPr>
        <w:ind w:left="2989" w:hanging="243"/>
      </w:pPr>
      <w:rPr>
        <w:rFonts w:hint="default"/>
        <w:lang w:val="es-ES" w:eastAsia="es-ES" w:bidi="es-ES"/>
      </w:rPr>
    </w:lvl>
    <w:lvl w:ilvl="3">
      <w:start w:val="0"/>
      <w:numFmt w:val="bullet"/>
      <w:lvlText w:val="•"/>
      <w:lvlJc w:val="left"/>
      <w:pPr>
        <w:ind w:left="3943" w:hanging="243"/>
      </w:pPr>
      <w:rPr>
        <w:rFonts w:hint="default"/>
        <w:lang w:val="es-ES" w:eastAsia="es-ES" w:bidi="es-ES"/>
      </w:rPr>
    </w:lvl>
    <w:lvl w:ilvl="4">
      <w:start w:val="0"/>
      <w:numFmt w:val="bullet"/>
      <w:lvlText w:val="•"/>
      <w:lvlJc w:val="left"/>
      <w:pPr>
        <w:ind w:left="4898" w:hanging="243"/>
      </w:pPr>
      <w:rPr>
        <w:rFonts w:hint="default"/>
        <w:lang w:val="es-ES" w:eastAsia="es-ES" w:bidi="es-ES"/>
      </w:rPr>
    </w:lvl>
    <w:lvl w:ilvl="5">
      <w:start w:val="0"/>
      <w:numFmt w:val="bullet"/>
      <w:lvlText w:val="•"/>
      <w:lvlJc w:val="left"/>
      <w:pPr>
        <w:ind w:left="5852" w:hanging="243"/>
      </w:pPr>
      <w:rPr>
        <w:rFonts w:hint="default"/>
        <w:lang w:val="es-ES" w:eastAsia="es-ES" w:bidi="es-ES"/>
      </w:rPr>
    </w:lvl>
    <w:lvl w:ilvl="6">
      <w:start w:val="0"/>
      <w:numFmt w:val="bullet"/>
      <w:lvlText w:val="•"/>
      <w:lvlJc w:val="left"/>
      <w:pPr>
        <w:ind w:left="6807" w:hanging="243"/>
      </w:pPr>
      <w:rPr>
        <w:rFonts w:hint="default"/>
        <w:lang w:val="es-ES" w:eastAsia="es-ES" w:bidi="es-ES"/>
      </w:rPr>
    </w:lvl>
    <w:lvl w:ilvl="7">
      <w:start w:val="0"/>
      <w:numFmt w:val="bullet"/>
      <w:lvlText w:val="•"/>
      <w:lvlJc w:val="left"/>
      <w:pPr>
        <w:ind w:left="7761" w:hanging="243"/>
      </w:pPr>
      <w:rPr>
        <w:rFonts w:hint="default"/>
        <w:lang w:val="es-ES" w:eastAsia="es-ES" w:bidi="es-ES"/>
      </w:rPr>
    </w:lvl>
    <w:lvl w:ilvl="8">
      <w:start w:val="0"/>
      <w:numFmt w:val="bullet"/>
      <w:lvlText w:val="•"/>
      <w:lvlJc w:val="left"/>
      <w:pPr>
        <w:ind w:left="8716" w:hanging="243"/>
      </w:pPr>
      <w:rPr>
        <w:rFonts w:hint="default"/>
        <w:lang w:val="es-ES" w:eastAsia="es-ES" w:bidi="es-ES"/>
      </w:rPr>
    </w:lvl>
  </w:abstractNum>
  <w:abstractNum w:abstractNumId="199">
    <w:multiLevelType w:val="hybridMultilevel"/>
    <w:lvl w:ilvl="0">
      <w:start w:val="1"/>
      <w:numFmt w:val="decimal"/>
      <w:lvlText w:val="%1."/>
      <w:lvlJc w:val="left"/>
      <w:pPr>
        <w:ind w:left="1074" w:hanging="321"/>
        <w:jc w:val="left"/>
      </w:pPr>
      <w:rPr>
        <w:rFonts w:hint="default" w:ascii="Arial" w:hAnsi="Arial" w:eastAsia="Arial" w:cs="Arial"/>
        <w:spacing w:val="-14"/>
        <w:w w:val="100"/>
        <w:sz w:val="20"/>
        <w:szCs w:val="20"/>
        <w:lang w:val="es-ES" w:eastAsia="es-ES" w:bidi="es-ES"/>
      </w:rPr>
    </w:lvl>
    <w:lvl w:ilvl="1">
      <w:start w:val="0"/>
      <w:numFmt w:val="bullet"/>
      <w:lvlText w:val="•"/>
      <w:lvlJc w:val="left"/>
      <w:pPr>
        <w:ind w:left="2034" w:hanging="321"/>
      </w:pPr>
      <w:rPr>
        <w:rFonts w:hint="default"/>
        <w:lang w:val="es-ES" w:eastAsia="es-ES" w:bidi="es-ES"/>
      </w:rPr>
    </w:lvl>
    <w:lvl w:ilvl="2">
      <w:start w:val="0"/>
      <w:numFmt w:val="bullet"/>
      <w:lvlText w:val="•"/>
      <w:lvlJc w:val="left"/>
      <w:pPr>
        <w:ind w:left="2989" w:hanging="321"/>
      </w:pPr>
      <w:rPr>
        <w:rFonts w:hint="default"/>
        <w:lang w:val="es-ES" w:eastAsia="es-ES" w:bidi="es-ES"/>
      </w:rPr>
    </w:lvl>
    <w:lvl w:ilvl="3">
      <w:start w:val="0"/>
      <w:numFmt w:val="bullet"/>
      <w:lvlText w:val="•"/>
      <w:lvlJc w:val="left"/>
      <w:pPr>
        <w:ind w:left="3943" w:hanging="321"/>
      </w:pPr>
      <w:rPr>
        <w:rFonts w:hint="default"/>
        <w:lang w:val="es-ES" w:eastAsia="es-ES" w:bidi="es-ES"/>
      </w:rPr>
    </w:lvl>
    <w:lvl w:ilvl="4">
      <w:start w:val="0"/>
      <w:numFmt w:val="bullet"/>
      <w:lvlText w:val="•"/>
      <w:lvlJc w:val="left"/>
      <w:pPr>
        <w:ind w:left="4898" w:hanging="321"/>
      </w:pPr>
      <w:rPr>
        <w:rFonts w:hint="default"/>
        <w:lang w:val="es-ES" w:eastAsia="es-ES" w:bidi="es-ES"/>
      </w:rPr>
    </w:lvl>
    <w:lvl w:ilvl="5">
      <w:start w:val="0"/>
      <w:numFmt w:val="bullet"/>
      <w:lvlText w:val="•"/>
      <w:lvlJc w:val="left"/>
      <w:pPr>
        <w:ind w:left="5852" w:hanging="321"/>
      </w:pPr>
      <w:rPr>
        <w:rFonts w:hint="default"/>
        <w:lang w:val="es-ES" w:eastAsia="es-ES" w:bidi="es-ES"/>
      </w:rPr>
    </w:lvl>
    <w:lvl w:ilvl="6">
      <w:start w:val="0"/>
      <w:numFmt w:val="bullet"/>
      <w:lvlText w:val="•"/>
      <w:lvlJc w:val="left"/>
      <w:pPr>
        <w:ind w:left="6807" w:hanging="321"/>
      </w:pPr>
      <w:rPr>
        <w:rFonts w:hint="default"/>
        <w:lang w:val="es-ES" w:eastAsia="es-ES" w:bidi="es-ES"/>
      </w:rPr>
    </w:lvl>
    <w:lvl w:ilvl="7">
      <w:start w:val="0"/>
      <w:numFmt w:val="bullet"/>
      <w:lvlText w:val="•"/>
      <w:lvlJc w:val="left"/>
      <w:pPr>
        <w:ind w:left="7761" w:hanging="321"/>
      </w:pPr>
      <w:rPr>
        <w:rFonts w:hint="default"/>
        <w:lang w:val="es-ES" w:eastAsia="es-ES" w:bidi="es-ES"/>
      </w:rPr>
    </w:lvl>
    <w:lvl w:ilvl="8">
      <w:start w:val="0"/>
      <w:numFmt w:val="bullet"/>
      <w:lvlText w:val="•"/>
      <w:lvlJc w:val="left"/>
      <w:pPr>
        <w:ind w:left="8716" w:hanging="321"/>
      </w:pPr>
      <w:rPr>
        <w:rFonts w:hint="default"/>
        <w:lang w:val="es-ES" w:eastAsia="es-ES" w:bidi="es-ES"/>
      </w:rPr>
    </w:lvl>
  </w:abstractNum>
  <w:abstractNum w:abstractNumId="198">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1"/>
      <w:numFmt w:val="lowerRoman"/>
      <w:lvlText w:val="%2."/>
      <w:lvlJc w:val="left"/>
      <w:pPr>
        <w:ind w:left="1074" w:hanging="201"/>
        <w:jc w:val="left"/>
      </w:pPr>
      <w:rPr>
        <w:rFonts w:hint="default" w:ascii="Arial" w:hAnsi="Arial" w:eastAsia="Arial" w:cs="Arial"/>
        <w:spacing w:val="-11"/>
        <w:w w:val="100"/>
        <w:sz w:val="20"/>
        <w:szCs w:val="20"/>
        <w:lang w:val="es-ES" w:eastAsia="es-ES" w:bidi="es-ES"/>
      </w:rPr>
    </w:lvl>
    <w:lvl w:ilvl="2">
      <w:start w:val="0"/>
      <w:numFmt w:val="bullet"/>
      <w:lvlText w:val="•"/>
      <w:lvlJc w:val="left"/>
      <w:pPr>
        <w:ind w:left="2989" w:hanging="201"/>
      </w:pPr>
      <w:rPr>
        <w:rFonts w:hint="default"/>
        <w:lang w:val="es-ES" w:eastAsia="es-ES" w:bidi="es-ES"/>
      </w:rPr>
    </w:lvl>
    <w:lvl w:ilvl="3">
      <w:start w:val="0"/>
      <w:numFmt w:val="bullet"/>
      <w:lvlText w:val="•"/>
      <w:lvlJc w:val="left"/>
      <w:pPr>
        <w:ind w:left="3943" w:hanging="201"/>
      </w:pPr>
      <w:rPr>
        <w:rFonts w:hint="default"/>
        <w:lang w:val="es-ES" w:eastAsia="es-ES" w:bidi="es-ES"/>
      </w:rPr>
    </w:lvl>
    <w:lvl w:ilvl="4">
      <w:start w:val="0"/>
      <w:numFmt w:val="bullet"/>
      <w:lvlText w:val="•"/>
      <w:lvlJc w:val="left"/>
      <w:pPr>
        <w:ind w:left="4898" w:hanging="201"/>
      </w:pPr>
      <w:rPr>
        <w:rFonts w:hint="default"/>
        <w:lang w:val="es-ES" w:eastAsia="es-ES" w:bidi="es-ES"/>
      </w:rPr>
    </w:lvl>
    <w:lvl w:ilvl="5">
      <w:start w:val="0"/>
      <w:numFmt w:val="bullet"/>
      <w:lvlText w:val="•"/>
      <w:lvlJc w:val="left"/>
      <w:pPr>
        <w:ind w:left="5852" w:hanging="201"/>
      </w:pPr>
      <w:rPr>
        <w:rFonts w:hint="default"/>
        <w:lang w:val="es-ES" w:eastAsia="es-ES" w:bidi="es-ES"/>
      </w:rPr>
    </w:lvl>
    <w:lvl w:ilvl="6">
      <w:start w:val="0"/>
      <w:numFmt w:val="bullet"/>
      <w:lvlText w:val="•"/>
      <w:lvlJc w:val="left"/>
      <w:pPr>
        <w:ind w:left="6807" w:hanging="201"/>
      </w:pPr>
      <w:rPr>
        <w:rFonts w:hint="default"/>
        <w:lang w:val="es-ES" w:eastAsia="es-ES" w:bidi="es-ES"/>
      </w:rPr>
    </w:lvl>
    <w:lvl w:ilvl="7">
      <w:start w:val="0"/>
      <w:numFmt w:val="bullet"/>
      <w:lvlText w:val="•"/>
      <w:lvlJc w:val="left"/>
      <w:pPr>
        <w:ind w:left="7761" w:hanging="201"/>
      </w:pPr>
      <w:rPr>
        <w:rFonts w:hint="default"/>
        <w:lang w:val="es-ES" w:eastAsia="es-ES" w:bidi="es-ES"/>
      </w:rPr>
    </w:lvl>
    <w:lvl w:ilvl="8">
      <w:start w:val="0"/>
      <w:numFmt w:val="bullet"/>
      <w:lvlText w:val="•"/>
      <w:lvlJc w:val="left"/>
      <w:pPr>
        <w:ind w:left="8716" w:hanging="201"/>
      </w:pPr>
      <w:rPr>
        <w:rFonts w:hint="default"/>
        <w:lang w:val="es-ES" w:eastAsia="es-ES" w:bidi="es-ES"/>
      </w:rPr>
    </w:lvl>
  </w:abstractNum>
  <w:abstractNum w:abstractNumId="197">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196">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195">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194">
    <w:multiLevelType w:val="hybridMultilevel"/>
    <w:lvl w:ilvl="0">
      <w:start w:val="1"/>
      <w:numFmt w:val="lowerLetter"/>
      <w:lvlText w:val="%1)"/>
      <w:lvlJc w:val="left"/>
      <w:pPr>
        <w:ind w:left="1074" w:hanging="269"/>
        <w:jc w:val="left"/>
      </w:pPr>
      <w:rPr>
        <w:rFonts w:hint="default" w:ascii="Arial" w:hAnsi="Arial" w:eastAsia="Arial" w:cs="Arial"/>
        <w:spacing w:val="-21"/>
        <w:w w:val="100"/>
        <w:sz w:val="20"/>
        <w:szCs w:val="20"/>
        <w:lang w:val="es-ES" w:eastAsia="es-ES" w:bidi="es-ES"/>
      </w:rPr>
    </w:lvl>
    <w:lvl w:ilvl="1">
      <w:start w:val="0"/>
      <w:numFmt w:val="bullet"/>
      <w:lvlText w:val="•"/>
      <w:lvlJc w:val="left"/>
      <w:pPr>
        <w:ind w:left="2034" w:hanging="269"/>
      </w:pPr>
      <w:rPr>
        <w:rFonts w:hint="default"/>
        <w:lang w:val="es-ES" w:eastAsia="es-ES" w:bidi="es-ES"/>
      </w:rPr>
    </w:lvl>
    <w:lvl w:ilvl="2">
      <w:start w:val="0"/>
      <w:numFmt w:val="bullet"/>
      <w:lvlText w:val="•"/>
      <w:lvlJc w:val="left"/>
      <w:pPr>
        <w:ind w:left="2989" w:hanging="269"/>
      </w:pPr>
      <w:rPr>
        <w:rFonts w:hint="default"/>
        <w:lang w:val="es-ES" w:eastAsia="es-ES" w:bidi="es-ES"/>
      </w:rPr>
    </w:lvl>
    <w:lvl w:ilvl="3">
      <w:start w:val="0"/>
      <w:numFmt w:val="bullet"/>
      <w:lvlText w:val="•"/>
      <w:lvlJc w:val="left"/>
      <w:pPr>
        <w:ind w:left="3943" w:hanging="269"/>
      </w:pPr>
      <w:rPr>
        <w:rFonts w:hint="default"/>
        <w:lang w:val="es-ES" w:eastAsia="es-ES" w:bidi="es-ES"/>
      </w:rPr>
    </w:lvl>
    <w:lvl w:ilvl="4">
      <w:start w:val="0"/>
      <w:numFmt w:val="bullet"/>
      <w:lvlText w:val="•"/>
      <w:lvlJc w:val="left"/>
      <w:pPr>
        <w:ind w:left="4898" w:hanging="269"/>
      </w:pPr>
      <w:rPr>
        <w:rFonts w:hint="default"/>
        <w:lang w:val="es-ES" w:eastAsia="es-ES" w:bidi="es-ES"/>
      </w:rPr>
    </w:lvl>
    <w:lvl w:ilvl="5">
      <w:start w:val="0"/>
      <w:numFmt w:val="bullet"/>
      <w:lvlText w:val="•"/>
      <w:lvlJc w:val="left"/>
      <w:pPr>
        <w:ind w:left="5852" w:hanging="269"/>
      </w:pPr>
      <w:rPr>
        <w:rFonts w:hint="default"/>
        <w:lang w:val="es-ES" w:eastAsia="es-ES" w:bidi="es-ES"/>
      </w:rPr>
    </w:lvl>
    <w:lvl w:ilvl="6">
      <w:start w:val="0"/>
      <w:numFmt w:val="bullet"/>
      <w:lvlText w:val="•"/>
      <w:lvlJc w:val="left"/>
      <w:pPr>
        <w:ind w:left="6807" w:hanging="269"/>
      </w:pPr>
      <w:rPr>
        <w:rFonts w:hint="default"/>
        <w:lang w:val="es-ES" w:eastAsia="es-ES" w:bidi="es-ES"/>
      </w:rPr>
    </w:lvl>
    <w:lvl w:ilvl="7">
      <w:start w:val="0"/>
      <w:numFmt w:val="bullet"/>
      <w:lvlText w:val="•"/>
      <w:lvlJc w:val="left"/>
      <w:pPr>
        <w:ind w:left="7761" w:hanging="269"/>
      </w:pPr>
      <w:rPr>
        <w:rFonts w:hint="default"/>
        <w:lang w:val="es-ES" w:eastAsia="es-ES" w:bidi="es-ES"/>
      </w:rPr>
    </w:lvl>
    <w:lvl w:ilvl="8">
      <w:start w:val="0"/>
      <w:numFmt w:val="bullet"/>
      <w:lvlText w:val="•"/>
      <w:lvlJc w:val="left"/>
      <w:pPr>
        <w:ind w:left="8716" w:hanging="269"/>
      </w:pPr>
      <w:rPr>
        <w:rFonts w:hint="default"/>
        <w:lang w:val="es-ES" w:eastAsia="es-ES" w:bidi="es-ES"/>
      </w:rPr>
    </w:lvl>
  </w:abstractNum>
  <w:abstractNum w:abstractNumId="193">
    <w:multiLevelType w:val="hybridMultilevel"/>
    <w:lvl w:ilvl="0">
      <w:start w:val="1"/>
      <w:numFmt w:val="lowerLetter"/>
      <w:lvlText w:val="%1)"/>
      <w:lvlJc w:val="left"/>
      <w:pPr>
        <w:ind w:left="1074" w:hanging="263"/>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63"/>
      </w:pPr>
      <w:rPr>
        <w:rFonts w:hint="default"/>
        <w:lang w:val="es-ES" w:eastAsia="es-ES" w:bidi="es-ES"/>
      </w:rPr>
    </w:lvl>
    <w:lvl w:ilvl="2">
      <w:start w:val="0"/>
      <w:numFmt w:val="bullet"/>
      <w:lvlText w:val="•"/>
      <w:lvlJc w:val="left"/>
      <w:pPr>
        <w:ind w:left="2989" w:hanging="263"/>
      </w:pPr>
      <w:rPr>
        <w:rFonts w:hint="default"/>
        <w:lang w:val="es-ES" w:eastAsia="es-ES" w:bidi="es-ES"/>
      </w:rPr>
    </w:lvl>
    <w:lvl w:ilvl="3">
      <w:start w:val="0"/>
      <w:numFmt w:val="bullet"/>
      <w:lvlText w:val="•"/>
      <w:lvlJc w:val="left"/>
      <w:pPr>
        <w:ind w:left="3943" w:hanging="263"/>
      </w:pPr>
      <w:rPr>
        <w:rFonts w:hint="default"/>
        <w:lang w:val="es-ES" w:eastAsia="es-ES" w:bidi="es-ES"/>
      </w:rPr>
    </w:lvl>
    <w:lvl w:ilvl="4">
      <w:start w:val="0"/>
      <w:numFmt w:val="bullet"/>
      <w:lvlText w:val="•"/>
      <w:lvlJc w:val="left"/>
      <w:pPr>
        <w:ind w:left="4898" w:hanging="263"/>
      </w:pPr>
      <w:rPr>
        <w:rFonts w:hint="default"/>
        <w:lang w:val="es-ES" w:eastAsia="es-ES" w:bidi="es-ES"/>
      </w:rPr>
    </w:lvl>
    <w:lvl w:ilvl="5">
      <w:start w:val="0"/>
      <w:numFmt w:val="bullet"/>
      <w:lvlText w:val="•"/>
      <w:lvlJc w:val="left"/>
      <w:pPr>
        <w:ind w:left="5852" w:hanging="263"/>
      </w:pPr>
      <w:rPr>
        <w:rFonts w:hint="default"/>
        <w:lang w:val="es-ES" w:eastAsia="es-ES" w:bidi="es-ES"/>
      </w:rPr>
    </w:lvl>
    <w:lvl w:ilvl="6">
      <w:start w:val="0"/>
      <w:numFmt w:val="bullet"/>
      <w:lvlText w:val="•"/>
      <w:lvlJc w:val="left"/>
      <w:pPr>
        <w:ind w:left="6807" w:hanging="263"/>
      </w:pPr>
      <w:rPr>
        <w:rFonts w:hint="default"/>
        <w:lang w:val="es-ES" w:eastAsia="es-ES" w:bidi="es-ES"/>
      </w:rPr>
    </w:lvl>
    <w:lvl w:ilvl="7">
      <w:start w:val="0"/>
      <w:numFmt w:val="bullet"/>
      <w:lvlText w:val="•"/>
      <w:lvlJc w:val="left"/>
      <w:pPr>
        <w:ind w:left="7761" w:hanging="263"/>
      </w:pPr>
      <w:rPr>
        <w:rFonts w:hint="default"/>
        <w:lang w:val="es-ES" w:eastAsia="es-ES" w:bidi="es-ES"/>
      </w:rPr>
    </w:lvl>
    <w:lvl w:ilvl="8">
      <w:start w:val="0"/>
      <w:numFmt w:val="bullet"/>
      <w:lvlText w:val="•"/>
      <w:lvlJc w:val="left"/>
      <w:pPr>
        <w:ind w:left="8716" w:hanging="263"/>
      </w:pPr>
      <w:rPr>
        <w:rFonts w:hint="default"/>
        <w:lang w:val="es-ES" w:eastAsia="es-ES" w:bidi="es-ES"/>
      </w:rPr>
    </w:lvl>
  </w:abstractNum>
  <w:abstractNum w:abstractNumId="192">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191">
    <w:multiLevelType w:val="hybridMultilevel"/>
    <w:lvl w:ilvl="0">
      <w:start w:val="1"/>
      <w:numFmt w:val="lowerLetter"/>
      <w:lvlText w:val="%1)"/>
      <w:lvlJc w:val="left"/>
      <w:pPr>
        <w:ind w:left="1074" w:hanging="30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6"/>
      </w:pPr>
      <w:rPr>
        <w:rFonts w:hint="default"/>
        <w:lang w:val="es-ES" w:eastAsia="es-ES" w:bidi="es-ES"/>
      </w:rPr>
    </w:lvl>
    <w:lvl w:ilvl="2">
      <w:start w:val="0"/>
      <w:numFmt w:val="bullet"/>
      <w:lvlText w:val="•"/>
      <w:lvlJc w:val="left"/>
      <w:pPr>
        <w:ind w:left="2989" w:hanging="306"/>
      </w:pPr>
      <w:rPr>
        <w:rFonts w:hint="default"/>
        <w:lang w:val="es-ES" w:eastAsia="es-ES" w:bidi="es-ES"/>
      </w:rPr>
    </w:lvl>
    <w:lvl w:ilvl="3">
      <w:start w:val="0"/>
      <w:numFmt w:val="bullet"/>
      <w:lvlText w:val="•"/>
      <w:lvlJc w:val="left"/>
      <w:pPr>
        <w:ind w:left="3943" w:hanging="306"/>
      </w:pPr>
      <w:rPr>
        <w:rFonts w:hint="default"/>
        <w:lang w:val="es-ES" w:eastAsia="es-ES" w:bidi="es-ES"/>
      </w:rPr>
    </w:lvl>
    <w:lvl w:ilvl="4">
      <w:start w:val="0"/>
      <w:numFmt w:val="bullet"/>
      <w:lvlText w:val="•"/>
      <w:lvlJc w:val="left"/>
      <w:pPr>
        <w:ind w:left="4898" w:hanging="306"/>
      </w:pPr>
      <w:rPr>
        <w:rFonts w:hint="default"/>
        <w:lang w:val="es-ES" w:eastAsia="es-ES" w:bidi="es-ES"/>
      </w:rPr>
    </w:lvl>
    <w:lvl w:ilvl="5">
      <w:start w:val="0"/>
      <w:numFmt w:val="bullet"/>
      <w:lvlText w:val="•"/>
      <w:lvlJc w:val="left"/>
      <w:pPr>
        <w:ind w:left="5852" w:hanging="306"/>
      </w:pPr>
      <w:rPr>
        <w:rFonts w:hint="default"/>
        <w:lang w:val="es-ES" w:eastAsia="es-ES" w:bidi="es-ES"/>
      </w:rPr>
    </w:lvl>
    <w:lvl w:ilvl="6">
      <w:start w:val="0"/>
      <w:numFmt w:val="bullet"/>
      <w:lvlText w:val="•"/>
      <w:lvlJc w:val="left"/>
      <w:pPr>
        <w:ind w:left="6807" w:hanging="306"/>
      </w:pPr>
      <w:rPr>
        <w:rFonts w:hint="default"/>
        <w:lang w:val="es-ES" w:eastAsia="es-ES" w:bidi="es-ES"/>
      </w:rPr>
    </w:lvl>
    <w:lvl w:ilvl="7">
      <w:start w:val="0"/>
      <w:numFmt w:val="bullet"/>
      <w:lvlText w:val="•"/>
      <w:lvlJc w:val="left"/>
      <w:pPr>
        <w:ind w:left="7761" w:hanging="306"/>
      </w:pPr>
      <w:rPr>
        <w:rFonts w:hint="default"/>
        <w:lang w:val="es-ES" w:eastAsia="es-ES" w:bidi="es-ES"/>
      </w:rPr>
    </w:lvl>
    <w:lvl w:ilvl="8">
      <w:start w:val="0"/>
      <w:numFmt w:val="bullet"/>
      <w:lvlText w:val="•"/>
      <w:lvlJc w:val="left"/>
      <w:pPr>
        <w:ind w:left="8716" w:hanging="306"/>
      </w:pPr>
      <w:rPr>
        <w:rFonts w:hint="default"/>
        <w:lang w:val="es-ES" w:eastAsia="es-ES" w:bidi="es-ES"/>
      </w:rPr>
    </w:lvl>
  </w:abstractNum>
  <w:abstractNum w:abstractNumId="190">
    <w:multiLevelType w:val="hybridMultilevel"/>
    <w:lvl w:ilvl="0">
      <w:start w:val="1"/>
      <w:numFmt w:val="decimal"/>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189">
    <w:multiLevelType w:val="hybridMultilevel"/>
    <w:lvl w:ilvl="0">
      <w:start w:val="1"/>
      <w:numFmt w:val="lowerLetter"/>
      <w:lvlText w:val="%1)"/>
      <w:lvlJc w:val="left"/>
      <w:pPr>
        <w:ind w:left="1074" w:hanging="30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0"/>
      </w:pPr>
      <w:rPr>
        <w:rFonts w:hint="default"/>
        <w:lang w:val="es-ES" w:eastAsia="es-ES" w:bidi="es-ES"/>
      </w:rPr>
    </w:lvl>
    <w:lvl w:ilvl="2">
      <w:start w:val="0"/>
      <w:numFmt w:val="bullet"/>
      <w:lvlText w:val="•"/>
      <w:lvlJc w:val="left"/>
      <w:pPr>
        <w:ind w:left="2989" w:hanging="300"/>
      </w:pPr>
      <w:rPr>
        <w:rFonts w:hint="default"/>
        <w:lang w:val="es-ES" w:eastAsia="es-ES" w:bidi="es-ES"/>
      </w:rPr>
    </w:lvl>
    <w:lvl w:ilvl="3">
      <w:start w:val="0"/>
      <w:numFmt w:val="bullet"/>
      <w:lvlText w:val="•"/>
      <w:lvlJc w:val="left"/>
      <w:pPr>
        <w:ind w:left="3943" w:hanging="300"/>
      </w:pPr>
      <w:rPr>
        <w:rFonts w:hint="default"/>
        <w:lang w:val="es-ES" w:eastAsia="es-ES" w:bidi="es-ES"/>
      </w:rPr>
    </w:lvl>
    <w:lvl w:ilvl="4">
      <w:start w:val="0"/>
      <w:numFmt w:val="bullet"/>
      <w:lvlText w:val="•"/>
      <w:lvlJc w:val="left"/>
      <w:pPr>
        <w:ind w:left="4898" w:hanging="300"/>
      </w:pPr>
      <w:rPr>
        <w:rFonts w:hint="default"/>
        <w:lang w:val="es-ES" w:eastAsia="es-ES" w:bidi="es-ES"/>
      </w:rPr>
    </w:lvl>
    <w:lvl w:ilvl="5">
      <w:start w:val="0"/>
      <w:numFmt w:val="bullet"/>
      <w:lvlText w:val="•"/>
      <w:lvlJc w:val="left"/>
      <w:pPr>
        <w:ind w:left="5852" w:hanging="300"/>
      </w:pPr>
      <w:rPr>
        <w:rFonts w:hint="default"/>
        <w:lang w:val="es-ES" w:eastAsia="es-ES" w:bidi="es-ES"/>
      </w:rPr>
    </w:lvl>
    <w:lvl w:ilvl="6">
      <w:start w:val="0"/>
      <w:numFmt w:val="bullet"/>
      <w:lvlText w:val="•"/>
      <w:lvlJc w:val="left"/>
      <w:pPr>
        <w:ind w:left="6807" w:hanging="300"/>
      </w:pPr>
      <w:rPr>
        <w:rFonts w:hint="default"/>
        <w:lang w:val="es-ES" w:eastAsia="es-ES" w:bidi="es-ES"/>
      </w:rPr>
    </w:lvl>
    <w:lvl w:ilvl="7">
      <w:start w:val="0"/>
      <w:numFmt w:val="bullet"/>
      <w:lvlText w:val="•"/>
      <w:lvlJc w:val="left"/>
      <w:pPr>
        <w:ind w:left="7761" w:hanging="300"/>
      </w:pPr>
      <w:rPr>
        <w:rFonts w:hint="default"/>
        <w:lang w:val="es-ES" w:eastAsia="es-ES" w:bidi="es-ES"/>
      </w:rPr>
    </w:lvl>
    <w:lvl w:ilvl="8">
      <w:start w:val="0"/>
      <w:numFmt w:val="bullet"/>
      <w:lvlText w:val="•"/>
      <w:lvlJc w:val="left"/>
      <w:pPr>
        <w:ind w:left="8716" w:hanging="300"/>
      </w:pPr>
      <w:rPr>
        <w:rFonts w:hint="default"/>
        <w:lang w:val="es-ES" w:eastAsia="es-ES" w:bidi="es-ES"/>
      </w:rPr>
    </w:lvl>
  </w:abstractNum>
  <w:abstractNum w:abstractNumId="188">
    <w:multiLevelType w:val="hybridMultilevel"/>
    <w:lvl w:ilvl="0">
      <w:start w:val="1"/>
      <w:numFmt w:val="decimal"/>
      <w:lvlText w:val="%1."/>
      <w:lvlJc w:val="left"/>
      <w:pPr>
        <w:ind w:left="1074" w:hanging="27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79"/>
      </w:pPr>
      <w:rPr>
        <w:rFonts w:hint="default"/>
        <w:lang w:val="es-ES" w:eastAsia="es-ES" w:bidi="es-ES"/>
      </w:rPr>
    </w:lvl>
    <w:lvl w:ilvl="2">
      <w:start w:val="0"/>
      <w:numFmt w:val="bullet"/>
      <w:lvlText w:val="•"/>
      <w:lvlJc w:val="left"/>
      <w:pPr>
        <w:ind w:left="2989" w:hanging="279"/>
      </w:pPr>
      <w:rPr>
        <w:rFonts w:hint="default"/>
        <w:lang w:val="es-ES" w:eastAsia="es-ES" w:bidi="es-ES"/>
      </w:rPr>
    </w:lvl>
    <w:lvl w:ilvl="3">
      <w:start w:val="0"/>
      <w:numFmt w:val="bullet"/>
      <w:lvlText w:val="•"/>
      <w:lvlJc w:val="left"/>
      <w:pPr>
        <w:ind w:left="3943" w:hanging="279"/>
      </w:pPr>
      <w:rPr>
        <w:rFonts w:hint="default"/>
        <w:lang w:val="es-ES" w:eastAsia="es-ES" w:bidi="es-ES"/>
      </w:rPr>
    </w:lvl>
    <w:lvl w:ilvl="4">
      <w:start w:val="0"/>
      <w:numFmt w:val="bullet"/>
      <w:lvlText w:val="•"/>
      <w:lvlJc w:val="left"/>
      <w:pPr>
        <w:ind w:left="4898" w:hanging="279"/>
      </w:pPr>
      <w:rPr>
        <w:rFonts w:hint="default"/>
        <w:lang w:val="es-ES" w:eastAsia="es-ES" w:bidi="es-ES"/>
      </w:rPr>
    </w:lvl>
    <w:lvl w:ilvl="5">
      <w:start w:val="0"/>
      <w:numFmt w:val="bullet"/>
      <w:lvlText w:val="•"/>
      <w:lvlJc w:val="left"/>
      <w:pPr>
        <w:ind w:left="5852" w:hanging="279"/>
      </w:pPr>
      <w:rPr>
        <w:rFonts w:hint="default"/>
        <w:lang w:val="es-ES" w:eastAsia="es-ES" w:bidi="es-ES"/>
      </w:rPr>
    </w:lvl>
    <w:lvl w:ilvl="6">
      <w:start w:val="0"/>
      <w:numFmt w:val="bullet"/>
      <w:lvlText w:val="•"/>
      <w:lvlJc w:val="left"/>
      <w:pPr>
        <w:ind w:left="6807" w:hanging="279"/>
      </w:pPr>
      <w:rPr>
        <w:rFonts w:hint="default"/>
        <w:lang w:val="es-ES" w:eastAsia="es-ES" w:bidi="es-ES"/>
      </w:rPr>
    </w:lvl>
    <w:lvl w:ilvl="7">
      <w:start w:val="0"/>
      <w:numFmt w:val="bullet"/>
      <w:lvlText w:val="•"/>
      <w:lvlJc w:val="left"/>
      <w:pPr>
        <w:ind w:left="7761" w:hanging="279"/>
      </w:pPr>
      <w:rPr>
        <w:rFonts w:hint="default"/>
        <w:lang w:val="es-ES" w:eastAsia="es-ES" w:bidi="es-ES"/>
      </w:rPr>
    </w:lvl>
    <w:lvl w:ilvl="8">
      <w:start w:val="0"/>
      <w:numFmt w:val="bullet"/>
      <w:lvlText w:val="•"/>
      <w:lvlJc w:val="left"/>
      <w:pPr>
        <w:ind w:left="8716" w:hanging="279"/>
      </w:pPr>
      <w:rPr>
        <w:rFonts w:hint="default"/>
        <w:lang w:val="es-ES" w:eastAsia="es-ES" w:bidi="es-ES"/>
      </w:rPr>
    </w:lvl>
  </w:abstractNum>
  <w:abstractNum w:abstractNumId="187">
    <w:multiLevelType w:val="hybridMultilevel"/>
    <w:lvl w:ilvl="0">
      <w:start w:val="1"/>
      <w:numFmt w:val="lowerLetter"/>
      <w:lvlText w:val="%1)"/>
      <w:lvlJc w:val="left"/>
      <w:pPr>
        <w:ind w:left="1074" w:hanging="25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186">
    <w:multiLevelType w:val="hybridMultilevel"/>
    <w:lvl w:ilvl="0">
      <w:start w:val="1"/>
      <w:numFmt w:val="decimal"/>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185">
    <w:multiLevelType w:val="hybridMultilevel"/>
    <w:lvl w:ilvl="0">
      <w:start w:val="1"/>
      <w:numFmt w:val="lowerLetter"/>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184">
    <w:multiLevelType w:val="hybridMultilevel"/>
    <w:lvl w:ilvl="0">
      <w:start w:val="1"/>
      <w:numFmt w:val="lowerLetter"/>
      <w:lvlText w:val="%1)"/>
      <w:lvlJc w:val="left"/>
      <w:pPr>
        <w:ind w:left="1074" w:hanging="265"/>
        <w:jc w:val="left"/>
      </w:pPr>
      <w:rPr>
        <w:rFonts w:hint="default" w:ascii="Arial" w:hAnsi="Arial" w:eastAsia="Arial" w:cs="Arial"/>
        <w:spacing w:val="-25"/>
        <w:w w:val="100"/>
        <w:sz w:val="20"/>
        <w:szCs w:val="20"/>
        <w:lang w:val="es-ES" w:eastAsia="es-ES" w:bidi="es-ES"/>
      </w:rPr>
    </w:lvl>
    <w:lvl w:ilvl="1">
      <w:start w:val="0"/>
      <w:numFmt w:val="bullet"/>
      <w:lvlText w:val="•"/>
      <w:lvlJc w:val="left"/>
      <w:pPr>
        <w:ind w:left="2034" w:hanging="265"/>
      </w:pPr>
      <w:rPr>
        <w:rFonts w:hint="default"/>
        <w:lang w:val="es-ES" w:eastAsia="es-ES" w:bidi="es-ES"/>
      </w:rPr>
    </w:lvl>
    <w:lvl w:ilvl="2">
      <w:start w:val="0"/>
      <w:numFmt w:val="bullet"/>
      <w:lvlText w:val="•"/>
      <w:lvlJc w:val="left"/>
      <w:pPr>
        <w:ind w:left="2989" w:hanging="265"/>
      </w:pPr>
      <w:rPr>
        <w:rFonts w:hint="default"/>
        <w:lang w:val="es-ES" w:eastAsia="es-ES" w:bidi="es-ES"/>
      </w:rPr>
    </w:lvl>
    <w:lvl w:ilvl="3">
      <w:start w:val="0"/>
      <w:numFmt w:val="bullet"/>
      <w:lvlText w:val="•"/>
      <w:lvlJc w:val="left"/>
      <w:pPr>
        <w:ind w:left="3943" w:hanging="265"/>
      </w:pPr>
      <w:rPr>
        <w:rFonts w:hint="default"/>
        <w:lang w:val="es-ES" w:eastAsia="es-ES" w:bidi="es-ES"/>
      </w:rPr>
    </w:lvl>
    <w:lvl w:ilvl="4">
      <w:start w:val="0"/>
      <w:numFmt w:val="bullet"/>
      <w:lvlText w:val="•"/>
      <w:lvlJc w:val="left"/>
      <w:pPr>
        <w:ind w:left="4898" w:hanging="265"/>
      </w:pPr>
      <w:rPr>
        <w:rFonts w:hint="default"/>
        <w:lang w:val="es-ES" w:eastAsia="es-ES" w:bidi="es-ES"/>
      </w:rPr>
    </w:lvl>
    <w:lvl w:ilvl="5">
      <w:start w:val="0"/>
      <w:numFmt w:val="bullet"/>
      <w:lvlText w:val="•"/>
      <w:lvlJc w:val="left"/>
      <w:pPr>
        <w:ind w:left="5852" w:hanging="265"/>
      </w:pPr>
      <w:rPr>
        <w:rFonts w:hint="default"/>
        <w:lang w:val="es-ES" w:eastAsia="es-ES" w:bidi="es-ES"/>
      </w:rPr>
    </w:lvl>
    <w:lvl w:ilvl="6">
      <w:start w:val="0"/>
      <w:numFmt w:val="bullet"/>
      <w:lvlText w:val="•"/>
      <w:lvlJc w:val="left"/>
      <w:pPr>
        <w:ind w:left="6807" w:hanging="265"/>
      </w:pPr>
      <w:rPr>
        <w:rFonts w:hint="default"/>
        <w:lang w:val="es-ES" w:eastAsia="es-ES" w:bidi="es-ES"/>
      </w:rPr>
    </w:lvl>
    <w:lvl w:ilvl="7">
      <w:start w:val="0"/>
      <w:numFmt w:val="bullet"/>
      <w:lvlText w:val="•"/>
      <w:lvlJc w:val="left"/>
      <w:pPr>
        <w:ind w:left="7761" w:hanging="265"/>
      </w:pPr>
      <w:rPr>
        <w:rFonts w:hint="default"/>
        <w:lang w:val="es-ES" w:eastAsia="es-ES" w:bidi="es-ES"/>
      </w:rPr>
    </w:lvl>
    <w:lvl w:ilvl="8">
      <w:start w:val="0"/>
      <w:numFmt w:val="bullet"/>
      <w:lvlText w:val="•"/>
      <w:lvlJc w:val="left"/>
      <w:pPr>
        <w:ind w:left="8716" w:hanging="265"/>
      </w:pPr>
      <w:rPr>
        <w:rFonts w:hint="default"/>
        <w:lang w:val="es-ES" w:eastAsia="es-ES" w:bidi="es-ES"/>
      </w:rPr>
    </w:lvl>
  </w:abstractNum>
  <w:abstractNum w:abstractNumId="183">
    <w:multiLevelType w:val="hybridMultilevel"/>
    <w:lvl w:ilvl="0">
      <w:start w:val="1"/>
      <w:numFmt w:val="decimal"/>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182">
    <w:multiLevelType w:val="hybridMultilevel"/>
    <w:lvl w:ilvl="0">
      <w:start w:val="1"/>
      <w:numFmt w:val="decimal"/>
      <w:lvlText w:val="%1."/>
      <w:lvlJc w:val="left"/>
      <w:pPr>
        <w:ind w:left="1074" w:hanging="265"/>
        <w:jc w:val="left"/>
      </w:pPr>
      <w:rPr>
        <w:rFonts w:hint="default" w:ascii="Arial" w:hAnsi="Arial" w:eastAsia="Arial" w:cs="Arial"/>
        <w:spacing w:val="-13"/>
        <w:w w:val="100"/>
        <w:sz w:val="20"/>
        <w:szCs w:val="20"/>
        <w:lang w:val="es-ES" w:eastAsia="es-ES" w:bidi="es-ES"/>
      </w:rPr>
    </w:lvl>
    <w:lvl w:ilvl="1">
      <w:start w:val="0"/>
      <w:numFmt w:val="bullet"/>
      <w:lvlText w:val="•"/>
      <w:lvlJc w:val="left"/>
      <w:pPr>
        <w:ind w:left="2034" w:hanging="265"/>
      </w:pPr>
      <w:rPr>
        <w:rFonts w:hint="default"/>
        <w:lang w:val="es-ES" w:eastAsia="es-ES" w:bidi="es-ES"/>
      </w:rPr>
    </w:lvl>
    <w:lvl w:ilvl="2">
      <w:start w:val="0"/>
      <w:numFmt w:val="bullet"/>
      <w:lvlText w:val="•"/>
      <w:lvlJc w:val="left"/>
      <w:pPr>
        <w:ind w:left="2989" w:hanging="265"/>
      </w:pPr>
      <w:rPr>
        <w:rFonts w:hint="default"/>
        <w:lang w:val="es-ES" w:eastAsia="es-ES" w:bidi="es-ES"/>
      </w:rPr>
    </w:lvl>
    <w:lvl w:ilvl="3">
      <w:start w:val="0"/>
      <w:numFmt w:val="bullet"/>
      <w:lvlText w:val="•"/>
      <w:lvlJc w:val="left"/>
      <w:pPr>
        <w:ind w:left="3943" w:hanging="265"/>
      </w:pPr>
      <w:rPr>
        <w:rFonts w:hint="default"/>
        <w:lang w:val="es-ES" w:eastAsia="es-ES" w:bidi="es-ES"/>
      </w:rPr>
    </w:lvl>
    <w:lvl w:ilvl="4">
      <w:start w:val="0"/>
      <w:numFmt w:val="bullet"/>
      <w:lvlText w:val="•"/>
      <w:lvlJc w:val="left"/>
      <w:pPr>
        <w:ind w:left="4898" w:hanging="265"/>
      </w:pPr>
      <w:rPr>
        <w:rFonts w:hint="default"/>
        <w:lang w:val="es-ES" w:eastAsia="es-ES" w:bidi="es-ES"/>
      </w:rPr>
    </w:lvl>
    <w:lvl w:ilvl="5">
      <w:start w:val="0"/>
      <w:numFmt w:val="bullet"/>
      <w:lvlText w:val="•"/>
      <w:lvlJc w:val="left"/>
      <w:pPr>
        <w:ind w:left="5852" w:hanging="265"/>
      </w:pPr>
      <w:rPr>
        <w:rFonts w:hint="default"/>
        <w:lang w:val="es-ES" w:eastAsia="es-ES" w:bidi="es-ES"/>
      </w:rPr>
    </w:lvl>
    <w:lvl w:ilvl="6">
      <w:start w:val="0"/>
      <w:numFmt w:val="bullet"/>
      <w:lvlText w:val="•"/>
      <w:lvlJc w:val="left"/>
      <w:pPr>
        <w:ind w:left="6807" w:hanging="265"/>
      </w:pPr>
      <w:rPr>
        <w:rFonts w:hint="default"/>
        <w:lang w:val="es-ES" w:eastAsia="es-ES" w:bidi="es-ES"/>
      </w:rPr>
    </w:lvl>
    <w:lvl w:ilvl="7">
      <w:start w:val="0"/>
      <w:numFmt w:val="bullet"/>
      <w:lvlText w:val="•"/>
      <w:lvlJc w:val="left"/>
      <w:pPr>
        <w:ind w:left="7761" w:hanging="265"/>
      </w:pPr>
      <w:rPr>
        <w:rFonts w:hint="default"/>
        <w:lang w:val="es-ES" w:eastAsia="es-ES" w:bidi="es-ES"/>
      </w:rPr>
    </w:lvl>
    <w:lvl w:ilvl="8">
      <w:start w:val="0"/>
      <w:numFmt w:val="bullet"/>
      <w:lvlText w:val="•"/>
      <w:lvlJc w:val="left"/>
      <w:pPr>
        <w:ind w:left="8716" w:hanging="265"/>
      </w:pPr>
      <w:rPr>
        <w:rFonts w:hint="default"/>
        <w:lang w:val="es-ES" w:eastAsia="es-ES" w:bidi="es-ES"/>
      </w:rPr>
    </w:lvl>
  </w:abstractNum>
  <w:abstractNum w:abstractNumId="181">
    <w:multiLevelType w:val="hybridMultilevel"/>
    <w:lvl w:ilvl="0">
      <w:start w:val="1"/>
      <w:numFmt w:val="decimal"/>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180">
    <w:multiLevelType w:val="hybridMultilevel"/>
    <w:lvl w:ilvl="0">
      <w:start w:val="1"/>
      <w:numFmt w:val="decimal"/>
      <w:lvlText w:val="%1."/>
      <w:lvlJc w:val="left"/>
      <w:pPr>
        <w:ind w:left="1074" w:hanging="315"/>
        <w:jc w:val="left"/>
      </w:pPr>
      <w:rPr>
        <w:rFonts w:hint="default" w:ascii="Arial" w:hAnsi="Arial" w:eastAsia="Arial" w:cs="Arial"/>
        <w:spacing w:val="-19"/>
        <w:w w:val="100"/>
        <w:sz w:val="20"/>
        <w:szCs w:val="20"/>
        <w:lang w:val="es-ES" w:eastAsia="es-ES" w:bidi="es-ES"/>
      </w:rPr>
    </w:lvl>
    <w:lvl w:ilvl="1">
      <w:start w:val="0"/>
      <w:numFmt w:val="bullet"/>
      <w:lvlText w:val="•"/>
      <w:lvlJc w:val="left"/>
      <w:pPr>
        <w:ind w:left="2034" w:hanging="315"/>
      </w:pPr>
      <w:rPr>
        <w:rFonts w:hint="default"/>
        <w:lang w:val="es-ES" w:eastAsia="es-ES" w:bidi="es-ES"/>
      </w:rPr>
    </w:lvl>
    <w:lvl w:ilvl="2">
      <w:start w:val="0"/>
      <w:numFmt w:val="bullet"/>
      <w:lvlText w:val="•"/>
      <w:lvlJc w:val="left"/>
      <w:pPr>
        <w:ind w:left="2989" w:hanging="315"/>
      </w:pPr>
      <w:rPr>
        <w:rFonts w:hint="default"/>
        <w:lang w:val="es-ES" w:eastAsia="es-ES" w:bidi="es-ES"/>
      </w:rPr>
    </w:lvl>
    <w:lvl w:ilvl="3">
      <w:start w:val="0"/>
      <w:numFmt w:val="bullet"/>
      <w:lvlText w:val="•"/>
      <w:lvlJc w:val="left"/>
      <w:pPr>
        <w:ind w:left="3943" w:hanging="315"/>
      </w:pPr>
      <w:rPr>
        <w:rFonts w:hint="default"/>
        <w:lang w:val="es-ES" w:eastAsia="es-ES" w:bidi="es-ES"/>
      </w:rPr>
    </w:lvl>
    <w:lvl w:ilvl="4">
      <w:start w:val="0"/>
      <w:numFmt w:val="bullet"/>
      <w:lvlText w:val="•"/>
      <w:lvlJc w:val="left"/>
      <w:pPr>
        <w:ind w:left="4898" w:hanging="315"/>
      </w:pPr>
      <w:rPr>
        <w:rFonts w:hint="default"/>
        <w:lang w:val="es-ES" w:eastAsia="es-ES" w:bidi="es-ES"/>
      </w:rPr>
    </w:lvl>
    <w:lvl w:ilvl="5">
      <w:start w:val="0"/>
      <w:numFmt w:val="bullet"/>
      <w:lvlText w:val="•"/>
      <w:lvlJc w:val="left"/>
      <w:pPr>
        <w:ind w:left="5852" w:hanging="315"/>
      </w:pPr>
      <w:rPr>
        <w:rFonts w:hint="default"/>
        <w:lang w:val="es-ES" w:eastAsia="es-ES" w:bidi="es-ES"/>
      </w:rPr>
    </w:lvl>
    <w:lvl w:ilvl="6">
      <w:start w:val="0"/>
      <w:numFmt w:val="bullet"/>
      <w:lvlText w:val="•"/>
      <w:lvlJc w:val="left"/>
      <w:pPr>
        <w:ind w:left="6807" w:hanging="315"/>
      </w:pPr>
      <w:rPr>
        <w:rFonts w:hint="default"/>
        <w:lang w:val="es-ES" w:eastAsia="es-ES" w:bidi="es-ES"/>
      </w:rPr>
    </w:lvl>
    <w:lvl w:ilvl="7">
      <w:start w:val="0"/>
      <w:numFmt w:val="bullet"/>
      <w:lvlText w:val="•"/>
      <w:lvlJc w:val="left"/>
      <w:pPr>
        <w:ind w:left="7761" w:hanging="315"/>
      </w:pPr>
      <w:rPr>
        <w:rFonts w:hint="default"/>
        <w:lang w:val="es-ES" w:eastAsia="es-ES" w:bidi="es-ES"/>
      </w:rPr>
    </w:lvl>
    <w:lvl w:ilvl="8">
      <w:start w:val="0"/>
      <w:numFmt w:val="bullet"/>
      <w:lvlText w:val="•"/>
      <w:lvlJc w:val="left"/>
      <w:pPr>
        <w:ind w:left="8716" w:hanging="315"/>
      </w:pPr>
      <w:rPr>
        <w:rFonts w:hint="default"/>
        <w:lang w:val="es-ES" w:eastAsia="es-ES" w:bidi="es-ES"/>
      </w:rPr>
    </w:lvl>
  </w:abstractNum>
  <w:abstractNum w:abstractNumId="179">
    <w:multiLevelType w:val="hybridMultilevel"/>
    <w:lvl w:ilvl="0">
      <w:start w:val="1"/>
      <w:numFmt w:val="decimal"/>
      <w:lvlText w:val="%1."/>
      <w:lvlJc w:val="left"/>
      <w:pPr>
        <w:ind w:left="1074" w:hanging="28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9"/>
      </w:pPr>
      <w:rPr>
        <w:rFonts w:hint="default"/>
        <w:lang w:val="es-ES" w:eastAsia="es-ES" w:bidi="es-ES"/>
      </w:rPr>
    </w:lvl>
    <w:lvl w:ilvl="2">
      <w:start w:val="0"/>
      <w:numFmt w:val="bullet"/>
      <w:lvlText w:val="•"/>
      <w:lvlJc w:val="left"/>
      <w:pPr>
        <w:ind w:left="2989" w:hanging="289"/>
      </w:pPr>
      <w:rPr>
        <w:rFonts w:hint="default"/>
        <w:lang w:val="es-ES" w:eastAsia="es-ES" w:bidi="es-ES"/>
      </w:rPr>
    </w:lvl>
    <w:lvl w:ilvl="3">
      <w:start w:val="0"/>
      <w:numFmt w:val="bullet"/>
      <w:lvlText w:val="•"/>
      <w:lvlJc w:val="left"/>
      <w:pPr>
        <w:ind w:left="3943" w:hanging="289"/>
      </w:pPr>
      <w:rPr>
        <w:rFonts w:hint="default"/>
        <w:lang w:val="es-ES" w:eastAsia="es-ES" w:bidi="es-ES"/>
      </w:rPr>
    </w:lvl>
    <w:lvl w:ilvl="4">
      <w:start w:val="0"/>
      <w:numFmt w:val="bullet"/>
      <w:lvlText w:val="•"/>
      <w:lvlJc w:val="left"/>
      <w:pPr>
        <w:ind w:left="4898" w:hanging="289"/>
      </w:pPr>
      <w:rPr>
        <w:rFonts w:hint="default"/>
        <w:lang w:val="es-ES" w:eastAsia="es-ES" w:bidi="es-ES"/>
      </w:rPr>
    </w:lvl>
    <w:lvl w:ilvl="5">
      <w:start w:val="0"/>
      <w:numFmt w:val="bullet"/>
      <w:lvlText w:val="•"/>
      <w:lvlJc w:val="left"/>
      <w:pPr>
        <w:ind w:left="5852" w:hanging="289"/>
      </w:pPr>
      <w:rPr>
        <w:rFonts w:hint="default"/>
        <w:lang w:val="es-ES" w:eastAsia="es-ES" w:bidi="es-ES"/>
      </w:rPr>
    </w:lvl>
    <w:lvl w:ilvl="6">
      <w:start w:val="0"/>
      <w:numFmt w:val="bullet"/>
      <w:lvlText w:val="•"/>
      <w:lvlJc w:val="left"/>
      <w:pPr>
        <w:ind w:left="6807" w:hanging="289"/>
      </w:pPr>
      <w:rPr>
        <w:rFonts w:hint="default"/>
        <w:lang w:val="es-ES" w:eastAsia="es-ES" w:bidi="es-ES"/>
      </w:rPr>
    </w:lvl>
    <w:lvl w:ilvl="7">
      <w:start w:val="0"/>
      <w:numFmt w:val="bullet"/>
      <w:lvlText w:val="•"/>
      <w:lvlJc w:val="left"/>
      <w:pPr>
        <w:ind w:left="7761" w:hanging="289"/>
      </w:pPr>
      <w:rPr>
        <w:rFonts w:hint="default"/>
        <w:lang w:val="es-ES" w:eastAsia="es-ES" w:bidi="es-ES"/>
      </w:rPr>
    </w:lvl>
    <w:lvl w:ilvl="8">
      <w:start w:val="0"/>
      <w:numFmt w:val="bullet"/>
      <w:lvlText w:val="•"/>
      <w:lvlJc w:val="left"/>
      <w:pPr>
        <w:ind w:left="8716" w:hanging="289"/>
      </w:pPr>
      <w:rPr>
        <w:rFonts w:hint="default"/>
        <w:lang w:val="es-ES" w:eastAsia="es-ES" w:bidi="es-ES"/>
      </w:rPr>
    </w:lvl>
  </w:abstractNum>
  <w:abstractNum w:abstractNumId="178">
    <w:multiLevelType w:val="hybridMultilevel"/>
    <w:lvl w:ilvl="0">
      <w:start w:val="1"/>
      <w:numFmt w:val="decimal"/>
      <w:lvlText w:val="%1."/>
      <w:lvlJc w:val="left"/>
      <w:pPr>
        <w:ind w:left="1074" w:hanging="320"/>
        <w:jc w:val="left"/>
      </w:pPr>
      <w:rPr>
        <w:rFonts w:hint="default" w:ascii="Arial" w:hAnsi="Arial" w:eastAsia="Arial" w:cs="Arial"/>
        <w:spacing w:val="-14"/>
        <w:w w:val="100"/>
        <w:sz w:val="20"/>
        <w:szCs w:val="20"/>
        <w:lang w:val="es-ES" w:eastAsia="es-ES" w:bidi="es-ES"/>
      </w:rPr>
    </w:lvl>
    <w:lvl w:ilvl="1">
      <w:start w:val="0"/>
      <w:numFmt w:val="bullet"/>
      <w:lvlText w:val="•"/>
      <w:lvlJc w:val="left"/>
      <w:pPr>
        <w:ind w:left="2034" w:hanging="320"/>
      </w:pPr>
      <w:rPr>
        <w:rFonts w:hint="default"/>
        <w:lang w:val="es-ES" w:eastAsia="es-ES" w:bidi="es-ES"/>
      </w:rPr>
    </w:lvl>
    <w:lvl w:ilvl="2">
      <w:start w:val="0"/>
      <w:numFmt w:val="bullet"/>
      <w:lvlText w:val="•"/>
      <w:lvlJc w:val="left"/>
      <w:pPr>
        <w:ind w:left="2989" w:hanging="320"/>
      </w:pPr>
      <w:rPr>
        <w:rFonts w:hint="default"/>
        <w:lang w:val="es-ES" w:eastAsia="es-ES" w:bidi="es-ES"/>
      </w:rPr>
    </w:lvl>
    <w:lvl w:ilvl="3">
      <w:start w:val="0"/>
      <w:numFmt w:val="bullet"/>
      <w:lvlText w:val="•"/>
      <w:lvlJc w:val="left"/>
      <w:pPr>
        <w:ind w:left="3943" w:hanging="320"/>
      </w:pPr>
      <w:rPr>
        <w:rFonts w:hint="default"/>
        <w:lang w:val="es-ES" w:eastAsia="es-ES" w:bidi="es-ES"/>
      </w:rPr>
    </w:lvl>
    <w:lvl w:ilvl="4">
      <w:start w:val="0"/>
      <w:numFmt w:val="bullet"/>
      <w:lvlText w:val="•"/>
      <w:lvlJc w:val="left"/>
      <w:pPr>
        <w:ind w:left="4898" w:hanging="320"/>
      </w:pPr>
      <w:rPr>
        <w:rFonts w:hint="default"/>
        <w:lang w:val="es-ES" w:eastAsia="es-ES" w:bidi="es-ES"/>
      </w:rPr>
    </w:lvl>
    <w:lvl w:ilvl="5">
      <w:start w:val="0"/>
      <w:numFmt w:val="bullet"/>
      <w:lvlText w:val="•"/>
      <w:lvlJc w:val="left"/>
      <w:pPr>
        <w:ind w:left="5852" w:hanging="320"/>
      </w:pPr>
      <w:rPr>
        <w:rFonts w:hint="default"/>
        <w:lang w:val="es-ES" w:eastAsia="es-ES" w:bidi="es-ES"/>
      </w:rPr>
    </w:lvl>
    <w:lvl w:ilvl="6">
      <w:start w:val="0"/>
      <w:numFmt w:val="bullet"/>
      <w:lvlText w:val="•"/>
      <w:lvlJc w:val="left"/>
      <w:pPr>
        <w:ind w:left="6807" w:hanging="320"/>
      </w:pPr>
      <w:rPr>
        <w:rFonts w:hint="default"/>
        <w:lang w:val="es-ES" w:eastAsia="es-ES" w:bidi="es-ES"/>
      </w:rPr>
    </w:lvl>
    <w:lvl w:ilvl="7">
      <w:start w:val="0"/>
      <w:numFmt w:val="bullet"/>
      <w:lvlText w:val="•"/>
      <w:lvlJc w:val="left"/>
      <w:pPr>
        <w:ind w:left="7761" w:hanging="320"/>
      </w:pPr>
      <w:rPr>
        <w:rFonts w:hint="default"/>
        <w:lang w:val="es-ES" w:eastAsia="es-ES" w:bidi="es-ES"/>
      </w:rPr>
    </w:lvl>
    <w:lvl w:ilvl="8">
      <w:start w:val="0"/>
      <w:numFmt w:val="bullet"/>
      <w:lvlText w:val="•"/>
      <w:lvlJc w:val="left"/>
      <w:pPr>
        <w:ind w:left="8716" w:hanging="320"/>
      </w:pPr>
      <w:rPr>
        <w:rFonts w:hint="default"/>
        <w:lang w:val="es-ES" w:eastAsia="es-ES" w:bidi="es-ES"/>
      </w:rPr>
    </w:lvl>
  </w:abstractNum>
  <w:abstractNum w:abstractNumId="177">
    <w:multiLevelType w:val="hybridMultilevel"/>
    <w:lvl w:ilvl="0">
      <w:start w:val="1"/>
      <w:numFmt w:val="lowerLetter"/>
      <w:lvlText w:val="%1)"/>
      <w:lvlJc w:val="left"/>
      <w:pPr>
        <w:ind w:left="1074" w:hanging="339"/>
        <w:jc w:val="left"/>
      </w:pPr>
      <w:rPr>
        <w:rFonts w:hint="default" w:ascii="Arial" w:hAnsi="Arial" w:eastAsia="Arial" w:cs="Arial"/>
        <w:spacing w:val="-15"/>
        <w:w w:val="100"/>
        <w:sz w:val="20"/>
        <w:szCs w:val="20"/>
        <w:lang w:val="es-ES" w:eastAsia="es-ES" w:bidi="es-ES"/>
      </w:rPr>
    </w:lvl>
    <w:lvl w:ilvl="1">
      <w:start w:val="0"/>
      <w:numFmt w:val="bullet"/>
      <w:lvlText w:val="•"/>
      <w:lvlJc w:val="left"/>
      <w:pPr>
        <w:ind w:left="2034" w:hanging="339"/>
      </w:pPr>
      <w:rPr>
        <w:rFonts w:hint="default"/>
        <w:lang w:val="es-ES" w:eastAsia="es-ES" w:bidi="es-ES"/>
      </w:rPr>
    </w:lvl>
    <w:lvl w:ilvl="2">
      <w:start w:val="0"/>
      <w:numFmt w:val="bullet"/>
      <w:lvlText w:val="•"/>
      <w:lvlJc w:val="left"/>
      <w:pPr>
        <w:ind w:left="2989" w:hanging="339"/>
      </w:pPr>
      <w:rPr>
        <w:rFonts w:hint="default"/>
        <w:lang w:val="es-ES" w:eastAsia="es-ES" w:bidi="es-ES"/>
      </w:rPr>
    </w:lvl>
    <w:lvl w:ilvl="3">
      <w:start w:val="0"/>
      <w:numFmt w:val="bullet"/>
      <w:lvlText w:val="•"/>
      <w:lvlJc w:val="left"/>
      <w:pPr>
        <w:ind w:left="3943" w:hanging="339"/>
      </w:pPr>
      <w:rPr>
        <w:rFonts w:hint="default"/>
        <w:lang w:val="es-ES" w:eastAsia="es-ES" w:bidi="es-ES"/>
      </w:rPr>
    </w:lvl>
    <w:lvl w:ilvl="4">
      <w:start w:val="0"/>
      <w:numFmt w:val="bullet"/>
      <w:lvlText w:val="•"/>
      <w:lvlJc w:val="left"/>
      <w:pPr>
        <w:ind w:left="4898" w:hanging="339"/>
      </w:pPr>
      <w:rPr>
        <w:rFonts w:hint="default"/>
        <w:lang w:val="es-ES" w:eastAsia="es-ES" w:bidi="es-ES"/>
      </w:rPr>
    </w:lvl>
    <w:lvl w:ilvl="5">
      <w:start w:val="0"/>
      <w:numFmt w:val="bullet"/>
      <w:lvlText w:val="•"/>
      <w:lvlJc w:val="left"/>
      <w:pPr>
        <w:ind w:left="5852" w:hanging="339"/>
      </w:pPr>
      <w:rPr>
        <w:rFonts w:hint="default"/>
        <w:lang w:val="es-ES" w:eastAsia="es-ES" w:bidi="es-ES"/>
      </w:rPr>
    </w:lvl>
    <w:lvl w:ilvl="6">
      <w:start w:val="0"/>
      <w:numFmt w:val="bullet"/>
      <w:lvlText w:val="•"/>
      <w:lvlJc w:val="left"/>
      <w:pPr>
        <w:ind w:left="6807" w:hanging="339"/>
      </w:pPr>
      <w:rPr>
        <w:rFonts w:hint="default"/>
        <w:lang w:val="es-ES" w:eastAsia="es-ES" w:bidi="es-ES"/>
      </w:rPr>
    </w:lvl>
    <w:lvl w:ilvl="7">
      <w:start w:val="0"/>
      <w:numFmt w:val="bullet"/>
      <w:lvlText w:val="•"/>
      <w:lvlJc w:val="left"/>
      <w:pPr>
        <w:ind w:left="7761" w:hanging="339"/>
      </w:pPr>
      <w:rPr>
        <w:rFonts w:hint="default"/>
        <w:lang w:val="es-ES" w:eastAsia="es-ES" w:bidi="es-ES"/>
      </w:rPr>
    </w:lvl>
    <w:lvl w:ilvl="8">
      <w:start w:val="0"/>
      <w:numFmt w:val="bullet"/>
      <w:lvlText w:val="•"/>
      <w:lvlJc w:val="left"/>
      <w:pPr>
        <w:ind w:left="8716" w:hanging="339"/>
      </w:pPr>
      <w:rPr>
        <w:rFonts w:hint="default"/>
        <w:lang w:val="es-ES" w:eastAsia="es-ES" w:bidi="es-ES"/>
      </w:rPr>
    </w:lvl>
  </w:abstractNum>
  <w:abstractNum w:abstractNumId="176">
    <w:multiLevelType w:val="hybridMultilevel"/>
    <w:lvl w:ilvl="0">
      <w:start w:val="1"/>
      <w:numFmt w:val="decimal"/>
      <w:lvlText w:val="%1."/>
      <w:lvlJc w:val="left"/>
      <w:pPr>
        <w:ind w:left="1074" w:hanging="265"/>
        <w:jc w:val="left"/>
      </w:pPr>
      <w:rPr>
        <w:rFonts w:hint="default" w:ascii="Arial" w:hAnsi="Arial" w:eastAsia="Arial" w:cs="Arial"/>
        <w:spacing w:val="-14"/>
        <w:w w:val="100"/>
        <w:sz w:val="20"/>
        <w:szCs w:val="20"/>
        <w:lang w:val="es-ES" w:eastAsia="es-ES" w:bidi="es-ES"/>
      </w:rPr>
    </w:lvl>
    <w:lvl w:ilvl="1">
      <w:start w:val="0"/>
      <w:numFmt w:val="bullet"/>
      <w:lvlText w:val="•"/>
      <w:lvlJc w:val="left"/>
      <w:pPr>
        <w:ind w:left="2034" w:hanging="265"/>
      </w:pPr>
      <w:rPr>
        <w:rFonts w:hint="default"/>
        <w:lang w:val="es-ES" w:eastAsia="es-ES" w:bidi="es-ES"/>
      </w:rPr>
    </w:lvl>
    <w:lvl w:ilvl="2">
      <w:start w:val="0"/>
      <w:numFmt w:val="bullet"/>
      <w:lvlText w:val="•"/>
      <w:lvlJc w:val="left"/>
      <w:pPr>
        <w:ind w:left="2989" w:hanging="265"/>
      </w:pPr>
      <w:rPr>
        <w:rFonts w:hint="default"/>
        <w:lang w:val="es-ES" w:eastAsia="es-ES" w:bidi="es-ES"/>
      </w:rPr>
    </w:lvl>
    <w:lvl w:ilvl="3">
      <w:start w:val="0"/>
      <w:numFmt w:val="bullet"/>
      <w:lvlText w:val="•"/>
      <w:lvlJc w:val="left"/>
      <w:pPr>
        <w:ind w:left="3943" w:hanging="265"/>
      </w:pPr>
      <w:rPr>
        <w:rFonts w:hint="default"/>
        <w:lang w:val="es-ES" w:eastAsia="es-ES" w:bidi="es-ES"/>
      </w:rPr>
    </w:lvl>
    <w:lvl w:ilvl="4">
      <w:start w:val="0"/>
      <w:numFmt w:val="bullet"/>
      <w:lvlText w:val="•"/>
      <w:lvlJc w:val="left"/>
      <w:pPr>
        <w:ind w:left="4898" w:hanging="265"/>
      </w:pPr>
      <w:rPr>
        <w:rFonts w:hint="default"/>
        <w:lang w:val="es-ES" w:eastAsia="es-ES" w:bidi="es-ES"/>
      </w:rPr>
    </w:lvl>
    <w:lvl w:ilvl="5">
      <w:start w:val="0"/>
      <w:numFmt w:val="bullet"/>
      <w:lvlText w:val="•"/>
      <w:lvlJc w:val="left"/>
      <w:pPr>
        <w:ind w:left="5852" w:hanging="265"/>
      </w:pPr>
      <w:rPr>
        <w:rFonts w:hint="default"/>
        <w:lang w:val="es-ES" w:eastAsia="es-ES" w:bidi="es-ES"/>
      </w:rPr>
    </w:lvl>
    <w:lvl w:ilvl="6">
      <w:start w:val="0"/>
      <w:numFmt w:val="bullet"/>
      <w:lvlText w:val="•"/>
      <w:lvlJc w:val="left"/>
      <w:pPr>
        <w:ind w:left="6807" w:hanging="265"/>
      </w:pPr>
      <w:rPr>
        <w:rFonts w:hint="default"/>
        <w:lang w:val="es-ES" w:eastAsia="es-ES" w:bidi="es-ES"/>
      </w:rPr>
    </w:lvl>
    <w:lvl w:ilvl="7">
      <w:start w:val="0"/>
      <w:numFmt w:val="bullet"/>
      <w:lvlText w:val="•"/>
      <w:lvlJc w:val="left"/>
      <w:pPr>
        <w:ind w:left="7761" w:hanging="265"/>
      </w:pPr>
      <w:rPr>
        <w:rFonts w:hint="default"/>
        <w:lang w:val="es-ES" w:eastAsia="es-ES" w:bidi="es-ES"/>
      </w:rPr>
    </w:lvl>
    <w:lvl w:ilvl="8">
      <w:start w:val="0"/>
      <w:numFmt w:val="bullet"/>
      <w:lvlText w:val="•"/>
      <w:lvlJc w:val="left"/>
      <w:pPr>
        <w:ind w:left="8716" w:hanging="265"/>
      </w:pPr>
      <w:rPr>
        <w:rFonts w:hint="default"/>
        <w:lang w:val="es-ES" w:eastAsia="es-ES" w:bidi="es-ES"/>
      </w:rPr>
    </w:lvl>
  </w:abstractNum>
  <w:abstractNum w:abstractNumId="175">
    <w:multiLevelType w:val="hybridMultilevel"/>
    <w:lvl w:ilvl="0">
      <w:start w:val="1"/>
      <w:numFmt w:val="decimal"/>
      <w:lvlText w:val="%1."/>
      <w:lvlJc w:val="left"/>
      <w:pPr>
        <w:ind w:left="1074" w:hanging="23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9"/>
      </w:pPr>
      <w:rPr>
        <w:rFonts w:hint="default"/>
        <w:lang w:val="es-ES" w:eastAsia="es-ES" w:bidi="es-ES"/>
      </w:rPr>
    </w:lvl>
    <w:lvl w:ilvl="2">
      <w:start w:val="0"/>
      <w:numFmt w:val="bullet"/>
      <w:lvlText w:val="•"/>
      <w:lvlJc w:val="left"/>
      <w:pPr>
        <w:ind w:left="2989" w:hanging="239"/>
      </w:pPr>
      <w:rPr>
        <w:rFonts w:hint="default"/>
        <w:lang w:val="es-ES" w:eastAsia="es-ES" w:bidi="es-ES"/>
      </w:rPr>
    </w:lvl>
    <w:lvl w:ilvl="3">
      <w:start w:val="0"/>
      <w:numFmt w:val="bullet"/>
      <w:lvlText w:val="•"/>
      <w:lvlJc w:val="left"/>
      <w:pPr>
        <w:ind w:left="3943" w:hanging="239"/>
      </w:pPr>
      <w:rPr>
        <w:rFonts w:hint="default"/>
        <w:lang w:val="es-ES" w:eastAsia="es-ES" w:bidi="es-ES"/>
      </w:rPr>
    </w:lvl>
    <w:lvl w:ilvl="4">
      <w:start w:val="0"/>
      <w:numFmt w:val="bullet"/>
      <w:lvlText w:val="•"/>
      <w:lvlJc w:val="left"/>
      <w:pPr>
        <w:ind w:left="4898" w:hanging="239"/>
      </w:pPr>
      <w:rPr>
        <w:rFonts w:hint="default"/>
        <w:lang w:val="es-ES" w:eastAsia="es-ES" w:bidi="es-ES"/>
      </w:rPr>
    </w:lvl>
    <w:lvl w:ilvl="5">
      <w:start w:val="0"/>
      <w:numFmt w:val="bullet"/>
      <w:lvlText w:val="•"/>
      <w:lvlJc w:val="left"/>
      <w:pPr>
        <w:ind w:left="5852" w:hanging="239"/>
      </w:pPr>
      <w:rPr>
        <w:rFonts w:hint="default"/>
        <w:lang w:val="es-ES" w:eastAsia="es-ES" w:bidi="es-ES"/>
      </w:rPr>
    </w:lvl>
    <w:lvl w:ilvl="6">
      <w:start w:val="0"/>
      <w:numFmt w:val="bullet"/>
      <w:lvlText w:val="•"/>
      <w:lvlJc w:val="left"/>
      <w:pPr>
        <w:ind w:left="6807" w:hanging="239"/>
      </w:pPr>
      <w:rPr>
        <w:rFonts w:hint="default"/>
        <w:lang w:val="es-ES" w:eastAsia="es-ES" w:bidi="es-ES"/>
      </w:rPr>
    </w:lvl>
    <w:lvl w:ilvl="7">
      <w:start w:val="0"/>
      <w:numFmt w:val="bullet"/>
      <w:lvlText w:val="•"/>
      <w:lvlJc w:val="left"/>
      <w:pPr>
        <w:ind w:left="7761" w:hanging="239"/>
      </w:pPr>
      <w:rPr>
        <w:rFonts w:hint="default"/>
        <w:lang w:val="es-ES" w:eastAsia="es-ES" w:bidi="es-ES"/>
      </w:rPr>
    </w:lvl>
    <w:lvl w:ilvl="8">
      <w:start w:val="0"/>
      <w:numFmt w:val="bullet"/>
      <w:lvlText w:val="•"/>
      <w:lvlJc w:val="left"/>
      <w:pPr>
        <w:ind w:left="8716" w:hanging="239"/>
      </w:pPr>
      <w:rPr>
        <w:rFonts w:hint="default"/>
        <w:lang w:val="es-ES" w:eastAsia="es-ES" w:bidi="es-ES"/>
      </w:rPr>
    </w:lvl>
  </w:abstractNum>
  <w:abstractNum w:abstractNumId="174">
    <w:multiLevelType w:val="hybridMultilevel"/>
    <w:lvl w:ilvl="0">
      <w:start w:val="1"/>
      <w:numFmt w:val="lowerLetter"/>
      <w:lvlText w:val="%1)"/>
      <w:lvlJc w:val="left"/>
      <w:pPr>
        <w:ind w:left="1074" w:hanging="269"/>
        <w:jc w:val="left"/>
      </w:pPr>
      <w:rPr>
        <w:rFonts w:hint="default" w:ascii="Arial" w:hAnsi="Arial" w:eastAsia="Arial" w:cs="Arial"/>
        <w:spacing w:val="-21"/>
        <w:w w:val="100"/>
        <w:sz w:val="20"/>
        <w:szCs w:val="20"/>
        <w:lang w:val="es-ES" w:eastAsia="es-ES" w:bidi="es-ES"/>
      </w:rPr>
    </w:lvl>
    <w:lvl w:ilvl="1">
      <w:start w:val="0"/>
      <w:numFmt w:val="bullet"/>
      <w:lvlText w:val="•"/>
      <w:lvlJc w:val="left"/>
      <w:pPr>
        <w:ind w:left="2034" w:hanging="269"/>
      </w:pPr>
      <w:rPr>
        <w:rFonts w:hint="default"/>
        <w:lang w:val="es-ES" w:eastAsia="es-ES" w:bidi="es-ES"/>
      </w:rPr>
    </w:lvl>
    <w:lvl w:ilvl="2">
      <w:start w:val="0"/>
      <w:numFmt w:val="bullet"/>
      <w:lvlText w:val="•"/>
      <w:lvlJc w:val="left"/>
      <w:pPr>
        <w:ind w:left="2989" w:hanging="269"/>
      </w:pPr>
      <w:rPr>
        <w:rFonts w:hint="default"/>
        <w:lang w:val="es-ES" w:eastAsia="es-ES" w:bidi="es-ES"/>
      </w:rPr>
    </w:lvl>
    <w:lvl w:ilvl="3">
      <w:start w:val="0"/>
      <w:numFmt w:val="bullet"/>
      <w:lvlText w:val="•"/>
      <w:lvlJc w:val="left"/>
      <w:pPr>
        <w:ind w:left="3943" w:hanging="269"/>
      </w:pPr>
      <w:rPr>
        <w:rFonts w:hint="default"/>
        <w:lang w:val="es-ES" w:eastAsia="es-ES" w:bidi="es-ES"/>
      </w:rPr>
    </w:lvl>
    <w:lvl w:ilvl="4">
      <w:start w:val="0"/>
      <w:numFmt w:val="bullet"/>
      <w:lvlText w:val="•"/>
      <w:lvlJc w:val="left"/>
      <w:pPr>
        <w:ind w:left="4898" w:hanging="269"/>
      </w:pPr>
      <w:rPr>
        <w:rFonts w:hint="default"/>
        <w:lang w:val="es-ES" w:eastAsia="es-ES" w:bidi="es-ES"/>
      </w:rPr>
    </w:lvl>
    <w:lvl w:ilvl="5">
      <w:start w:val="0"/>
      <w:numFmt w:val="bullet"/>
      <w:lvlText w:val="•"/>
      <w:lvlJc w:val="left"/>
      <w:pPr>
        <w:ind w:left="5852" w:hanging="269"/>
      </w:pPr>
      <w:rPr>
        <w:rFonts w:hint="default"/>
        <w:lang w:val="es-ES" w:eastAsia="es-ES" w:bidi="es-ES"/>
      </w:rPr>
    </w:lvl>
    <w:lvl w:ilvl="6">
      <w:start w:val="0"/>
      <w:numFmt w:val="bullet"/>
      <w:lvlText w:val="•"/>
      <w:lvlJc w:val="left"/>
      <w:pPr>
        <w:ind w:left="6807" w:hanging="269"/>
      </w:pPr>
      <w:rPr>
        <w:rFonts w:hint="default"/>
        <w:lang w:val="es-ES" w:eastAsia="es-ES" w:bidi="es-ES"/>
      </w:rPr>
    </w:lvl>
    <w:lvl w:ilvl="7">
      <w:start w:val="0"/>
      <w:numFmt w:val="bullet"/>
      <w:lvlText w:val="•"/>
      <w:lvlJc w:val="left"/>
      <w:pPr>
        <w:ind w:left="7761" w:hanging="269"/>
      </w:pPr>
      <w:rPr>
        <w:rFonts w:hint="default"/>
        <w:lang w:val="es-ES" w:eastAsia="es-ES" w:bidi="es-ES"/>
      </w:rPr>
    </w:lvl>
    <w:lvl w:ilvl="8">
      <w:start w:val="0"/>
      <w:numFmt w:val="bullet"/>
      <w:lvlText w:val="•"/>
      <w:lvlJc w:val="left"/>
      <w:pPr>
        <w:ind w:left="8716" w:hanging="269"/>
      </w:pPr>
      <w:rPr>
        <w:rFonts w:hint="default"/>
        <w:lang w:val="es-ES" w:eastAsia="es-ES" w:bidi="es-ES"/>
      </w:rPr>
    </w:lvl>
  </w:abstractNum>
  <w:abstractNum w:abstractNumId="173">
    <w:multiLevelType w:val="hybridMultilevel"/>
    <w:lvl w:ilvl="0">
      <w:start w:val="1"/>
      <w:numFmt w:val="lowerLetter"/>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172">
    <w:multiLevelType w:val="hybridMultilevel"/>
    <w:lvl w:ilvl="0">
      <w:start w:val="1"/>
      <w:numFmt w:val="decimal"/>
      <w:lvlText w:val="%1."/>
      <w:lvlJc w:val="left"/>
      <w:pPr>
        <w:ind w:left="107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8"/>
      </w:pPr>
      <w:rPr>
        <w:rFonts w:hint="default"/>
        <w:lang w:val="es-ES" w:eastAsia="es-ES" w:bidi="es-ES"/>
      </w:rPr>
    </w:lvl>
    <w:lvl w:ilvl="2">
      <w:start w:val="0"/>
      <w:numFmt w:val="bullet"/>
      <w:lvlText w:val="•"/>
      <w:lvlJc w:val="left"/>
      <w:pPr>
        <w:ind w:left="2989" w:hanging="238"/>
      </w:pPr>
      <w:rPr>
        <w:rFonts w:hint="default"/>
        <w:lang w:val="es-ES" w:eastAsia="es-ES" w:bidi="es-ES"/>
      </w:rPr>
    </w:lvl>
    <w:lvl w:ilvl="3">
      <w:start w:val="0"/>
      <w:numFmt w:val="bullet"/>
      <w:lvlText w:val="•"/>
      <w:lvlJc w:val="left"/>
      <w:pPr>
        <w:ind w:left="3943" w:hanging="238"/>
      </w:pPr>
      <w:rPr>
        <w:rFonts w:hint="default"/>
        <w:lang w:val="es-ES" w:eastAsia="es-ES" w:bidi="es-ES"/>
      </w:rPr>
    </w:lvl>
    <w:lvl w:ilvl="4">
      <w:start w:val="0"/>
      <w:numFmt w:val="bullet"/>
      <w:lvlText w:val="•"/>
      <w:lvlJc w:val="left"/>
      <w:pPr>
        <w:ind w:left="4898" w:hanging="238"/>
      </w:pPr>
      <w:rPr>
        <w:rFonts w:hint="default"/>
        <w:lang w:val="es-ES" w:eastAsia="es-ES" w:bidi="es-ES"/>
      </w:rPr>
    </w:lvl>
    <w:lvl w:ilvl="5">
      <w:start w:val="0"/>
      <w:numFmt w:val="bullet"/>
      <w:lvlText w:val="•"/>
      <w:lvlJc w:val="left"/>
      <w:pPr>
        <w:ind w:left="5852" w:hanging="238"/>
      </w:pPr>
      <w:rPr>
        <w:rFonts w:hint="default"/>
        <w:lang w:val="es-ES" w:eastAsia="es-ES" w:bidi="es-ES"/>
      </w:rPr>
    </w:lvl>
    <w:lvl w:ilvl="6">
      <w:start w:val="0"/>
      <w:numFmt w:val="bullet"/>
      <w:lvlText w:val="•"/>
      <w:lvlJc w:val="left"/>
      <w:pPr>
        <w:ind w:left="6807" w:hanging="238"/>
      </w:pPr>
      <w:rPr>
        <w:rFonts w:hint="default"/>
        <w:lang w:val="es-ES" w:eastAsia="es-ES" w:bidi="es-ES"/>
      </w:rPr>
    </w:lvl>
    <w:lvl w:ilvl="7">
      <w:start w:val="0"/>
      <w:numFmt w:val="bullet"/>
      <w:lvlText w:val="•"/>
      <w:lvlJc w:val="left"/>
      <w:pPr>
        <w:ind w:left="7761" w:hanging="238"/>
      </w:pPr>
      <w:rPr>
        <w:rFonts w:hint="default"/>
        <w:lang w:val="es-ES" w:eastAsia="es-ES" w:bidi="es-ES"/>
      </w:rPr>
    </w:lvl>
    <w:lvl w:ilvl="8">
      <w:start w:val="0"/>
      <w:numFmt w:val="bullet"/>
      <w:lvlText w:val="•"/>
      <w:lvlJc w:val="left"/>
      <w:pPr>
        <w:ind w:left="8716" w:hanging="238"/>
      </w:pPr>
      <w:rPr>
        <w:rFonts w:hint="default"/>
        <w:lang w:val="es-ES" w:eastAsia="es-ES" w:bidi="es-ES"/>
      </w:rPr>
    </w:lvl>
  </w:abstractNum>
  <w:abstractNum w:abstractNumId="171">
    <w:multiLevelType w:val="hybridMultilevel"/>
    <w:lvl w:ilvl="0">
      <w:start w:val="1"/>
      <w:numFmt w:val="lowerLetter"/>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170">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169">
    <w:multiLevelType w:val="hybridMultilevel"/>
    <w:lvl w:ilvl="0">
      <w:start w:val="1"/>
      <w:numFmt w:val="lowerLetter"/>
      <w:lvlText w:val="%1)"/>
      <w:lvlJc w:val="left"/>
      <w:pPr>
        <w:ind w:left="1074" w:hanging="36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69"/>
      </w:pPr>
      <w:rPr>
        <w:rFonts w:hint="default"/>
        <w:lang w:val="es-ES" w:eastAsia="es-ES" w:bidi="es-ES"/>
      </w:rPr>
    </w:lvl>
    <w:lvl w:ilvl="2">
      <w:start w:val="0"/>
      <w:numFmt w:val="bullet"/>
      <w:lvlText w:val="•"/>
      <w:lvlJc w:val="left"/>
      <w:pPr>
        <w:ind w:left="2989" w:hanging="369"/>
      </w:pPr>
      <w:rPr>
        <w:rFonts w:hint="default"/>
        <w:lang w:val="es-ES" w:eastAsia="es-ES" w:bidi="es-ES"/>
      </w:rPr>
    </w:lvl>
    <w:lvl w:ilvl="3">
      <w:start w:val="0"/>
      <w:numFmt w:val="bullet"/>
      <w:lvlText w:val="•"/>
      <w:lvlJc w:val="left"/>
      <w:pPr>
        <w:ind w:left="3943" w:hanging="369"/>
      </w:pPr>
      <w:rPr>
        <w:rFonts w:hint="default"/>
        <w:lang w:val="es-ES" w:eastAsia="es-ES" w:bidi="es-ES"/>
      </w:rPr>
    </w:lvl>
    <w:lvl w:ilvl="4">
      <w:start w:val="0"/>
      <w:numFmt w:val="bullet"/>
      <w:lvlText w:val="•"/>
      <w:lvlJc w:val="left"/>
      <w:pPr>
        <w:ind w:left="4898" w:hanging="369"/>
      </w:pPr>
      <w:rPr>
        <w:rFonts w:hint="default"/>
        <w:lang w:val="es-ES" w:eastAsia="es-ES" w:bidi="es-ES"/>
      </w:rPr>
    </w:lvl>
    <w:lvl w:ilvl="5">
      <w:start w:val="0"/>
      <w:numFmt w:val="bullet"/>
      <w:lvlText w:val="•"/>
      <w:lvlJc w:val="left"/>
      <w:pPr>
        <w:ind w:left="5852" w:hanging="369"/>
      </w:pPr>
      <w:rPr>
        <w:rFonts w:hint="default"/>
        <w:lang w:val="es-ES" w:eastAsia="es-ES" w:bidi="es-ES"/>
      </w:rPr>
    </w:lvl>
    <w:lvl w:ilvl="6">
      <w:start w:val="0"/>
      <w:numFmt w:val="bullet"/>
      <w:lvlText w:val="•"/>
      <w:lvlJc w:val="left"/>
      <w:pPr>
        <w:ind w:left="6807" w:hanging="369"/>
      </w:pPr>
      <w:rPr>
        <w:rFonts w:hint="default"/>
        <w:lang w:val="es-ES" w:eastAsia="es-ES" w:bidi="es-ES"/>
      </w:rPr>
    </w:lvl>
    <w:lvl w:ilvl="7">
      <w:start w:val="0"/>
      <w:numFmt w:val="bullet"/>
      <w:lvlText w:val="•"/>
      <w:lvlJc w:val="left"/>
      <w:pPr>
        <w:ind w:left="7761" w:hanging="369"/>
      </w:pPr>
      <w:rPr>
        <w:rFonts w:hint="default"/>
        <w:lang w:val="es-ES" w:eastAsia="es-ES" w:bidi="es-ES"/>
      </w:rPr>
    </w:lvl>
    <w:lvl w:ilvl="8">
      <w:start w:val="0"/>
      <w:numFmt w:val="bullet"/>
      <w:lvlText w:val="•"/>
      <w:lvlJc w:val="left"/>
      <w:pPr>
        <w:ind w:left="8716" w:hanging="369"/>
      </w:pPr>
      <w:rPr>
        <w:rFonts w:hint="default"/>
        <w:lang w:val="es-ES" w:eastAsia="es-ES" w:bidi="es-ES"/>
      </w:rPr>
    </w:lvl>
  </w:abstractNum>
  <w:abstractNum w:abstractNumId="168">
    <w:multiLevelType w:val="hybridMultilevel"/>
    <w:lvl w:ilvl="0">
      <w:start w:val="1"/>
      <w:numFmt w:val="decimal"/>
      <w:lvlText w:val="%1."/>
      <w:lvlJc w:val="left"/>
      <w:pPr>
        <w:ind w:left="1074" w:hanging="251"/>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167">
    <w:multiLevelType w:val="hybridMultilevel"/>
    <w:lvl w:ilvl="0">
      <w:start w:val="1"/>
      <w:numFmt w:val="decimal"/>
      <w:lvlText w:val="%1."/>
      <w:lvlJc w:val="left"/>
      <w:pPr>
        <w:ind w:left="1074" w:hanging="262"/>
        <w:jc w:val="left"/>
      </w:pPr>
      <w:rPr>
        <w:rFonts w:hint="default" w:ascii="Arial" w:hAnsi="Arial" w:eastAsia="Arial" w:cs="Arial"/>
        <w:spacing w:val="-16"/>
        <w:w w:val="100"/>
        <w:sz w:val="20"/>
        <w:szCs w:val="20"/>
        <w:lang w:val="es-ES" w:eastAsia="es-ES" w:bidi="es-ES"/>
      </w:rPr>
    </w:lvl>
    <w:lvl w:ilvl="1">
      <w:start w:val="0"/>
      <w:numFmt w:val="bullet"/>
      <w:lvlText w:val="•"/>
      <w:lvlJc w:val="left"/>
      <w:pPr>
        <w:ind w:left="2034" w:hanging="262"/>
      </w:pPr>
      <w:rPr>
        <w:rFonts w:hint="default"/>
        <w:lang w:val="es-ES" w:eastAsia="es-ES" w:bidi="es-ES"/>
      </w:rPr>
    </w:lvl>
    <w:lvl w:ilvl="2">
      <w:start w:val="0"/>
      <w:numFmt w:val="bullet"/>
      <w:lvlText w:val="•"/>
      <w:lvlJc w:val="left"/>
      <w:pPr>
        <w:ind w:left="2989" w:hanging="262"/>
      </w:pPr>
      <w:rPr>
        <w:rFonts w:hint="default"/>
        <w:lang w:val="es-ES" w:eastAsia="es-ES" w:bidi="es-ES"/>
      </w:rPr>
    </w:lvl>
    <w:lvl w:ilvl="3">
      <w:start w:val="0"/>
      <w:numFmt w:val="bullet"/>
      <w:lvlText w:val="•"/>
      <w:lvlJc w:val="left"/>
      <w:pPr>
        <w:ind w:left="3943" w:hanging="262"/>
      </w:pPr>
      <w:rPr>
        <w:rFonts w:hint="default"/>
        <w:lang w:val="es-ES" w:eastAsia="es-ES" w:bidi="es-ES"/>
      </w:rPr>
    </w:lvl>
    <w:lvl w:ilvl="4">
      <w:start w:val="0"/>
      <w:numFmt w:val="bullet"/>
      <w:lvlText w:val="•"/>
      <w:lvlJc w:val="left"/>
      <w:pPr>
        <w:ind w:left="4898" w:hanging="262"/>
      </w:pPr>
      <w:rPr>
        <w:rFonts w:hint="default"/>
        <w:lang w:val="es-ES" w:eastAsia="es-ES" w:bidi="es-ES"/>
      </w:rPr>
    </w:lvl>
    <w:lvl w:ilvl="5">
      <w:start w:val="0"/>
      <w:numFmt w:val="bullet"/>
      <w:lvlText w:val="•"/>
      <w:lvlJc w:val="left"/>
      <w:pPr>
        <w:ind w:left="5852" w:hanging="262"/>
      </w:pPr>
      <w:rPr>
        <w:rFonts w:hint="default"/>
        <w:lang w:val="es-ES" w:eastAsia="es-ES" w:bidi="es-ES"/>
      </w:rPr>
    </w:lvl>
    <w:lvl w:ilvl="6">
      <w:start w:val="0"/>
      <w:numFmt w:val="bullet"/>
      <w:lvlText w:val="•"/>
      <w:lvlJc w:val="left"/>
      <w:pPr>
        <w:ind w:left="6807" w:hanging="262"/>
      </w:pPr>
      <w:rPr>
        <w:rFonts w:hint="default"/>
        <w:lang w:val="es-ES" w:eastAsia="es-ES" w:bidi="es-ES"/>
      </w:rPr>
    </w:lvl>
    <w:lvl w:ilvl="7">
      <w:start w:val="0"/>
      <w:numFmt w:val="bullet"/>
      <w:lvlText w:val="•"/>
      <w:lvlJc w:val="left"/>
      <w:pPr>
        <w:ind w:left="7761" w:hanging="262"/>
      </w:pPr>
      <w:rPr>
        <w:rFonts w:hint="default"/>
        <w:lang w:val="es-ES" w:eastAsia="es-ES" w:bidi="es-ES"/>
      </w:rPr>
    </w:lvl>
    <w:lvl w:ilvl="8">
      <w:start w:val="0"/>
      <w:numFmt w:val="bullet"/>
      <w:lvlText w:val="•"/>
      <w:lvlJc w:val="left"/>
      <w:pPr>
        <w:ind w:left="8716" w:hanging="262"/>
      </w:pPr>
      <w:rPr>
        <w:rFonts w:hint="default"/>
        <w:lang w:val="es-ES" w:eastAsia="es-ES" w:bidi="es-ES"/>
      </w:rPr>
    </w:lvl>
  </w:abstractNum>
  <w:abstractNum w:abstractNumId="166">
    <w:multiLevelType w:val="hybridMultilevel"/>
    <w:lvl w:ilvl="0">
      <w:start w:val="1"/>
      <w:numFmt w:val="decimal"/>
      <w:lvlText w:val="%1."/>
      <w:lvlJc w:val="left"/>
      <w:pPr>
        <w:ind w:left="1074" w:hanging="253"/>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53"/>
      </w:pPr>
      <w:rPr>
        <w:rFonts w:hint="default"/>
        <w:lang w:val="es-ES" w:eastAsia="es-ES" w:bidi="es-ES"/>
      </w:rPr>
    </w:lvl>
    <w:lvl w:ilvl="2">
      <w:start w:val="0"/>
      <w:numFmt w:val="bullet"/>
      <w:lvlText w:val="•"/>
      <w:lvlJc w:val="left"/>
      <w:pPr>
        <w:ind w:left="2989" w:hanging="253"/>
      </w:pPr>
      <w:rPr>
        <w:rFonts w:hint="default"/>
        <w:lang w:val="es-ES" w:eastAsia="es-ES" w:bidi="es-ES"/>
      </w:rPr>
    </w:lvl>
    <w:lvl w:ilvl="3">
      <w:start w:val="0"/>
      <w:numFmt w:val="bullet"/>
      <w:lvlText w:val="•"/>
      <w:lvlJc w:val="left"/>
      <w:pPr>
        <w:ind w:left="3943" w:hanging="253"/>
      </w:pPr>
      <w:rPr>
        <w:rFonts w:hint="default"/>
        <w:lang w:val="es-ES" w:eastAsia="es-ES" w:bidi="es-ES"/>
      </w:rPr>
    </w:lvl>
    <w:lvl w:ilvl="4">
      <w:start w:val="0"/>
      <w:numFmt w:val="bullet"/>
      <w:lvlText w:val="•"/>
      <w:lvlJc w:val="left"/>
      <w:pPr>
        <w:ind w:left="4898" w:hanging="253"/>
      </w:pPr>
      <w:rPr>
        <w:rFonts w:hint="default"/>
        <w:lang w:val="es-ES" w:eastAsia="es-ES" w:bidi="es-ES"/>
      </w:rPr>
    </w:lvl>
    <w:lvl w:ilvl="5">
      <w:start w:val="0"/>
      <w:numFmt w:val="bullet"/>
      <w:lvlText w:val="•"/>
      <w:lvlJc w:val="left"/>
      <w:pPr>
        <w:ind w:left="5852" w:hanging="253"/>
      </w:pPr>
      <w:rPr>
        <w:rFonts w:hint="default"/>
        <w:lang w:val="es-ES" w:eastAsia="es-ES" w:bidi="es-ES"/>
      </w:rPr>
    </w:lvl>
    <w:lvl w:ilvl="6">
      <w:start w:val="0"/>
      <w:numFmt w:val="bullet"/>
      <w:lvlText w:val="•"/>
      <w:lvlJc w:val="left"/>
      <w:pPr>
        <w:ind w:left="6807" w:hanging="253"/>
      </w:pPr>
      <w:rPr>
        <w:rFonts w:hint="default"/>
        <w:lang w:val="es-ES" w:eastAsia="es-ES" w:bidi="es-ES"/>
      </w:rPr>
    </w:lvl>
    <w:lvl w:ilvl="7">
      <w:start w:val="0"/>
      <w:numFmt w:val="bullet"/>
      <w:lvlText w:val="•"/>
      <w:lvlJc w:val="left"/>
      <w:pPr>
        <w:ind w:left="7761" w:hanging="253"/>
      </w:pPr>
      <w:rPr>
        <w:rFonts w:hint="default"/>
        <w:lang w:val="es-ES" w:eastAsia="es-ES" w:bidi="es-ES"/>
      </w:rPr>
    </w:lvl>
    <w:lvl w:ilvl="8">
      <w:start w:val="0"/>
      <w:numFmt w:val="bullet"/>
      <w:lvlText w:val="•"/>
      <w:lvlJc w:val="left"/>
      <w:pPr>
        <w:ind w:left="8716" w:hanging="253"/>
      </w:pPr>
      <w:rPr>
        <w:rFonts w:hint="default"/>
        <w:lang w:val="es-ES" w:eastAsia="es-ES" w:bidi="es-ES"/>
      </w:rPr>
    </w:lvl>
  </w:abstractNum>
  <w:abstractNum w:abstractNumId="165">
    <w:multiLevelType w:val="hybridMultilevel"/>
    <w:lvl w:ilvl="0">
      <w:start w:val="1"/>
      <w:numFmt w:val="lowerLetter"/>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164">
    <w:multiLevelType w:val="hybridMultilevel"/>
    <w:lvl w:ilvl="0">
      <w:start w:val="1"/>
      <w:numFmt w:val="lowerLetter"/>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163">
    <w:multiLevelType w:val="hybridMultilevel"/>
    <w:lvl w:ilvl="0">
      <w:start w:val="1"/>
      <w:numFmt w:val="decimal"/>
      <w:lvlText w:val="%1."/>
      <w:lvlJc w:val="left"/>
      <w:pPr>
        <w:ind w:left="1074" w:hanging="271"/>
        <w:jc w:val="left"/>
      </w:pPr>
      <w:rPr>
        <w:rFonts w:hint="default" w:ascii="Arial" w:hAnsi="Arial" w:eastAsia="Arial" w:cs="Arial"/>
        <w:spacing w:val="-8"/>
        <w:w w:val="100"/>
        <w:sz w:val="20"/>
        <w:szCs w:val="20"/>
        <w:lang w:val="es-ES" w:eastAsia="es-ES" w:bidi="es-ES"/>
      </w:rPr>
    </w:lvl>
    <w:lvl w:ilvl="1">
      <w:start w:val="0"/>
      <w:numFmt w:val="bullet"/>
      <w:lvlText w:val="•"/>
      <w:lvlJc w:val="left"/>
      <w:pPr>
        <w:ind w:left="2034" w:hanging="271"/>
      </w:pPr>
      <w:rPr>
        <w:rFonts w:hint="default"/>
        <w:lang w:val="es-ES" w:eastAsia="es-ES" w:bidi="es-ES"/>
      </w:rPr>
    </w:lvl>
    <w:lvl w:ilvl="2">
      <w:start w:val="0"/>
      <w:numFmt w:val="bullet"/>
      <w:lvlText w:val="•"/>
      <w:lvlJc w:val="left"/>
      <w:pPr>
        <w:ind w:left="2989" w:hanging="271"/>
      </w:pPr>
      <w:rPr>
        <w:rFonts w:hint="default"/>
        <w:lang w:val="es-ES" w:eastAsia="es-ES" w:bidi="es-ES"/>
      </w:rPr>
    </w:lvl>
    <w:lvl w:ilvl="3">
      <w:start w:val="0"/>
      <w:numFmt w:val="bullet"/>
      <w:lvlText w:val="•"/>
      <w:lvlJc w:val="left"/>
      <w:pPr>
        <w:ind w:left="3943" w:hanging="271"/>
      </w:pPr>
      <w:rPr>
        <w:rFonts w:hint="default"/>
        <w:lang w:val="es-ES" w:eastAsia="es-ES" w:bidi="es-ES"/>
      </w:rPr>
    </w:lvl>
    <w:lvl w:ilvl="4">
      <w:start w:val="0"/>
      <w:numFmt w:val="bullet"/>
      <w:lvlText w:val="•"/>
      <w:lvlJc w:val="left"/>
      <w:pPr>
        <w:ind w:left="4898" w:hanging="271"/>
      </w:pPr>
      <w:rPr>
        <w:rFonts w:hint="default"/>
        <w:lang w:val="es-ES" w:eastAsia="es-ES" w:bidi="es-ES"/>
      </w:rPr>
    </w:lvl>
    <w:lvl w:ilvl="5">
      <w:start w:val="0"/>
      <w:numFmt w:val="bullet"/>
      <w:lvlText w:val="•"/>
      <w:lvlJc w:val="left"/>
      <w:pPr>
        <w:ind w:left="5852" w:hanging="271"/>
      </w:pPr>
      <w:rPr>
        <w:rFonts w:hint="default"/>
        <w:lang w:val="es-ES" w:eastAsia="es-ES" w:bidi="es-ES"/>
      </w:rPr>
    </w:lvl>
    <w:lvl w:ilvl="6">
      <w:start w:val="0"/>
      <w:numFmt w:val="bullet"/>
      <w:lvlText w:val="•"/>
      <w:lvlJc w:val="left"/>
      <w:pPr>
        <w:ind w:left="6807" w:hanging="271"/>
      </w:pPr>
      <w:rPr>
        <w:rFonts w:hint="default"/>
        <w:lang w:val="es-ES" w:eastAsia="es-ES" w:bidi="es-ES"/>
      </w:rPr>
    </w:lvl>
    <w:lvl w:ilvl="7">
      <w:start w:val="0"/>
      <w:numFmt w:val="bullet"/>
      <w:lvlText w:val="•"/>
      <w:lvlJc w:val="left"/>
      <w:pPr>
        <w:ind w:left="7761" w:hanging="271"/>
      </w:pPr>
      <w:rPr>
        <w:rFonts w:hint="default"/>
        <w:lang w:val="es-ES" w:eastAsia="es-ES" w:bidi="es-ES"/>
      </w:rPr>
    </w:lvl>
    <w:lvl w:ilvl="8">
      <w:start w:val="0"/>
      <w:numFmt w:val="bullet"/>
      <w:lvlText w:val="•"/>
      <w:lvlJc w:val="left"/>
      <w:pPr>
        <w:ind w:left="8716" w:hanging="271"/>
      </w:pPr>
      <w:rPr>
        <w:rFonts w:hint="default"/>
        <w:lang w:val="es-ES" w:eastAsia="es-ES" w:bidi="es-ES"/>
      </w:rPr>
    </w:lvl>
  </w:abstractNum>
  <w:abstractNum w:abstractNumId="162">
    <w:multiLevelType w:val="hybridMultilevel"/>
    <w:lvl w:ilvl="0">
      <w:start w:val="1"/>
      <w:numFmt w:val="decimal"/>
      <w:lvlText w:val="%1."/>
      <w:lvlJc w:val="left"/>
      <w:pPr>
        <w:ind w:left="1074" w:hanging="268"/>
        <w:jc w:val="left"/>
      </w:pPr>
      <w:rPr>
        <w:rFonts w:hint="default" w:ascii="Arial" w:hAnsi="Arial" w:eastAsia="Arial" w:cs="Arial"/>
        <w:spacing w:val="-11"/>
        <w:w w:val="100"/>
        <w:sz w:val="20"/>
        <w:szCs w:val="20"/>
        <w:lang w:val="es-ES" w:eastAsia="es-ES" w:bidi="es-ES"/>
      </w:rPr>
    </w:lvl>
    <w:lvl w:ilvl="1">
      <w:start w:val="0"/>
      <w:numFmt w:val="bullet"/>
      <w:lvlText w:val="•"/>
      <w:lvlJc w:val="left"/>
      <w:pPr>
        <w:ind w:left="2034" w:hanging="268"/>
      </w:pPr>
      <w:rPr>
        <w:rFonts w:hint="default"/>
        <w:lang w:val="es-ES" w:eastAsia="es-ES" w:bidi="es-ES"/>
      </w:rPr>
    </w:lvl>
    <w:lvl w:ilvl="2">
      <w:start w:val="0"/>
      <w:numFmt w:val="bullet"/>
      <w:lvlText w:val="•"/>
      <w:lvlJc w:val="left"/>
      <w:pPr>
        <w:ind w:left="2989" w:hanging="268"/>
      </w:pPr>
      <w:rPr>
        <w:rFonts w:hint="default"/>
        <w:lang w:val="es-ES" w:eastAsia="es-ES" w:bidi="es-ES"/>
      </w:rPr>
    </w:lvl>
    <w:lvl w:ilvl="3">
      <w:start w:val="0"/>
      <w:numFmt w:val="bullet"/>
      <w:lvlText w:val="•"/>
      <w:lvlJc w:val="left"/>
      <w:pPr>
        <w:ind w:left="3943" w:hanging="268"/>
      </w:pPr>
      <w:rPr>
        <w:rFonts w:hint="default"/>
        <w:lang w:val="es-ES" w:eastAsia="es-ES" w:bidi="es-ES"/>
      </w:rPr>
    </w:lvl>
    <w:lvl w:ilvl="4">
      <w:start w:val="0"/>
      <w:numFmt w:val="bullet"/>
      <w:lvlText w:val="•"/>
      <w:lvlJc w:val="left"/>
      <w:pPr>
        <w:ind w:left="4898" w:hanging="268"/>
      </w:pPr>
      <w:rPr>
        <w:rFonts w:hint="default"/>
        <w:lang w:val="es-ES" w:eastAsia="es-ES" w:bidi="es-ES"/>
      </w:rPr>
    </w:lvl>
    <w:lvl w:ilvl="5">
      <w:start w:val="0"/>
      <w:numFmt w:val="bullet"/>
      <w:lvlText w:val="•"/>
      <w:lvlJc w:val="left"/>
      <w:pPr>
        <w:ind w:left="5852" w:hanging="268"/>
      </w:pPr>
      <w:rPr>
        <w:rFonts w:hint="default"/>
        <w:lang w:val="es-ES" w:eastAsia="es-ES" w:bidi="es-ES"/>
      </w:rPr>
    </w:lvl>
    <w:lvl w:ilvl="6">
      <w:start w:val="0"/>
      <w:numFmt w:val="bullet"/>
      <w:lvlText w:val="•"/>
      <w:lvlJc w:val="left"/>
      <w:pPr>
        <w:ind w:left="6807" w:hanging="268"/>
      </w:pPr>
      <w:rPr>
        <w:rFonts w:hint="default"/>
        <w:lang w:val="es-ES" w:eastAsia="es-ES" w:bidi="es-ES"/>
      </w:rPr>
    </w:lvl>
    <w:lvl w:ilvl="7">
      <w:start w:val="0"/>
      <w:numFmt w:val="bullet"/>
      <w:lvlText w:val="•"/>
      <w:lvlJc w:val="left"/>
      <w:pPr>
        <w:ind w:left="7761" w:hanging="268"/>
      </w:pPr>
      <w:rPr>
        <w:rFonts w:hint="default"/>
        <w:lang w:val="es-ES" w:eastAsia="es-ES" w:bidi="es-ES"/>
      </w:rPr>
    </w:lvl>
    <w:lvl w:ilvl="8">
      <w:start w:val="0"/>
      <w:numFmt w:val="bullet"/>
      <w:lvlText w:val="•"/>
      <w:lvlJc w:val="left"/>
      <w:pPr>
        <w:ind w:left="8716" w:hanging="268"/>
      </w:pPr>
      <w:rPr>
        <w:rFonts w:hint="default"/>
        <w:lang w:val="es-ES" w:eastAsia="es-ES" w:bidi="es-ES"/>
      </w:rPr>
    </w:lvl>
  </w:abstractNum>
  <w:abstractNum w:abstractNumId="161">
    <w:multiLevelType w:val="hybridMultilevel"/>
    <w:lvl w:ilvl="0">
      <w:start w:val="1"/>
      <w:numFmt w:val="decimal"/>
      <w:lvlText w:val="%1."/>
      <w:lvlJc w:val="left"/>
      <w:pPr>
        <w:ind w:left="1074" w:hanging="275"/>
        <w:jc w:val="left"/>
      </w:pPr>
      <w:rPr>
        <w:rFonts w:hint="default" w:ascii="Arial" w:hAnsi="Arial" w:eastAsia="Arial" w:cs="Arial"/>
        <w:spacing w:val="-4"/>
        <w:w w:val="100"/>
        <w:sz w:val="20"/>
        <w:szCs w:val="20"/>
        <w:lang w:val="es-ES" w:eastAsia="es-ES" w:bidi="es-ES"/>
      </w:rPr>
    </w:lvl>
    <w:lvl w:ilvl="1">
      <w:start w:val="0"/>
      <w:numFmt w:val="bullet"/>
      <w:lvlText w:val="•"/>
      <w:lvlJc w:val="left"/>
      <w:pPr>
        <w:ind w:left="2034" w:hanging="275"/>
      </w:pPr>
      <w:rPr>
        <w:rFonts w:hint="default"/>
        <w:lang w:val="es-ES" w:eastAsia="es-ES" w:bidi="es-ES"/>
      </w:rPr>
    </w:lvl>
    <w:lvl w:ilvl="2">
      <w:start w:val="0"/>
      <w:numFmt w:val="bullet"/>
      <w:lvlText w:val="•"/>
      <w:lvlJc w:val="left"/>
      <w:pPr>
        <w:ind w:left="2989" w:hanging="275"/>
      </w:pPr>
      <w:rPr>
        <w:rFonts w:hint="default"/>
        <w:lang w:val="es-ES" w:eastAsia="es-ES" w:bidi="es-ES"/>
      </w:rPr>
    </w:lvl>
    <w:lvl w:ilvl="3">
      <w:start w:val="0"/>
      <w:numFmt w:val="bullet"/>
      <w:lvlText w:val="•"/>
      <w:lvlJc w:val="left"/>
      <w:pPr>
        <w:ind w:left="3943" w:hanging="275"/>
      </w:pPr>
      <w:rPr>
        <w:rFonts w:hint="default"/>
        <w:lang w:val="es-ES" w:eastAsia="es-ES" w:bidi="es-ES"/>
      </w:rPr>
    </w:lvl>
    <w:lvl w:ilvl="4">
      <w:start w:val="0"/>
      <w:numFmt w:val="bullet"/>
      <w:lvlText w:val="•"/>
      <w:lvlJc w:val="left"/>
      <w:pPr>
        <w:ind w:left="4898" w:hanging="275"/>
      </w:pPr>
      <w:rPr>
        <w:rFonts w:hint="default"/>
        <w:lang w:val="es-ES" w:eastAsia="es-ES" w:bidi="es-ES"/>
      </w:rPr>
    </w:lvl>
    <w:lvl w:ilvl="5">
      <w:start w:val="0"/>
      <w:numFmt w:val="bullet"/>
      <w:lvlText w:val="•"/>
      <w:lvlJc w:val="left"/>
      <w:pPr>
        <w:ind w:left="5852" w:hanging="275"/>
      </w:pPr>
      <w:rPr>
        <w:rFonts w:hint="default"/>
        <w:lang w:val="es-ES" w:eastAsia="es-ES" w:bidi="es-ES"/>
      </w:rPr>
    </w:lvl>
    <w:lvl w:ilvl="6">
      <w:start w:val="0"/>
      <w:numFmt w:val="bullet"/>
      <w:lvlText w:val="•"/>
      <w:lvlJc w:val="left"/>
      <w:pPr>
        <w:ind w:left="6807" w:hanging="275"/>
      </w:pPr>
      <w:rPr>
        <w:rFonts w:hint="default"/>
        <w:lang w:val="es-ES" w:eastAsia="es-ES" w:bidi="es-ES"/>
      </w:rPr>
    </w:lvl>
    <w:lvl w:ilvl="7">
      <w:start w:val="0"/>
      <w:numFmt w:val="bullet"/>
      <w:lvlText w:val="•"/>
      <w:lvlJc w:val="left"/>
      <w:pPr>
        <w:ind w:left="7761" w:hanging="275"/>
      </w:pPr>
      <w:rPr>
        <w:rFonts w:hint="default"/>
        <w:lang w:val="es-ES" w:eastAsia="es-ES" w:bidi="es-ES"/>
      </w:rPr>
    </w:lvl>
    <w:lvl w:ilvl="8">
      <w:start w:val="0"/>
      <w:numFmt w:val="bullet"/>
      <w:lvlText w:val="•"/>
      <w:lvlJc w:val="left"/>
      <w:pPr>
        <w:ind w:left="8716" w:hanging="275"/>
      </w:pPr>
      <w:rPr>
        <w:rFonts w:hint="default"/>
        <w:lang w:val="es-ES" w:eastAsia="es-ES" w:bidi="es-ES"/>
      </w:rPr>
    </w:lvl>
  </w:abstractNum>
  <w:abstractNum w:abstractNumId="160">
    <w:multiLevelType w:val="hybridMultilevel"/>
    <w:lvl w:ilvl="0">
      <w:start w:val="1"/>
      <w:numFmt w:val="decimal"/>
      <w:lvlText w:val="%1."/>
      <w:lvlJc w:val="left"/>
      <w:pPr>
        <w:ind w:left="1074" w:hanging="23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9"/>
      </w:pPr>
      <w:rPr>
        <w:rFonts w:hint="default"/>
        <w:lang w:val="es-ES" w:eastAsia="es-ES" w:bidi="es-ES"/>
      </w:rPr>
    </w:lvl>
    <w:lvl w:ilvl="2">
      <w:start w:val="0"/>
      <w:numFmt w:val="bullet"/>
      <w:lvlText w:val="•"/>
      <w:lvlJc w:val="left"/>
      <w:pPr>
        <w:ind w:left="2989" w:hanging="239"/>
      </w:pPr>
      <w:rPr>
        <w:rFonts w:hint="default"/>
        <w:lang w:val="es-ES" w:eastAsia="es-ES" w:bidi="es-ES"/>
      </w:rPr>
    </w:lvl>
    <w:lvl w:ilvl="3">
      <w:start w:val="0"/>
      <w:numFmt w:val="bullet"/>
      <w:lvlText w:val="•"/>
      <w:lvlJc w:val="left"/>
      <w:pPr>
        <w:ind w:left="3943" w:hanging="239"/>
      </w:pPr>
      <w:rPr>
        <w:rFonts w:hint="default"/>
        <w:lang w:val="es-ES" w:eastAsia="es-ES" w:bidi="es-ES"/>
      </w:rPr>
    </w:lvl>
    <w:lvl w:ilvl="4">
      <w:start w:val="0"/>
      <w:numFmt w:val="bullet"/>
      <w:lvlText w:val="•"/>
      <w:lvlJc w:val="left"/>
      <w:pPr>
        <w:ind w:left="4898" w:hanging="239"/>
      </w:pPr>
      <w:rPr>
        <w:rFonts w:hint="default"/>
        <w:lang w:val="es-ES" w:eastAsia="es-ES" w:bidi="es-ES"/>
      </w:rPr>
    </w:lvl>
    <w:lvl w:ilvl="5">
      <w:start w:val="0"/>
      <w:numFmt w:val="bullet"/>
      <w:lvlText w:val="•"/>
      <w:lvlJc w:val="left"/>
      <w:pPr>
        <w:ind w:left="5852" w:hanging="239"/>
      </w:pPr>
      <w:rPr>
        <w:rFonts w:hint="default"/>
        <w:lang w:val="es-ES" w:eastAsia="es-ES" w:bidi="es-ES"/>
      </w:rPr>
    </w:lvl>
    <w:lvl w:ilvl="6">
      <w:start w:val="0"/>
      <w:numFmt w:val="bullet"/>
      <w:lvlText w:val="•"/>
      <w:lvlJc w:val="left"/>
      <w:pPr>
        <w:ind w:left="6807" w:hanging="239"/>
      </w:pPr>
      <w:rPr>
        <w:rFonts w:hint="default"/>
        <w:lang w:val="es-ES" w:eastAsia="es-ES" w:bidi="es-ES"/>
      </w:rPr>
    </w:lvl>
    <w:lvl w:ilvl="7">
      <w:start w:val="0"/>
      <w:numFmt w:val="bullet"/>
      <w:lvlText w:val="•"/>
      <w:lvlJc w:val="left"/>
      <w:pPr>
        <w:ind w:left="7761" w:hanging="239"/>
      </w:pPr>
      <w:rPr>
        <w:rFonts w:hint="default"/>
        <w:lang w:val="es-ES" w:eastAsia="es-ES" w:bidi="es-ES"/>
      </w:rPr>
    </w:lvl>
    <w:lvl w:ilvl="8">
      <w:start w:val="0"/>
      <w:numFmt w:val="bullet"/>
      <w:lvlText w:val="•"/>
      <w:lvlJc w:val="left"/>
      <w:pPr>
        <w:ind w:left="8716" w:hanging="239"/>
      </w:pPr>
      <w:rPr>
        <w:rFonts w:hint="default"/>
        <w:lang w:val="es-ES" w:eastAsia="es-ES" w:bidi="es-ES"/>
      </w:rPr>
    </w:lvl>
  </w:abstractNum>
  <w:abstractNum w:abstractNumId="159">
    <w:multiLevelType w:val="hybridMultilevel"/>
    <w:lvl w:ilvl="0">
      <w:start w:val="1"/>
      <w:numFmt w:val="lowerLetter"/>
      <w:lvlText w:val="%1)"/>
      <w:lvlJc w:val="left"/>
      <w:pPr>
        <w:ind w:left="1074" w:hanging="25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6"/>
      </w:pPr>
      <w:rPr>
        <w:rFonts w:hint="default"/>
        <w:lang w:val="es-ES" w:eastAsia="es-ES" w:bidi="es-ES"/>
      </w:rPr>
    </w:lvl>
    <w:lvl w:ilvl="2">
      <w:start w:val="0"/>
      <w:numFmt w:val="bullet"/>
      <w:lvlText w:val="•"/>
      <w:lvlJc w:val="left"/>
      <w:pPr>
        <w:ind w:left="2989" w:hanging="256"/>
      </w:pPr>
      <w:rPr>
        <w:rFonts w:hint="default"/>
        <w:lang w:val="es-ES" w:eastAsia="es-ES" w:bidi="es-ES"/>
      </w:rPr>
    </w:lvl>
    <w:lvl w:ilvl="3">
      <w:start w:val="0"/>
      <w:numFmt w:val="bullet"/>
      <w:lvlText w:val="•"/>
      <w:lvlJc w:val="left"/>
      <w:pPr>
        <w:ind w:left="3943" w:hanging="256"/>
      </w:pPr>
      <w:rPr>
        <w:rFonts w:hint="default"/>
        <w:lang w:val="es-ES" w:eastAsia="es-ES" w:bidi="es-ES"/>
      </w:rPr>
    </w:lvl>
    <w:lvl w:ilvl="4">
      <w:start w:val="0"/>
      <w:numFmt w:val="bullet"/>
      <w:lvlText w:val="•"/>
      <w:lvlJc w:val="left"/>
      <w:pPr>
        <w:ind w:left="4898" w:hanging="256"/>
      </w:pPr>
      <w:rPr>
        <w:rFonts w:hint="default"/>
        <w:lang w:val="es-ES" w:eastAsia="es-ES" w:bidi="es-ES"/>
      </w:rPr>
    </w:lvl>
    <w:lvl w:ilvl="5">
      <w:start w:val="0"/>
      <w:numFmt w:val="bullet"/>
      <w:lvlText w:val="•"/>
      <w:lvlJc w:val="left"/>
      <w:pPr>
        <w:ind w:left="5852" w:hanging="256"/>
      </w:pPr>
      <w:rPr>
        <w:rFonts w:hint="default"/>
        <w:lang w:val="es-ES" w:eastAsia="es-ES" w:bidi="es-ES"/>
      </w:rPr>
    </w:lvl>
    <w:lvl w:ilvl="6">
      <w:start w:val="0"/>
      <w:numFmt w:val="bullet"/>
      <w:lvlText w:val="•"/>
      <w:lvlJc w:val="left"/>
      <w:pPr>
        <w:ind w:left="6807" w:hanging="256"/>
      </w:pPr>
      <w:rPr>
        <w:rFonts w:hint="default"/>
        <w:lang w:val="es-ES" w:eastAsia="es-ES" w:bidi="es-ES"/>
      </w:rPr>
    </w:lvl>
    <w:lvl w:ilvl="7">
      <w:start w:val="0"/>
      <w:numFmt w:val="bullet"/>
      <w:lvlText w:val="•"/>
      <w:lvlJc w:val="left"/>
      <w:pPr>
        <w:ind w:left="7761" w:hanging="256"/>
      </w:pPr>
      <w:rPr>
        <w:rFonts w:hint="default"/>
        <w:lang w:val="es-ES" w:eastAsia="es-ES" w:bidi="es-ES"/>
      </w:rPr>
    </w:lvl>
    <w:lvl w:ilvl="8">
      <w:start w:val="0"/>
      <w:numFmt w:val="bullet"/>
      <w:lvlText w:val="•"/>
      <w:lvlJc w:val="left"/>
      <w:pPr>
        <w:ind w:left="8716" w:hanging="256"/>
      </w:pPr>
      <w:rPr>
        <w:rFonts w:hint="default"/>
        <w:lang w:val="es-ES" w:eastAsia="es-ES" w:bidi="es-ES"/>
      </w:rPr>
    </w:lvl>
  </w:abstractNum>
  <w:abstractNum w:abstractNumId="158">
    <w:multiLevelType w:val="hybridMultilevel"/>
    <w:lvl w:ilvl="0">
      <w:start w:val="1"/>
      <w:numFmt w:val="lowerLetter"/>
      <w:lvlText w:val="%1)"/>
      <w:lvlJc w:val="left"/>
      <w:pPr>
        <w:ind w:left="1074" w:hanging="25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3"/>
      </w:pPr>
      <w:rPr>
        <w:rFonts w:hint="default"/>
        <w:lang w:val="es-ES" w:eastAsia="es-ES" w:bidi="es-ES"/>
      </w:rPr>
    </w:lvl>
    <w:lvl w:ilvl="2">
      <w:start w:val="0"/>
      <w:numFmt w:val="bullet"/>
      <w:lvlText w:val="•"/>
      <w:lvlJc w:val="left"/>
      <w:pPr>
        <w:ind w:left="2989" w:hanging="253"/>
      </w:pPr>
      <w:rPr>
        <w:rFonts w:hint="default"/>
        <w:lang w:val="es-ES" w:eastAsia="es-ES" w:bidi="es-ES"/>
      </w:rPr>
    </w:lvl>
    <w:lvl w:ilvl="3">
      <w:start w:val="0"/>
      <w:numFmt w:val="bullet"/>
      <w:lvlText w:val="•"/>
      <w:lvlJc w:val="left"/>
      <w:pPr>
        <w:ind w:left="3943" w:hanging="253"/>
      </w:pPr>
      <w:rPr>
        <w:rFonts w:hint="default"/>
        <w:lang w:val="es-ES" w:eastAsia="es-ES" w:bidi="es-ES"/>
      </w:rPr>
    </w:lvl>
    <w:lvl w:ilvl="4">
      <w:start w:val="0"/>
      <w:numFmt w:val="bullet"/>
      <w:lvlText w:val="•"/>
      <w:lvlJc w:val="left"/>
      <w:pPr>
        <w:ind w:left="4898" w:hanging="253"/>
      </w:pPr>
      <w:rPr>
        <w:rFonts w:hint="default"/>
        <w:lang w:val="es-ES" w:eastAsia="es-ES" w:bidi="es-ES"/>
      </w:rPr>
    </w:lvl>
    <w:lvl w:ilvl="5">
      <w:start w:val="0"/>
      <w:numFmt w:val="bullet"/>
      <w:lvlText w:val="•"/>
      <w:lvlJc w:val="left"/>
      <w:pPr>
        <w:ind w:left="5852" w:hanging="253"/>
      </w:pPr>
      <w:rPr>
        <w:rFonts w:hint="default"/>
        <w:lang w:val="es-ES" w:eastAsia="es-ES" w:bidi="es-ES"/>
      </w:rPr>
    </w:lvl>
    <w:lvl w:ilvl="6">
      <w:start w:val="0"/>
      <w:numFmt w:val="bullet"/>
      <w:lvlText w:val="•"/>
      <w:lvlJc w:val="left"/>
      <w:pPr>
        <w:ind w:left="6807" w:hanging="253"/>
      </w:pPr>
      <w:rPr>
        <w:rFonts w:hint="default"/>
        <w:lang w:val="es-ES" w:eastAsia="es-ES" w:bidi="es-ES"/>
      </w:rPr>
    </w:lvl>
    <w:lvl w:ilvl="7">
      <w:start w:val="0"/>
      <w:numFmt w:val="bullet"/>
      <w:lvlText w:val="•"/>
      <w:lvlJc w:val="left"/>
      <w:pPr>
        <w:ind w:left="7761" w:hanging="253"/>
      </w:pPr>
      <w:rPr>
        <w:rFonts w:hint="default"/>
        <w:lang w:val="es-ES" w:eastAsia="es-ES" w:bidi="es-ES"/>
      </w:rPr>
    </w:lvl>
    <w:lvl w:ilvl="8">
      <w:start w:val="0"/>
      <w:numFmt w:val="bullet"/>
      <w:lvlText w:val="•"/>
      <w:lvlJc w:val="left"/>
      <w:pPr>
        <w:ind w:left="8716" w:hanging="253"/>
      </w:pPr>
      <w:rPr>
        <w:rFonts w:hint="default"/>
        <w:lang w:val="es-ES" w:eastAsia="es-ES" w:bidi="es-ES"/>
      </w:rPr>
    </w:lvl>
  </w:abstractNum>
  <w:abstractNum w:abstractNumId="157">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156">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155">
    <w:multiLevelType w:val="hybridMultilevel"/>
    <w:lvl w:ilvl="0">
      <w:start w:val="1"/>
      <w:numFmt w:val="decimal"/>
      <w:lvlText w:val="%1."/>
      <w:lvlJc w:val="left"/>
      <w:pPr>
        <w:ind w:left="1074" w:hanging="29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5"/>
      </w:pPr>
      <w:rPr>
        <w:rFonts w:hint="default"/>
        <w:lang w:val="es-ES" w:eastAsia="es-ES" w:bidi="es-ES"/>
      </w:rPr>
    </w:lvl>
    <w:lvl w:ilvl="2">
      <w:start w:val="0"/>
      <w:numFmt w:val="bullet"/>
      <w:lvlText w:val="•"/>
      <w:lvlJc w:val="left"/>
      <w:pPr>
        <w:ind w:left="2989" w:hanging="295"/>
      </w:pPr>
      <w:rPr>
        <w:rFonts w:hint="default"/>
        <w:lang w:val="es-ES" w:eastAsia="es-ES" w:bidi="es-ES"/>
      </w:rPr>
    </w:lvl>
    <w:lvl w:ilvl="3">
      <w:start w:val="0"/>
      <w:numFmt w:val="bullet"/>
      <w:lvlText w:val="•"/>
      <w:lvlJc w:val="left"/>
      <w:pPr>
        <w:ind w:left="3943" w:hanging="295"/>
      </w:pPr>
      <w:rPr>
        <w:rFonts w:hint="default"/>
        <w:lang w:val="es-ES" w:eastAsia="es-ES" w:bidi="es-ES"/>
      </w:rPr>
    </w:lvl>
    <w:lvl w:ilvl="4">
      <w:start w:val="0"/>
      <w:numFmt w:val="bullet"/>
      <w:lvlText w:val="•"/>
      <w:lvlJc w:val="left"/>
      <w:pPr>
        <w:ind w:left="4898" w:hanging="295"/>
      </w:pPr>
      <w:rPr>
        <w:rFonts w:hint="default"/>
        <w:lang w:val="es-ES" w:eastAsia="es-ES" w:bidi="es-ES"/>
      </w:rPr>
    </w:lvl>
    <w:lvl w:ilvl="5">
      <w:start w:val="0"/>
      <w:numFmt w:val="bullet"/>
      <w:lvlText w:val="•"/>
      <w:lvlJc w:val="left"/>
      <w:pPr>
        <w:ind w:left="5852" w:hanging="295"/>
      </w:pPr>
      <w:rPr>
        <w:rFonts w:hint="default"/>
        <w:lang w:val="es-ES" w:eastAsia="es-ES" w:bidi="es-ES"/>
      </w:rPr>
    </w:lvl>
    <w:lvl w:ilvl="6">
      <w:start w:val="0"/>
      <w:numFmt w:val="bullet"/>
      <w:lvlText w:val="•"/>
      <w:lvlJc w:val="left"/>
      <w:pPr>
        <w:ind w:left="6807" w:hanging="295"/>
      </w:pPr>
      <w:rPr>
        <w:rFonts w:hint="default"/>
        <w:lang w:val="es-ES" w:eastAsia="es-ES" w:bidi="es-ES"/>
      </w:rPr>
    </w:lvl>
    <w:lvl w:ilvl="7">
      <w:start w:val="0"/>
      <w:numFmt w:val="bullet"/>
      <w:lvlText w:val="•"/>
      <w:lvlJc w:val="left"/>
      <w:pPr>
        <w:ind w:left="7761" w:hanging="295"/>
      </w:pPr>
      <w:rPr>
        <w:rFonts w:hint="default"/>
        <w:lang w:val="es-ES" w:eastAsia="es-ES" w:bidi="es-ES"/>
      </w:rPr>
    </w:lvl>
    <w:lvl w:ilvl="8">
      <w:start w:val="0"/>
      <w:numFmt w:val="bullet"/>
      <w:lvlText w:val="•"/>
      <w:lvlJc w:val="left"/>
      <w:pPr>
        <w:ind w:left="8716" w:hanging="295"/>
      </w:pPr>
      <w:rPr>
        <w:rFonts w:hint="default"/>
        <w:lang w:val="es-ES" w:eastAsia="es-ES" w:bidi="es-ES"/>
      </w:rPr>
    </w:lvl>
  </w:abstractNum>
  <w:abstractNum w:abstractNumId="154">
    <w:multiLevelType w:val="hybridMultilevel"/>
    <w:lvl w:ilvl="0">
      <w:start w:val="1"/>
      <w:numFmt w:val="lowerLetter"/>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153">
    <w:multiLevelType w:val="hybridMultilevel"/>
    <w:lvl w:ilvl="0">
      <w:start w:val="1"/>
      <w:numFmt w:val="decimal"/>
      <w:lvlText w:val="%1."/>
      <w:lvlJc w:val="left"/>
      <w:pPr>
        <w:ind w:left="1074" w:hanging="22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5"/>
      </w:pPr>
      <w:rPr>
        <w:rFonts w:hint="default"/>
        <w:lang w:val="es-ES" w:eastAsia="es-ES" w:bidi="es-ES"/>
      </w:rPr>
    </w:lvl>
    <w:lvl w:ilvl="2">
      <w:start w:val="0"/>
      <w:numFmt w:val="bullet"/>
      <w:lvlText w:val="•"/>
      <w:lvlJc w:val="left"/>
      <w:pPr>
        <w:ind w:left="2989" w:hanging="225"/>
      </w:pPr>
      <w:rPr>
        <w:rFonts w:hint="default"/>
        <w:lang w:val="es-ES" w:eastAsia="es-ES" w:bidi="es-ES"/>
      </w:rPr>
    </w:lvl>
    <w:lvl w:ilvl="3">
      <w:start w:val="0"/>
      <w:numFmt w:val="bullet"/>
      <w:lvlText w:val="•"/>
      <w:lvlJc w:val="left"/>
      <w:pPr>
        <w:ind w:left="3943" w:hanging="225"/>
      </w:pPr>
      <w:rPr>
        <w:rFonts w:hint="default"/>
        <w:lang w:val="es-ES" w:eastAsia="es-ES" w:bidi="es-ES"/>
      </w:rPr>
    </w:lvl>
    <w:lvl w:ilvl="4">
      <w:start w:val="0"/>
      <w:numFmt w:val="bullet"/>
      <w:lvlText w:val="•"/>
      <w:lvlJc w:val="left"/>
      <w:pPr>
        <w:ind w:left="4898" w:hanging="225"/>
      </w:pPr>
      <w:rPr>
        <w:rFonts w:hint="default"/>
        <w:lang w:val="es-ES" w:eastAsia="es-ES" w:bidi="es-ES"/>
      </w:rPr>
    </w:lvl>
    <w:lvl w:ilvl="5">
      <w:start w:val="0"/>
      <w:numFmt w:val="bullet"/>
      <w:lvlText w:val="•"/>
      <w:lvlJc w:val="left"/>
      <w:pPr>
        <w:ind w:left="5852" w:hanging="225"/>
      </w:pPr>
      <w:rPr>
        <w:rFonts w:hint="default"/>
        <w:lang w:val="es-ES" w:eastAsia="es-ES" w:bidi="es-ES"/>
      </w:rPr>
    </w:lvl>
    <w:lvl w:ilvl="6">
      <w:start w:val="0"/>
      <w:numFmt w:val="bullet"/>
      <w:lvlText w:val="•"/>
      <w:lvlJc w:val="left"/>
      <w:pPr>
        <w:ind w:left="6807" w:hanging="225"/>
      </w:pPr>
      <w:rPr>
        <w:rFonts w:hint="default"/>
        <w:lang w:val="es-ES" w:eastAsia="es-ES" w:bidi="es-ES"/>
      </w:rPr>
    </w:lvl>
    <w:lvl w:ilvl="7">
      <w:start w:val="0"/>
      <w:numFmt w:val="bullet"/>
      <w:lvlText w:val="•"/>
      <w:lvlJc w:val="left"/>
      <w:pPr>
        <w:ind w:left="7761" w:hanging="225"/>
      </w:pPr>
      <w:rPr>
        <w:rFonts w:hint="default"/>
        <w:lang w:val="es-ES" w:eastAsia="es-ES" w:bidi="es-ES"/>
      </w:rPr>
    </w:lvl>
    <w:lvl w:ilvl="8">
      <w:start w:val="0"/>
      <w:numFmt w:val="bullet"/>
      <w:lvlText w:val="•"/>
      <w:lvlJc w:val="left"/>
      <w:pPr>
        <w:ind w:left="8716" w:hanging="225"/>
      </w:pPr>
      <w:rPr>
        <w:rFonts w:hint="default"/>
        <w:lang w:val="es-ES" w:eastAsia="es-ES" w:bidi="es-ES"/>
      </w:rPr>
    </w:lvl>
  </w:abstractNum>
  <w:abstractNum w:abstractNumId="152">
    <w:multiLevelType w:val="hybridMultilevel"/>
    <w:lvl w:ilvl="0">
      <w:start w:val="1"/>
      <w:numFmt w:val="decimal"/>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151">
    <w:multiLevelType w:val="hybridMultilevel"/>
    <w:lvl w:ilvl="0">
      <w:start w:val="1"/>
      <w:numFmt w:val="decimal"/>
      <w:lvlText w:val="%1."/>
      <w:lvlJc w:val="left"/>
      <w:pPr>
        <w:ind w:left="1074" w:hanging="28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7"/>
      </w:pPr>
      <w:rPr>
        <w:rFonts w:hint="default"/>
        <w:lang w:val="es-ES" w:eastAsia="es-ES" w:bidi="es-ES"/>
      </w:rPr>
    </w:lvl>
    <w:lvl w:ilvl="2">
      <w:start w:val="0"/>
      <w:numFmt w:val="bullet"/>
      <w:lvlText w:val="•"/>
      <w:lvlJc w:val="left"/>
      <w:pPr>
        <w:ind w:left="2989" w:hanging="287"/>
      </w:pPr>
      <w:rPr>
        <w:rFonts w:hint="default"/>
        <w:lang w:val="es-ES" w:eastAsia="es-ES" w:bidi="es-ES"/>
      </w:rPr>
    </w:lvl>
    <w:lvl w:ilvl="3">
      <w:start w:val="0"/>
      <w:numFmt w:val="bullet"/>
      <w:lvlText w:val="•"/>
      <w:lvlJc w:val="left"/>
      <w:pPr>
        <w:ind w:left="3943" w:hanging="287"/>
      </w:pPr>
      <w:rPr>
        <w:rFonts w:hint="default"/>
        <w:lang w:val="es-ES" w:eastAsia="es-ES" w:bidi="es-ES"/>
      </w:rPr>
    </w:lvl>
    <w:lvl w:ilvl="4">
      <w:start w:val="0"/>
      <w:numFmt w:val="bullet"/>
      <w:lvlText w:val="•"/>
      <w:lvlJc w:val="left"/>
      <w:pPr>
        <w:ind w:left="4898" w:hanging="287"/>
      </w:pPr>
      <w:rPr>
        <w:rFonts w:hint="default"/>
        <w:lang w:val="es-ES" w:eastAsia="es-ES" w:bidi="es-ES"/>
      </w:rPr>
    </w:lvl>
    <w:lvl w:ilvl="5">
      <w:start w:val="0"/>
      <w:numFmt w:val="bullet"/>
      <w:lvlText w:val="•"/>
      <w:lvlJc w:val="left"/>
      <w:pPr>
        <w:ind w:left="5852" w:hanging="287"/>
      </w:pPr>
      <w:rPr>
        <w:rFonts w:hint="default"/>
        <w:lang w:val="es-ES" w:eastAsia="es-ES" w:bidi="es-ES"/>
      </w:rPr>
    </w:lvl>
    <w:lvl w:ilvl="6">
      <w:start w:val="0"/>
      <w:numFmt w:val="bullet"/>
      <w:lvlText w:val="•"/>
      <w:lvlJc w:val="left"/>
      <w:pPr>
        <w:ind w:left="6807" w:hanging="287"/>
      </w:pPr>
      <w:rPr>
        <w:rFonts w:hint="default"/>
        <w:lang w:val="es-ES" w:eastAsia="es-ES" w:bidi="es-ES"/>
      </w:rPr>
    </w:lvl>
    <w:lvl w:ilvl="7">
      <w:start w:val="0"/>
      <w:numFmt w:val="bullet"/>
      <w:lvlText w:val="•"/>
      <w:lvlJc w:val="left"/>
      <w:pPr>
        <w:ind w:left="7761" w:hanging="287"/>
      </w:pPr>
      <w:rPr>
        <w:rFonts w:hint="default"/>
        <w:lang w:val="es-ES" w:eastAsia="es-ES" w:bidi="es-ES"/>
      </w:rPr>
    </w:lvl>
    <w:lvl w:ilvl="8">
      <w:start w:val="0"/>
      <w:numFmt w:val="bullet"/>
      <w:lvlText w:val="•"/>
      <w:lvlJc w:val="left"/>
      <w:pPr>
        <w:ind w:left="8716" w:hanging="287"/>
      </w:pPr>
      <w:rPr>
        <w:rFonts w:hint="default"/>
        <w:lang w:val="es-ES" w:eastAsia="es-ES" w:bidi="es-ES"/>
      </w:rPr>
    </w:lvl>
  </w:abstractNum>
  <w:abstractNum w:abstractNumId="150">
    <w:multiLevelType w:val="hybridMultilevel"/>
    <w:lvl w:ilvl="0">
      <w:start w:val="2"/>
      <w:numFmt w:val="decimal"/>
      <w:lvlText w:val="%1."/>
      <w:lvlJc w:val="left"/>
      <w:pPr>
        <w:ind w:left="107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6"/>
      </w:pPr>
      <w:rPr>
        <w:rFonts w:hint="default"/>
        <w:lang w:val="es-ES" w:eastAsia="es-ES" w:bidi="es-ES"/>
      </w:rPr>
    </w:lvl>
    <w:lvl w:ilvl="2">
      <w:start w:val="0"/>
      <w:numFmt w:val="bullet"/>
      <w:lvlText w:val="•"/>
      <w:lvlJc w:val="left"/>
      <w:pPr>
        <w:ind w:left="2989" w:hanging="246"/>
      </w:pPr>
      <w:rPr>
        <w:rFonts w:hint="default"/>
        <w:lang w:val="es-ES" w:eastAsia="es-ES" w:bidi="es-ES"/>
      </w:rPr>
    </w:lvl>
    <w:lvl w:ilvl="3">
      <w:start w:val="0"/>
      <w:numFmt w:val="bullet"/>
      <w:lvlText w:val="•"/>
      <w:lvlJc w:val="left"/>
      <w:pPr>
        <w:ind w:left="3943" w:hanging="246"/>
      </w:pPr>
      <w:rPr>
        <w:rFonts w:hint="default"/>
        <w:lang w:val="es-ES" w:eastAsia="es-ES" w:bidi="es-ES"/>
      </w:rPr>
    </w:lvl>
    <w:lvl w:ilvl="4">
      <w:start w:val="0"/>
      <w:numFmt w:val="bullet"/>
      <w:lvlText w:val="•"/>
      <w:lvlJc w:val="left"/>
      <w:pPr>
        <w:ind w:left="4898" w:hanging="246"/>
      </w:pPr>
      <w:rPr>
        <w:rFonts w:hint="default"/>
        <w:lang w:val="es-ES" w:eastAsia="es-ES" w:bidi="es-ES"/>
      </w:rPr>
    </w:lvl>
    <w:lvl w:ilvl="5">
      <w:start w:val="0"/>
      <w:numFmt w:val="bullet"/>
      <w:lvlText w:val="•"/>
      <w:lvlJc w:val="left"/>
      <w:pPr>
        <w:ind w:left="5852" w:hanging="246"/>
      </w:pPr>
      <w:rPr>
        <w:rFonts w:hint="default"/>
        <w:lang w:val="es-ES" w:eastAsia="es-ES" w:bidi="es-ES"/>
      </w:rPr>
    </w:lvl>
    <w:lvl w:ilvl="6">
      <w:start w:val="0"/>
      <w:numFmt w:val="bullet"/>
      <w:lvlText w:val="•"/>
      <w:lvlJc w:val="left"/>
      <w:pPr>
        <w:ind w:left="6807" w:hanging="246"/>
      </w:pPr>
      <w:rPr>
        <w:rFonts w:hint="default"/>
        <w:lang w:val="es-ES" w:eastAsia="es-ES" w:bidi="es-ES"/>
      </w:rPr>
    </w:lvl>
    <w:lvl w:ilvl="7">
      <w:start w:val="0"/>
      <w:numFmt w:val="bullet"/>
      <w:lvlText w:val="•"/>
      <w:lvlJc w:val="left"/>
      <w:pPr>
        <w:ind w:left="7761" w:hanging="246"/>
      </w:pPr>
      <w:rPr>
        <w:rFonts w:hint="default"/>
        <w:lang w:val="es-ES" w:eastAsia="es-ES" w:bidi="es-ES"/>
      </w:rPr>
    </w:lvl>
    <w:lvl w:ilvl="8">
      <w:start w:val="0"/>
      <w:numFmt w:val="bullet"/>
      <w:lvlText w:val="•"/>
      <w:lvlJc w:val="left"/>
      <w:pPr>
        <w:ind w:left="8716" w:hanging="246"/>
      </w:pPr>
      <w:rPr>
        <w:rFonts w:hint="default"/>
        <w:lang w:val="es-ES" w:eastAsia="es-ES" w:bidi="es-ES"/>
      </w:rPr>
    </w:lvl>
  </w:abstractNum>
  <w:abstractNum w:abstractNumId="149">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148">
    <w:multiLevelType w:val="hybridMultilevel"/>
    <w:lvl w:ilvl="0">
      <w:start w:val="1"/>
      <w:numFmt w:val="lowerLetter"/>
      <w:lvlText w:val="%1)"/>
      <w:lvlJc w:val="left"/>
      <w:pPr>
        <w:ind w:left="107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2"/>
      </w:pPr>
      <w:rPr>
        <w:rFonts w:hint="default"/>
        <w:lang w:val="es-ES" w:eastAsia="es-ES" w:bidi="es-ES"/>
      </w:rPr>
    </w:lvl>
    <w:lvl w:ilvl="2">
      <w:start w:val="0"/>
      <w:numFmt w:val="bullet"/>
      <w:lvlText w:val="•"/>
      <w:lvlJc w:val="left"/>
      <w:pPr>
        <w:ind w:left="2989" w:hanging="242"/>
      </w:pPr>
      <w:rPr>
        <w:rFonts w:hint="default"/>
        <w:lang w:val="es-ES" w:eastAsia="es-ES" w:bidi="es-ES"/>
      </w:rPr>
    </w:lvl>
    <w:lvl w:ilvl="3">
      <w:start w:val="0"/>
      <w:numFmt w:val="bullet"/>
      <w:lvlText w:val="•"/>
      <w:lvlJc w:val="left"/>
      <w:pPr>
        <w:ind w:left="3943" w:hanging="242"/>
      </w:pPr>
      <w:rPr>
        <w:rFonts w:hint="default"/>
        <w:lang w:val="es-ES" w:eastAsia="es-ES" w:bidi="es-ES"/>
      </w:rPr>
    </w:lvl>
    <w:lvl w:ilvl="4">
      <w:start w:val="0"/>
      <w:numFmt w:val="bullet"/>
      <w:lvlText w:val="•"/>
      <w:lvlJc w:val="left"/>
      <w:pPr>
        <w:ind w:left="4898" w:hanging="242"/>
      </w:pPr>
      <w:rPr>
        <w:rFonts w:hint="default"/>
        <w:lang w:val="es-ES" w:eastAsia="es-ES" w:bidi="es-ES"/>
      </w:rPr>
    </w:lvl>
    <w:lvl w:ilvl="5">
      <w:start w:val="0"/>
      <w:numFmt w:val="bullet"/>
      <w:lvlText w:val="•"/>
      <w:lvlJc w:val="left"/>
      <w:pPr>
        <w:ind w:left="5852" w:hanging="242"/>
      </w:pPr>
      <w:rPr>
        <w:rFonts w:hint="default"/>
        <w:lang w:val="es-ES" w:eastAsia="es-ES" w:bidi="es-ES"/>
      </w:rPr>
    </w:lvl>
    <w:lvl w:ilvl="6">
      <w:start w:val="0"/>
      <w:numFmt w:val="bullet"/>
      <w:lvlText w:val="•"/>
      <w:lvlJc w:val="left"/>
      <w:pPr>
        <w:ind w:left="6807" w:hanging="242"/>
      </w:pPr>
      <w:rPr>
        <w:rFonts w:hint="default"/>
        <w:lang w:val="es-ES" w:eastAsia="es-ES" w:bidi="es-ES"/>
      </w:rPr>
    </w:lvl>
    <w:lvl w:ilvl="7">
      <w:start w:val="0"/>
      <w:numFmt w:val="bullet"/>
      <w:lvlText w:val="•"/>
      <w:lvlJc w:val="left"/>
      <w:pPr>
        <w:ind w:left="7761" w:hanging="242"/>
      </w:pPr>
      <w:rPr>
        <w:rFonts w:hint="default"/>
        <w:lang w:val="es-ES" w:eastAsia="es-ES" w:bidi="es-ES"/>
      </w:rPr>
    </w:lvl>
    <w:lvl w:ilvl="8">
      <w:start w:val="0"/>
      <w:numFmt w:val="bullet"/>
      <w:lvlText w:val="•"/>
      <w:lvlJc w:val="left"/>
      <w:pPr>
        <w:ind w:left="8716" w:hanging="242"/>
      </w:pPr>
      <w:rPr>
        <w:rFonts w:hint="default"/>
        <w:lang w:val="es-ES" w:eastAsia="es-ES" w:bidi="es-ES"/>
      </w:rPr>
    </w:lvl>
  </w:abstractNum>
  <w:abstractNum w:abstractNumId="147">
    <w:multiLevelType w:val="hybridMultilevel"/>
    <w:lvl w:ilvl="0">
      <w:start w:val="1"/>
      <w:numFmt w:val="decimal"/>
      <w:lvlText w:val="%1."/>
      <w:lvlJc w:val="left"/>
      <w:pPr>
        <w:ind w:left="1074" w:hanging="263"/>
        <w:jc w:val="left"/>
      </w:pPr>
      <w:rPr>
        <w:rFonts w:hint="default" w:ascii="Arial" w:hAnsi="Arial" w:eastAsia="Arial" w:cs="Arial"/>
        <w:spacing w:val="-16"/>
        <w:w w:val="100"/>
        <w:sz w:val="20"/>
        <w:szCs w:val="20"/>
        <w:lang w:val="es-ES" w:eastAsia="es-ES" w:bidi="es-ES"/>
      </w:rPr>
    </w:lvl>
    <w:lvl w:ilvl="1">
      <w:start w:val="0"/>
      <w:numFmt w:val="bullet"/>
      <w:lvlText w:val="•"/>
      <w:lvlJc w:val="left"/>
      <w:pPr>
        <w:ind w:left="2034" w:hanging="263"/>
      </w:pPr>
      <w:rPr>
        <w:rFonts w:hint="default"/>
        <w:lang w:val="es-ES" w:eastAsia="es-ES" w:bidi="es-ES"/>
      </w:rPr>
    </w:lvl>
    <w:lvl w:ilvl="2">
      <w:start w:val="0"/>
      <w:numFmt w:val="bullet"/>
      <w:lvlText w:val="•"/>
      <w:lvlJc w:val="left"/>
      <w:pPr>
        <w:ind w:left="2989" w:hanging="263"/>
      </w:pPr>
      <w:rPr>
        <w:rFonts w:hint="default"/>
        <w:lang w:val="es-ES" w:eastAsia="es-ES" w:bidi="es-ES"/>
      </w:rPr>
    </w:lvl>
    <w:lvl w:ilvl="3">
      <w:start w:val="0"/>
      <w:numFmt w:val="bullet"/>
      <w:lvlText w:val="•"/>
      <w:lvlJc w:val="left"/>
      <w:pPr>
        <w:ind w:left="3943" w:hanging="263"/>
      </w:pPr>
      <w:rPr>
        <w:rFonts w:hint="default"/>
        <w:lang w:val="es-ES" w:eastAsia="es-ES" w:bidi="es-ES"/>
      </w:rPr>
    </w:lvl>
    <w:lvl w:ilvl="4">
      <w:start w:val="0"/>
      <w:numFmt w:val="bullet"/>
      <w:lvlText w:val="•"/>
      <w:lvlJc w:val="left"/>
      <w:pPr>
        <w:ind w:left="4898" w:hanging="263"/>
      </w:pPr>
      <w:rPr>
        <w:rFonts w:hint="default"/>
        <w:lang w:val="es-ES" w:eastAsia="es-ES" w:bidi="es-ES"/>
      </w:rPr>
    </w:lvl>
    <w:lvl w:ilvl="5">
      <w:start w:val="0"/>
      <w:numFmt w:val="bullet"/>
      <w:lvlText w:val="•"/>
      <w:lvlJc w:val="left"/>
      <w:pPr>
        <w:ind w:left="5852" w:hanging="263"/>
      </w:pPr>
      <w:rPr>
        <w:rFonts w:hint="default"/>
        <w:lang w:val="es-ES" w:eastAsia="es-ES" w:bidi="es-ES"/>
      </w:rPr>
    </w:lvl>
    <w:lvl w:ilvl="6">
      <w:start w:val="0"/>
      <w:numFmt w:val="bullet"/>
      <w:lvlText w:val="•"/>
      <w:lvlJc w:val="left"/>
      <w:pPr>
        <w:ind w:left="6807" w:hanging="263"/>
      </w:pPr>
      <w:rPr>
        <w:rFonts w:hint="default"/>
        <w:lang w:val="es-ES" w:eastAsia="es-ES" w:bidi="es-ES"/>
      </w:rPr>
    </w:lvl>
    <w:lvl w:ilvl="7">
      <w:start w:val="0"/>
      <w:numFmt w:val="bullet"/>
      <w:lvlText w:val="•"/>
      <w:lvlJc w:val="left"/>
      <w:pPr>
        <w:ind w:left="7761" w:hanging="263"/>
      </w:pPr>
      <w:rPr>
        <w:rFonts w:hint="default"/>
        <w:lang w:val="es-ES" w:eastAsia="es-ES" w:bidi="es-ES"/>
      </w:rPr>
    </w:lvl>
    <w:lvl w:ilvl="8">
      <w:start w:val="0"/>
      <w:numFmt w:val="bullet"/>
      <w:lvlText w:val="•"/>
      <w:lvlJc w:val="left"/>
      <w:pPr>
        <w:ind w:left="8716" w:hanging="263"/>
      </w:pPr>
      <w:rPr>
        <w:rFonts w:hint="default"/>
        <w:lang w:val="es-ES" w:eastAsia="es-ES" w:bidi="es-ES"/>
      </w:rPr>
    </w:lvl>
  </w:abstractNum>
  <w:abstractNum w:abstractNumId="146">
    <w:multiLevelType w:val="hybridMultilevel"/>
    <w:lvl w:ilvl="0">
      <w:start w:val="1"/>
      <w:numFmt w:val="decimal"/>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145">
    <w:multiLevelType w:val="hybridMultilevel"/>
    <w:lvl w:ilvl="0">
      <w:start w:val="1"/>
      <w:numFmt w:val="lowerLetter"/>
      <w:lvlText w:val="%1)"/>
      <w:lvlJc w:val="left"/>
      <w:pPr>
        <w:ind w:left="1074" w:hanging="2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034" w:hanging="267"/>
      </w:pPr>
      <w:rPr>
        <w:rFonts w:hint="default"/>
        <w:lang w:val="es-ES" w:eastAsia="es-ES" w:bidi="es-ES"/>
      </w:rPr>
    </w:lvl>
    <w:lvl w:ilvl="2">
      <w:start w:val="0"/>
      <w:numFmt w:val="bullet"/>
      <w:lvlText w:val="•"/>
      <w:lvlJc w:val="left"/>
      <w:pPr>
        <w:ind w:left="2989" w:hanging="267"/>
      </w:pPr>
      <w:rPr>
        <w:rFonts w:hint="default"/>
        <w:lang w:val="es-ES" w:eastAsia="es-ES" w:bidi="es-ES"/>
      </w:rPr>
    </w:lvl>
    <w:lvl w:ilvl="3">
      <w:start w:val="0"/>
      <w:numFmt w:val="bullet"/>
      <w:lvlText w:val="•"/>
      <w:lvlJc w:val="left"/>
      <w:pPr>
        <w:ind w:left="3943" w:hanging="267"/>
      </w:pPr>
      <w:rPr>
        <w:rFonts w:hint="default"/>
        <w:lang w:val="es-ES" w:eastAsia="es-ES" w:bidi="es-ES"/>
      </w:rPr>
    </w:lvl>
    <w:lvl w:ilvl="4">
      <w:start w:val="0"/>
      <w:numFmt w:val="bullet"/>
      <w:lvlText w:val="•"/>
      <w:lvlJc w:val="left"/>
      <w:pPr>
        <w:ind w:left="4898" w:hanging="267"/>
      </w:pPr>
      <w:rPr>
        <w:rFonts w:hint="default"/>
        <w:lang w:val="es-ES" w:eastAsia="es-ES" w:bidi="es-ES"/>
      </w:rPr>
    </w:lvl>
    <w:lvl w:ilvl="5">
      <w:start w:val="0"/>
      <w:numFmt w:val="bullet"/>
      <w:lvlText w:val="•"/>
      <w:lvlJc w:val="left"/>
      <w:pPr>
        <w:ind w:left="5852" w:hanging="267"/>
      </w:pPr>
      <w:rPr>
        <w:rFonts w:hint="default"/>
        <w:lang w:val="es-ES" w:eastAsia="es-ES" w:bidi="es-ES"/>
      </w:rPr>
    </w:lvl>
    <w:lvl w:ilvl="6">
      <w:start w:val="0"/>
      <w:numFmt w:val="bullet"/>
      <w:lvlText w:val="•"/>
      <w:lvlJc w:val="left"/>
      <w:pPr>
        <w:ind w:left="6807" w:hanging="267"/>
      </w:pPr>
      <w:rPr>
        <w:rFonts w:hint="default"/>
        <w:lang w:val="es-ES" w:eastAsia="es-ES" w:bidi="es-ES"/>
      </w:rPr>
    </w:lvl>
    <w:lvl w:ilvl="7">
      <w:start w:val="0"/>
      <w:numFmt w:val="bullet"/>
      <w:lvlText w:val="•"/>
      <w:lvlJc w:val="left"/>
      <w:pPr>
        <w:ind w:left="7761" w:hanging="267"/>
      </w:pPr>
      <w:rPr>
        <w:rFonts w:hint="default"/>
        <w:lang w:val="es-ES" w:eastAsia="es-ES" w:bidi="es-ES"/>
      </w:rPr>
    </w:lvl>
    <w:lvl w:ilvl="8">
      <w:start w:val="0"/>
      <w:numFmt w:val="bullet"/>
      <w:lvlText w:val="•"/>
      <w:lvlJc w:val="left"/>
      <w:pPr>
        <w:ind w:left="8716" w:hanging="267"/>
      </w:pPr>
      <w:rPr>
        <w:rFonts w:hint="default"/>
        <w:lang w:val="es-ES" w:eastAsia="es-ES" w:bidi="es-ES"/>
      </w:rPr>
    </w:lvl>
  </w:abstractNum>
  <w:abstractNum w:abstractNumId="144">
    <w:multiLevelType w:val="hybridMultilevel"/>
    <w:lvl w:ilvl="0">
      <w:start w:val="1"/>
      <w:numFmt w:val="decimal"/>
      <w:lvlText w:val="%1."/>
      <w:lvlJc w:val="left"/>
      <w:pPr>
        <w:ind w:left="1074" w:hanging="29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2"/>
      </w:pPr>
      <w:rPr>
        <w:rFonts w:hint="default"/>
        <w:lang w:val="es-ES" w:eastAsia="es-ES" w:bidi="es-ES"/>
      </w:rPr>
    </w:lvl>
    <w:lvl w:ilvl="2">
      <w:start w:val="0"/>
      <w:numFmt w:val="bullet"/>
      <w:lvlText w:val="•"/>
      <w:lvlJc w:val="left"/>
      <w:pPr>
        <w:ind w:left="2989" w:hanging="292"/>
      </w:pPr>
      <w:rPr>
        <w:rFonts w:hint="default"/>
        <w:lang w:val="es-ES" w:eastAsia="es-ES" w:bidi="es-ES"/>
      </w:rPr>
    </w:lvl>
    <w:lvl w:ilvl="3">
      <w:start w:val="0"/>
      <w:numFmt w:val="bullet"/>
      <w:lvlText w:val="•"/>
      <w:lvlJc w:val="left"/>
      <w:pPr>
        <w:ind w:left="3943" w:hanging="292"/>
      </w:pPr>
      <w:rPr>
        <w:rFonts w:hint="default"/>
        <w:lang w:val="es-ES" w:eastAsia="es-ES" w:bidi="es-ES"/>
      </w:rPr>
    </w:lvl>
    <w:lvl w:ilvl="4">
      <w:start w:val="0"/>
      <w:numFmt w:val="bullet"/>
      <w:lvlText w:val="•"/>
      <w:lvlJc w:val="left"/>
      <w:pPr>
        <w:ind w:left="4898" w:hanging="292"/>
      </w:pPr>
      <w:rPr>
        <w:rFonts w:hint="default"/>
        <w:lang w:val="es-ES" w:eastAsia="es-ES" w:bidi="es-ES"/>
      </w:rPr>
    </w:lvl>
    <w:lvl w:ilvl="5">
      <w:start w:val="0"/>
      <w:numFmt w:val="bullet"/>
      <w:lvlText w:val="•"/>
      <w:lvlJc w:val="left"/>
      <w:pPr>
        <w:ind w:left="5852" w:hanging="292"/>
      </w:pPr>
      <w:rPr>
        <w:rFonts w:hint="default"/>
        <w:lang w:val="es-ES" w:eastAsia="es-ES" w:bidi="es-ES"/>
      </w:rPr>
    </w:lvl>
    <w:lvl w:ilvl="6">
      <w:start w:val="0"/>
      <w:numFmt w:val="bullet"/>
      <w:lvlText w:val="•"/>
      <w:lvlJc w:val="left"/>
      <w:pPr>
        <w:ind w:left="6807" w:hanging="292"/>
      </w:pPr>
      <w:rPr>
        <w:rFonts w:hint="default"/>
        <w:lang w:val="es-ES" w:eastAsia="es-ES" w:bidi="es-ES"/>
      </w:rPr>
    </w:lvl>
    <w:lvl w:ilvl="7">
      <w:start w:val="0"/>
      <w:numFmt w:val="bullet"/>
      <w:lvlText w:val="•"/>
      <w:lvlJc w:val="left"/>
      <w:pPr>
        <w:ind w:left="7761" w:hanging="292"/>
      </w:pPr>
      <w:rPr>
        <w:rFonts w:hint="default"/>
        <w:lang w:val="es-ES" w:eastAsia="es-ES" w:bidi="es-ES"/>
      </w:rPr>
    </w:lvl>
    <w:lvl w:ilvl="8">
      <w:start w:val="0"/>
      <w:numFmt w:val="bullet"/>
      <w:lvlText w:val="•"/>
      <w:lvlJc w:val="left"/>
      <w:pPr>
        <w:ind w:left="8716" w:hanging="292"/>
      </w:pPr>
      <w:rPr>
        <w:rFonts w:hint="default"/>
        <w:lang w:val="es-ES" w:eastAsia="es-ES" w:bidi="es-ES"/>
      </w:rPr>
    </w:lvl>
  </w:abstractNum>
  <w:abstractNum w:abstractNumId="143">
    <w:multiLevelType w:val="hybridMultilevel"/>
    <w:lvl w:ilvl="0">
      <w:start w:val="1"/>
      <w:numFmt w:val="decimal"/>
      <w:lvlText w:val="%1."/>
      <w:lvlJc w:val="left"/>
      <w:pPr>
        <w:ind w:left="1074" w:hanging="283"/>
        <w:jc w:val="left"/>
      </w:pPr>
      <w:rPr>
        <w:rFonts w:hint="default" w:ascii="Arial" w:hAnsi="Arial" w:eastAsia="Arial" w:cs="Arial"/>
        <w:spacing w:val="-16"/>
        <w:w w:val="100"/>
        <w:sz w:val="20"/>
        <w:szCs w:val="20"/>
        <w:lang w:val="es-ES" w:eastAsia="es-ES" w:bidi="es-ES"/>
      </w:rPr>
    </w:lvl>
    <w:lvl w:ilvl="1">
      <w:start w:val="0"/>
      <w:numFmt w:val="bullet"/>
      <w:lvlText w:val="•"/>
      <w:lvlJc w:val="left"/>
      <w:pPr>
        <w:ind w:left="2034" w:hanging="283"/>
      </w:pPr>
      <w:rPr>
        <w:rFonts w:hint="default"/>
        <w:lang w:val="es-ES" w:eastAsia="es-ES" w:bidi="es-ES"/>
      </w:rPr>
    </w:lvl>
    <w:lvl w:ilvl="2">
      <w:start w:val="0"/>
      <w:numFmt w:val="bullet"/>
      <w:lvlText w:val="•"/>
      <w:lvlJc w:val="left"/>
      <w:pPr>
        <w:ind w:left="2989" w:hanging="283"/>
      </w:pPr>
      <w:rPr>
        <w:rFonts w:hint="default"/>
        <w:lang w:val="es-ES" w:eastAsia="es-ES" w:bidi="es-ES"/>
      </w:rPr>
    </w:lvl>
    <w:lvl w:ilvl="3">
      <w:start w:val="0"/>
      <w:numFmt w:val="bullet"/>
      <w:lvlText w:val="•"/>
      <w:lvlJc w:val="left"/>
      <w:pPr>
        <w:ind w:left="3943" w:hanging="283"/>
      </w:pPr>
      <w:rPr>
        <w:rFonts w:hint="default"/>
        <w:lang w:val="es-ES" w:eastAsia="es-ES" w:bidi="es-ES"/>
      </w:rPr>
    </w:lvl>
    <w:lvl w:ilvl="4">
      <w:start w:val="0"/>
      <w:numFmt w:val="bullet"/>
      <w:lvlText w:val="•"/>
      <w:lvlJc w:val="left"/>
      <w:pPr>
        <w:ind w:left="4898" w:hanging="283"/>
      </w:pPr>
      <w:rPr>
        <w:rFonts w:hint="default"/>
        <w:lang w:val="es-ES" w:eastAsia="es-ES" w:bidi="es-ES"/>
      </w:rPr>
    </w:lvl>
    <w:lvl w:ilvl="5">
      <w:start w:val="0"/>
      <w:numFmt w:val="bullet"/>
      <w:lvlText w:val="•"/>
      <w:lvlJc w:val="left"/>
      <w:pPr>
        <w:ind w:left="5852" w:hanging="283"/>
      </w:pPr>
      <w:rPr>
        <w:rFonts w:hint="default"/>
        <w:lang w:val="es-ES" w:eastAsia="es-ES" w:bidi="es-ES"/>
      </w:rPr>
    </w:lvl>
    <w:lvl w:ilvl="6">
      <w:start w:val="0"/>
      <w:numFmt w:val="bullet"/>
      <w:lvlText w:val="•"/>
      <w:lvlJc w:val="left"/>
      <w:pPr>
        <w:ind w:left="6807" w:hanging="283"/>
      </w:pPr>
      <w:rPr>
        <w:rFonts w:hint="default"/>
        <w:lang w:val="es-ES" w:eastAsia="es-ES" w:bidi="es-ES"/>
      </w:rPr>
    </w:lvl>
    <w:lvl w:ilvl="7">
      <w:start w:val="0"/>
      <w:numFmt w:val="bullet"/>
      <w:lvlText w:val="•"/>
      <w:lvlJc w:val="left"/>
      <w:pPr>
        <w:ind w:left="7761" w:hanging="283"/>
      </w:pPr>
      <w:rPr>
        <w:rFonts w:hint="default"/>
        <w:lang w:val="es-ES" w:eastAsia="es-ES" w:bidi="es-ES"/>
      </w:rPr>
    </w:lvl>
    <w:lvl w:ilvl="8">
      <w:start w:val="0"/>
      <w:numFmt w:val="bullet"/>
      <w:lvlText w:val="•"/>
      <w:lvlJc w:val="left"/>
      <w:pPr>
        <w:ind w:left="8716" w:hanging="283"/>
      </w:pPr>
      <w:rPr>
        <w:rFonts w:hint="default"/>
        <w:lang w:val="es-ES" w:eastAsia="es-ES" w:bidi="es-ES"/>
      </w:rPr>
    </w:lvl>
  </w:abstractNum>
  <w:abstractNum w:abstractNumId="142">
    <w:multiLevelType w:val="hybridMultilevel"/>
    <w:lvl w:ilvl="0">
      <w:start w:val="1"/>
      <w:numFmt w:val="decimal"/>
      <w:lvlText w:val="%1."/>
      <w:lvlJc w:val="left"/>
      <w:pPr>
        <w:ind w:left="1074" w:hanging="28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7"/>
      </w:pPr>
      <w:rPr>
        <w:rFonts w:hint="default"/>
        <w:lang w:val="es-ES" w:eastAsia="es-ES" w:bidi="es-ES"/>
      </w:rPr>
    </w:lvl>
    <w:lvl w:ilvl="2">
      <w:start w:val="0"/>
      <w:numFmt w:val="bullet"/>
      <w:lvlText w:val="•"/>
      <w:lvlJc w:val="left"/>
      <w:pPr>
        <w:ind w:left="2989" w:hanging="287"/>
      </w:pPr>
      <w:rPr>
        <w:rFonts w:hint="default"/>
        <w:lang w:val="es-ES" w:eastAsia="es-ES" w:bidi="es-ES"/>
      </w:rPr>
    </w:lvl>
    <w:lvl w:ilvl="3">
      <w:start w:val="0"/>
      <w:numFmt w:val="bullet"/>
      <w:lvlText w:val="•"/>
      <w:lvlJc w:val="left"/>
      <w:pPr>
        <w:ind w:left="3943" w:hanging="287"/>
      </w:pPr>
      <w:rPr>
        <w:rFonts w:hint="default"/>
        <w:lang w:val="es-ES" w:eastAsia="es-ES" w:bidi="es-ES"/>
      </w:rPr>
    </w:lvl>
    <w:lvl w:ilvl="4">
      <w:start w:val="0"/>
      <w:numFmt w:val="bullet"/>
      <w:lvlText w:val="•"/>
      <w:lvlJc w:val="left"/>
      <w:pPr>
        <w:ind w:left="4898" w:hanging="287"/>
      </w:pPr>
      <w:rPr>
        <w:rFonts w:hint="default"/>
        <w:lang w:val="es-ES" w:eastAsia="es-ES" w:bidi="es-ES"/>
      </w:rPr>
    </w:lvl>
    <w:lvl w:ilvl="5">
      <w:start w:val="0"/>
      <w:numFmt w:val="bullet"/>
      <w:lvlText w:val="•"/>
      <w:lvlJc w:val="left"/>
      <w:pPr>
        <w:ind w:left="5852" w:hanging="287"/>
      </w:pPr>
      <w:rPr>
        <w:rFonts w:hint="default"/>
        <w:lang w:val="es-ES" w:eastAsia="es-ES" w:bidi="es-ES"/>
      </w:rPr>
    </w:lvl>
    <w:lvl w:ilvl="6">
      <w:start w:val="0"/>
      <w:numFmt w:val="bullet"/>
      <w:lvlText w:val="•"/>
      <w:lvlJc w:val="left"/>
      <w:pPr>
        <w:ind w:left="6807" w:hanging="287"/>
      </w:pPr>
      <w:rPr>
        <w:rFonts w:hint="default"/>
        <w:lang w:val="es-ES" w:eastAsia="es-ES" w:bidi="es-ES"/>
      </w:rPr>
    </w:lvl>
    <w:lvl w:ilvl="7">
      <w:start w:val="0"/>
      <w:numFmt w:val="bullet"/>
      <w:lvlText w:val="•"/>
      <w:lvlJc w:val="left"/>
      <w:pPr>
        <w:ind w:left="7761" w:hanging="287"/>
      </w:pPr>
      <w:rPr>
        <w:rFonts w:hint="default"/>
        <w:lang w:val="es-ES" w:eastAsia="es-ES" w:bidi="es-ES"/>
      </w:rPr>
    </w:lvl>
    <w:lvl w:ilvl="8">
      <w:start w:val="0"/>
      <w:numFmt w:val="bullet"/>
      <w:lvlText w:val="•"/>
      <w:lvlJc w:val="left"/>
      <w:pPr>
        <w:ind w:left="8716" w:hanging="287"/>
      </w:pPr>
      <w:rPr>
        <w:rFonts w:hint="default"/>
        <w:lang w:val="es-ES" w:eastAsia="es-ES" w:bidi="es-ES"/>
      </w:rPr>
    </w:lvl>
  </w:abstractNum>
  <w:abstractNum w:abstractNumId="141">
    <w:multiLevelType w:val="hybridMultilevel"/>
    <w:lvl w:ilvl="0">
      <w:start w:val="1"/>
      <w:numFmt w:val="lowerLetter"/>
      <w:lvlText w:val="%1)"/>
      <w:lvlJc w:val="left"/>
      <w:pPr>
        <w:ind w:left="1074" w:hanging="288"/>
        <w:jc w:val="left"/>
      </w:pPr>
      <w:rPr>
        <w:rFonts w:hint="default" w:ascii="Arial" w:hAnsi="Arial" w:eastAsia="Arial" w:cs="Arial"/>
        <w:spacing w:val="-2"/>
        <w:w w:val="100"/>
        <w:sz w:val="20"/>
        <w:szCs w:val="20"/>
        <w:lang w:val="es-ES" w:eastAsia="es-ES" w:bidi="es-ES"/>
      </w:rPr>
    </w:lvl>
    <w:lvl w:ilvl="1">
      <w:start w:val="0"/>
      <w:numFmt w:val="bullet"/>
      <w:lvlText w:val="•"/>
      <w:lvlJc w:val="left"/>
      <w:pPr>
        <w:ind w:left="2034" w:hanging="288"/>
      </w:pPr>
      <w:rPr>
        <w:rFonts w:hint="default"/>
        <w:lang w:val="es-ES" w:eastAsia="es-ES" w:bidi="es-ES"/>
      </w:rPr>
    </w:lvl>
    <w:lvl w:ilvl="2">
      <w:start w:val="0"/>
      <w:numFmt w:val="bullet"/>
      <w:lvlText w:val="•"/>
      <w:lvlJc w:val="left"/>
      <w:pPr>
        <w:ind w:left="2989" w:hanging="288"/>
      </w:pPr>
      <w:rPr>
        <w:rFonts w:hint="default"/>
        <w:lang w:val="es-ES" w:eastAsia="es-ES" w:bidi="es-ES"/>
      </w:rPr>
    </w:lvl>
    <w:lvl w:ilvl="3">
      <w:start w:val="0"/>
      <w:numFmt w:val="bullet"/>
      <w:lvlText w:val="•"/>
      <w:lvlJc w:val="left"/>
      <w:pPr>
        <w:ind w:left="3943" w:hanging="288"/>
      </w:pPr>
      <w:rPr>
        <w:rFonts w:hint="default"/>
        <w:lang w:val="es-ES" w:eastAsia="es-ES" w:bidi="es-ES"/>
      </w:rPr>
    </w:lvl>
    <w:lvl w:ilvl="4">
      <w:start w:val="0"/>
      <w:numFmt w:val="bullet"/>
      <w:lvlText w:val="•"/>
      <w:lvlJc w:val="left"/>
      <w:pPr>
        <w:ind w:left="4898" w:hanging="288"/>
      </w:pPr>
      <w:rPr>
        <w:rFonts w:hint="default"/>
        <w:lang w:val="es-ES" w:eastAsia="es-ES" w:bidi="es-ES"/>
      </w:rPr>
    </w:lvl>
    <w:lvl w:ilvl="5">
      <w:start w:val="0"/>
      <w:numFmt w:val="bullet"/>
      <w:lvlText w:val="•"/>
      <w:lvlJc w:val="left"/>
      <w:pPr>
        <w:ind w:left="5852" w:hanging="288"/>
      </w:pPr>
      <w:rPr>
        <w:rFonts w:hint="default"/>
        <w:lang w:val="es-ES" w:eastAsia="es-ES" w:bidi="es-ES"/>
      </w:rPr>
    </w:lvl>
    <w:lvl w:ilvl="6">
      <w:start w:val="0"/>
      <w:numFmt w:val="bullet"/>
      <w:lvlText w:val="•"/>
      <w:lvlJc w:val="left"/>
      <w:pPr>
        <w:ind w:left="6807" w:hanging="288"/>
      </w:pPr>
      <w:rPr>
        <w:rFonts w:hint="default"/>
        <w:lang w:val="es-ES" w:eastAsia="es-ES" w:bidi="es-ES"/>
      </w:rPr>
    </w:lvl>
    <w:lvl w:ilvl="7">
      <w:start w:val="0"/>
      <w:numFmt w:val="bullet"/>
      <w:lvlText w:val="•"/>
      <w:lvlJc w:val="left"/>
      <w:pPr>
        <w:ind w:left="7761" w:hanging="288"/>
      </w:pPr>
      <w:rPr>
        <w:rFonts w:hint="default"/>
        <w:lang w:val="es-ES" w:eastAsia="es-ES" w:bidi="es-ES"/>
      </w:rPr>
    </w:lvl>
    <w:lvl w:ilvl="8">
      <w:start w:val="0"/>
      <w:numFmt w:val="bullet"/>
      <w:lvlText w:val="•"/>
      <w:lvlJc w:val="left"/>
      <w:pPr>
        <w:ind w:left="8716" w:hanging="288"/>
      </w:pPr>
      <w:rPr>
        <w:rFonts w:hint="default"/>
        <w:lang w:val="es-ES" w:eastAsia="es-ES" w:bidi="es-ES"/>
      </w:rPr>
    </w:lvl>
  </w:abstractNum>
  <w:abstractNum w:abstractNumId="140">
    <w:multiLevelType w:val="hybridMultilevel"/>
    <w:lvl w:ilvl="0">
      <w:start w:val="1"/>
      <w:numFmt w:val="decimal"/>
      <w:lvlText w:val="%1."/>
      <w:lvlJc w:val="left"/>
      <w:pPr>
        <w:ind w:left="1074" w:hanging="270"/>
        <w:jc w:val="left"/>
      </w:pPr>
      <w:rPr>
        <w:rFonts w:hint="default" w:ascii="Arial" w:hAnsi="Arial" w:eastAsia="Arial" w:cs="Arial"/>
        <w:spacing w:val="-9"/>
        <w:w w:val="100"/>
        <w:sz w:val="20"/>
        <w:szCs w:val="20"/>
        <w:lang w:val="es-ES" w:eastAsia="es-ES" w:bidi="es-ES"/>
      </w:rPr>
    </w:lvl>
    <w:lvl w:ilvl="1">
      <w:start w:val="0"/>
      <w:numFmt w:val="bullet"/>
      <w:lvlText w:val="•"/>
      <w:lvlJc w:val="left"/>
      <w:pPr>
        <w:ind w:left="2034" w:hanging="270"/>
      </w:pPr>
      <w:rPr>
        <w:rFonts w:hint="default"/>
        <w:lang w:val="es-ES" w:eastAsia="es-ES" w:bidi="es-ES"/>
      </w:rPr>
    </w:lvl>
    <w:lvl w:ilvl="2">
      <w:start w:val="0"/>
      <w:numFmt w:val="bullet"/>
      <w:lvlText w:val="•"/>
      <w:lvlJc w:val="left"/>
      <w:pPr>
        <w:ind w:left="2989" w:hanging="270"/>
      </w:pPr>
      <w:rPr>
        <w:rFonts w:hint="default"/>
        <w:lang w:val="es-ES" w:eastAsia="es-ES" w:bidi="es-ES"/>
      </w:rPr>
    </w:lvl>
    <w:lvl w:ilvl="3">
      <w:start w:val="0"/>
      <w:numFmt w:val="bullet"/>
      <w:lvlText w:val="•"/>
      <w:lvlJc w:val="left"/>
      <w:pPr>
        <w:ind w:left="3943" w:hanging="270"/>
      </w:pPr>
      <w:rPr>
        <w:rFonts w:hint="default"/>
        <w:lang w:val="es-ES" w:eastAsia="es-ES" w:bidi="es-ES"/>
      </w:rPr>
    </w:lvl>
    <w:lvl w:ilvl="4">
      <w:start w:val="0"/>
      <w:numFmt w:val="bullet"/>
      <w:lvlText w:val="•"/>
      <w:lvlJc w:val="left"/>
      <w:pPr>
        <w:ind w:left="4898" w:hanging="270"/>
      </w:pPr>
      <w:rPr>
        <w:rFonts w:hint="default"/>
        <w:lang w:val="es-ES" w:eastAsia="es-ES" w:bidi="es-ES"/>
      </w:rPr>
    </w:lvl>
    <w:lvl w:ilvl="5">
      <w:start w:val="0"/>
      <w:numFmt w:val="bullet"/>
      <w:lvlText w:val="•"/>
      <w:lvlJc w:val="left"/>
      <w:pPr>
        <w:ind w:left="5852" w:hanging="270"/>
      </w:pPr>
      <w:rPr>
        <w:rFonts w:hint="default"/>
        <w:lang w:val="es-ES" w:eastAsia="es-ES" w:bidi="es-ES"/>
      </w:rPr>
    </w:lvl>
    <w:lvl w:ilvl="6">
      <w:start w:val="0"/>
      <w:numFmt w:val="bullet"/>
      <w:lvlText w:val="•"/>
      <w:lvlJc w:val="left"/>
      <w:pPr>
        <w:ind w:left="6807" w:hanging="270"/>
      </w:pPr>
      <w:rPr>
        <w:rFonts w:hint="default"/>
        <w:lang w:val="es-ES" w:eastAsia="es-ES" w:bidi="es-ES"/>
      </w:rPr>
    </w:lvl>
    <w:lvl w:ilvl="7">
      <w:start w:val="0"/>
      <w:numFmt w:val="bullet"/>
      <w:lvlText w:val="•"/>
      <w:lvlJc w:val="left"/>
      <w:pPr>
        <w:ind w:left="7761" w:hanging="270"/>
      </w:pPr>
      <w:rPr>
        <w:rFonts w:hint="default"/>
        <w:lang w:val="es-ES" w:eastAsia="es-ES" w:bidi="es-ES"/>
      </w:rPr>
    </w:lvl>
    <w:lvl w:ilvl="8">
      <w:start w:val="0"/>
      <w:numFmt w:val="bullet"/>
      <w:lvlText w:val="•"/>
      <w:lvlJc w:val="left"/>
      <w:pPr>
        <w:ind w:left="8716" w:hanging="270"/>
      </w:pPr>
      <w:rPr>
        <w:rFonts w:hint="default"/>
        <w:lang w:val="es-ES" w:eastAsia="es-ES" w:bidi="es-ES"/>
      </w:rPr>
    </w:lvl>
  </w:abstractNum>
  <w:abstractNum w:abstractNumId="139">
    <w:multiLevelType w:val="hybridMultilevel"/>
    <w:lvl w:ilvl="0">
      <w:start w:val="1"/>
      <w:numFmt w:val="decimal"/>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138">
    <w:multiLevelType w:val="hybridMultilevel"/>
    <w:lvl w:ilvl="0">
      <w:start w:val="1"/>
      <w:numFmt w:val="lowerLetter"/>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137">
    <w:multiLevelType w:val="hybridMultilevel"/>
    <w:lvl w:ilvl="0">
      <w:start w:val="1"/>
      <w:numFmt w:val="decimal"/>
      <w:lvlText w:val="%1."/>
      <w:lvlJc w:val="left"/>
      <w:pPr>
        <w:ind w:left="1074" w:hanging="22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5"/>
      </w:pPr>
      <w:rPr>
        <w:rFonts w:hint="default"/>
        <w:lang w:val="es-ES" w:eastAsia="es-ES" w:bidi="es-ES"/>
      </w:rPr>
    </w:lvl>
    <w:lvl w:ilvl="2">
      <w:start w:val="0"/>
      <w:numFmt w:val="bullet"/>
      <w:lvlText w:val="•"/>
      <w:lvlJc w:val="left"/>
      <w:pPr>
        <w:ind w:left="2989" w:hanging="225"/>
      </w:pPr>
      <w:rPr>
        <w:rFonts w:hint="default"/>
        <w:lang w:val="es-ES" w:eastAsia="es-ES" w:bidi="es-ES"/>
      </w:rPr>
    </w:lvl>
    <w:lvl w:ilvl="3">
      <w:start w:val="0"/>
      <w:numFmt w:val="bullet"/>
      <w:lvlText w:val="•"/>
      <w:lvlJc w:val="left"/>
      <w:pPr>
        <w:ind w:left="3943" w:hanging="225"/>
      </w:pPr>
      <w:rPr>
        <w:rFonts w:hint="default"/>
        <w:lang w:val="es-ES" w:eastAsia="es-ES" w:bidi="es-ES"/>
      </w:rPr>
    </w:lvl>
    <w:lvl w:ilvl="4">
      <w:start w:val="0"/>
      <w:numFmt w:val="bullet"/>
      <w:lvlText w:val="•"/>
      <w:lvlJc w:val="left"/>
      <w:pPr>
        <w:ind w:left="4898" w:hanging="225"/>
      </w:pPr>
      <w:rPr>
        <w:rFonts w:hint="default"/>
        <w:lang w:val="es-ES" w:eastAsia="es-ES" w:bidi="es-ES"/>
      </w:rPr>
    </w:lvl>
    <w:lvl w:ilvl="5">
      <w:start w:val="0"/>
      <w:numFmt w:val="bullet"/>
      <w:lvlText w:val="•"/>
      <w:lvlJc w:val="left"/>
      <w:pPr>
        <w:ind w:left="5852" w:hanging="225"/>
      </w:pPr>
      <w:rPr>
        <w:rFonts w:hint="default"/>
        <w:lang w:val="es-ES" w:eastAsia="es-ES" w:bidi="es-ES"/>
      </w:rPr>
    </w:lvl>
    <w:lvl w:ilvl="6">
      <w:start w:val="0"/>
      <w:numFmt w:val="bullet"/>
      <w:lvlText w:val="•"/>
      <w:lvlJc w:val="left"/>
      <w:pPr>
        <w:ind w:left="6807" w:hanging="225"/>
      </w:pPr>
      <w:rPr>
        <w:rFonts w:hint="default"/>
        <w:lang w:val="es-ES" w:eastAsia="es-ES" w:bidi="es-ES"/>
      </w:rPr>
    </w:lvl>
    <w:lvl w:ilvl="7">
      <w:start w:val="0"/>
      <w:numFmt w:val="bullet"/>
      <w:lvlText w:val="•"/>
      <w:lvlJc w:val="left"/>
      <w:pPr>
        <w:ind w:left="7761" w:hanging="225"/>
      </w:pPr>
      <w:rPr>
        <w:rFonts w:hint="default"/>
        <w:lang w:val="es-ES" w:eastAsia="es-ES" w:bidi="es-ES"/>
      </w:rPr>
    </w:lvl>
    <w:lvl w:ilvl="8">
      <w:start w:val="0"/>
      <w:numFmt w:val="bullet"/>
      <w:lvlText w:val="•"/>
      <w:lvlJc w:val="left"/>
      <w:pPr>
        <w:ind w:left="8716" w:hanging="225"/>
      </w:pPr>
      <w:rPr>
        <w:rFonts w:hint="default"/>
        <w:lang w:val="es-ES" w:eastAsia="es-ES" w:bidi="es-ES"/>
      </w:rPr>
    </w:lvl>
  </w:abstractNum>
  <w:abstractNum w:abstractNumId="136">
    <w:multiLevelType w:val="hybridMultilevel"/>
    <w:lvl w:ilvl="0">
      <w:start w:val="1"/>
      <w:numFmt w:val="decimal"/>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135">
    <w:multiLevelType w:val="hybridMultilevel"/>
    <w:lvl w:ilvl="0">
      <w:start w:val="1"/>
      <w:numFmt w:val="lowerLetter"/>
      <w:lvlText w:val="%1)"/>
      <w:lvlJc w:val="left"/>
      <w:pPr>
        <w:ind w:left="107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8"/>
      </w:pPr>
      <w:rPr>
        <w:rFonts w:hint="default"/>
        <w:lang w:val="es-ES" w:eastAsia="es-ES" w:bidi="es-ES"/>
      </w:rPr>
    </w:lvl>
    <w:lvl w:ilvl="2">
      <w:start w:val="0"/>
      <w:numFmt w:val="bullet"/>
      <w:lvlText w:val="•"/>
      <w:lvlJc w:val="left"/>
      <w:pPr>
        <w:ind w:left="2989" w:hanging="238"/>
      </w:pPr>
      <w:rPr>
        <w:rFonts w:hint="default"/>
        <w:lang w:val="es-ES" w:eastAsia="es-ES" w:bidi="es-ES"/>
      </w:rPr>
    </w:lvl>
    <w:lvl w:ilvl="3">
      <w:start w:val="0"/>
      <w:numFmt w:val="bullet"/>
      <w:lvlText w:val="•"/>
      <w:lvlJc w:val="left"/>
      <w:pPr>
        <w:ind w:left="3943" w:hanging="238"/>
      </w:pPr>
      <w:rPr>
        <w:rFonts w:hint="default"/>
        <w:lang w:val="es-ES" w:eastAsia="es-ES" w:bidi="es-ES"/>
      </w:rPr>
    </w:lvl>
    <w:lvl w:ilvl="4">
      <w:start w:val="0"/>
      <w:numFmt w:val="bullet"/>
      <w:lvlText w:val="•"/>
      <w:lvlJc w:val="left"/>
      <w:pPr>
        <w:ind w:left="4898" w:hanging="238"/>
      </w:pPr>
      <w:rPr>
        <w:rFonts w:hint="default"/>
        <w:lang w:val="es-ES" w:eastAsia="es-ES" w:bidi="es-ES"/>
      </w:rPr>
    </w:lvl>
    <w:lvl w:ilvl="5">
      <w:start w:val="0"/>
      <w:numFmt w:val="bullet"/>
      <w:lvlText w:val="•"/>
      <w:lvlJc w:val="left"/>
      <w:pPr>
        <w:ind w:left="5852" w:hanging="238"/>
      </w:pPr>
      <w:rPr>
        <w:rFonts w:hint="default"/>
        <w:lang w:val="es-ES" w:eastAsia="es-ES" w:bidi="es-ES"/>
      </w:rPr>
    </w:lvl>
    <w:lvl w:ilvl="6">
      <w:start w:val="0"/>
      <w:numFmt w:val="bullet"/>
      <w:lvlText w:val="•"/>
      <w:lvlJc w:val="left"/>
      <w:pPr>
        <w:ind w:left="6807" w:hanging="238"/>
      </w:pPr>
      <w:rPr>
        <w:rFonts w:hint="default"/>
        <w:lang w:val="es-ES" w:eastAsia="es-ES" w:bidi="es-ES"/>
      </w:rPr>
    </w:lvl>
    <w:lvl w:ilvl="7">
      <w:start w:val="0"/>
      <w:numFmt w:val="bullet"/>
      <w:lvlText w:val="•"/>
      <w:lvlJc w:val="left"/>
      <w:pPr>
        <w:ind w:left="7761" w:hanging="238"/>
      </w:pPr>
      <w:rPr>
        <w:rFonts w:hint="default"/>
        <w:lang w:val="es-ES" w:eastAsia="es-ES" w:bidi="es-ES"/>
      </w:rPr>
    </w:lvl>
    <w:lvl w:ilvl="8">
      <w:start w:val="0"/>
      <w:numFmt w:val="bullet"/>
      <w:lvlText w:val="•"/>
      <w:lvlJc w:val="left"/>
      <w:pPr>
        <w:ind w:left="8716" w:hanging="238"/>
      </w:pPr>
      <w:rPr>
        <w:rFonts w:hint="default"/>
        <w:lang w:val="es-ES" w:eastAsia="es-ES" w:bidi="es-ES"/>
      </w:rPr>
    </w:lvl>
  </w:abstractNum>
  <w:abstractNum w:abstractNumId="134">
    <w:multiLevelType w:val="hybridMultilevel"/>
    <w:lvl w:ilvl="0">
      <w:start w:val="1"/>
      <w:numFmt w:val="decimal"/>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133">
    <w:multiLevelType w:val="hybridMultilevel"/>
    <w:lvl w:ilvl="0">
      <w:start w:val="1"/>
      <w:numFmt w:val="decimal"/>
      <w:lvlText w:val="%1."/>
      <w:lvlJc w:val="left"/>
      <w:pPr>
        <w:ind w:left="1074" w:hanging="29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5"/>
      </w:pPr>
      <w:rPr>
        <w:rFonts w:hint="default"/>
        <w:lang w:val="es-ES" w:eastAsia="es-ES" w:bidi="es-ES"/>
      </w:rPr>
    </w:lvl>
    <w:lvl w:ilvl="2">
      <w:start w:val="0"/>
      <w:numFmt w:val="bullet"/>
      <w:lvlText w:val="•"/>
      <w:lvlJc w:val="left"/>
      <w:pPr>
        <w:ind w:left="2989" w:hanging="295"/>
      </w:pPr>
      <w:rPr>
        <w:rFonts w:hint="default"/>
        <w:lang w:val="es-ES" w:eastAsia="es-ES" w:bidi="es-ES"/>
      </w:rPr>
    </w:lvl>
    <w:lvl w:ilvl="3">
      <w:start w:val="0"/>
      <w:numFmt w:val="bullet"/>
      <w:lvlText w:val="•"/>
      <w:lvlJc w:val="left"/>
      <w:pPr>
        <w:ind w:left="3943" w:hanging="295"/>
      </w:pPr>
      <w:rPr>
        <w:rFonts w:hint="default"/>
        <w:lang w:val="es-ES" w:eastAsia="es-ES" w:bidi="es-ES"/>
      </w:rPr>
    </w:lvl>
    <w:lvl w:ilvl="4">
      <w:start w:val="0"/>
      <w:numFmt w:val="bullet"/>
      <w:lvlText w:val="•"/>
      <w:lvlJc w:val="left"/>
      <w:pPr>
        <w:ind w:left="4898" w:hanging="295"/>
      </w:pPr>
      <w:rPr>
        <w:rFonts w:hint="default"/>
        <w:lang w:val="es-ES" w:eastAsia="es-ES" w:bidi="es-ES"/>
      </w:rPr>
    </w:lvl>
    <w:lvl w:ilvl="5">
      <w:start w:val="0"/>
      <w:numFmt w:val="bullet"/>
      <w:lvlText w:val="•"/>
      <w:lvlJc w:val="left"/>
      <w:pPr>
        <w:ind w:left="5852" w:hanging="295"/>
      </w:pPr>
      <w:rPr>
        <w:rFonts w:hint="default"/>
        <w:lang w:val="es-ES" w:eastAsia="es-ES" w:bidi="es-ES"/>
      </w:rPr>
    </w:lvl>
    <w:lvl w:ilvl="6">
      <w:start w:val="0"/>
      <w:numFmt w:val="bullet"/>
      <w:lvlText w:val="•"/>
      <w:lvlJc w:val="left"/>
      <w:pPr>
        <w:ind w:left="6807" w:hanging="295"/>
      </w:pPr>
      <w:rPr>
        <w:rFonts w:hint="default"/>
        <w:lang w:val="es-ES" w:eastAsia="es-ES" w:bidi="es-ES"/>
      </w:rPr>
    </w:lvl>
    <w:lvl w:ilvl="7">
      <w:start w:val="0"/>
      <w:numFmt w:val="bullet"/>
      <w:lvlText w:val="•"/>
      <w:lvlJc w:val="left"/>
      <w:pPr>
        <w:ind w:left="7761" w:hanging="295"/>
      </w:pPr>
      <w:rPr>
        <w:rFonts w:hint="default"/>
        <w:lang w:val="es-ES" w:eastAsia="es-ES" w:bidi="es-ES"/>
      </w:rPr>
    </w:lvl>
    <w:lvl w:ilvl="8">
      <w:start w:val="0"/>
      <w:numFmt w:val="bullet"/>
      <w:lvlText w:val="•"/>
      <w:lvlJc w:val="left"/>
      <w:pPr>
        <w:ind w:left="8716" w:hanging="295"/>
      </w:pPr>
      <w:rPr>
        <w:rFonts w:hint="default"/>
        <w:lang w:val="es-ES" w:eastAsia="es-ES" w:bidi="es-ES"/>
      </w:rPr>
    </w:lvl>
  </w:abstractNum>
  <w:abstractNum w:abstractNumId="132">
    <w:multiLevelType w:val="hybridMultilevel"/>
    <w:lvl w:ilvl="0">
      <w:start w:val="1"/>
      <w:numFmt w:val="lowerLetter"/>
      <w:lvlText w:val="%1)"/>
      <w:lvlJc w:val="left"/>
      <w:pPr>
        <w:ind w:left="1074" w:hanging="262"/>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62"/>
      </w:pPr>
      <w:rPr>
        <w:rFonts w:hint="default"/>
        <w:lang w:val="es-ES" w:eastAsia="es-ES" w:bidi="es-ES"/>
      </w:rPr>
    </w:lvl>
    <w:lvl w:ilvl="2">
      <w:start w:val="0"/>
      <w:numFmt w:val="bullet"/>
      <w:lvlText w:val="•"/>
      <w:lvlJc w:val="left"/>
      <w:pPr>
        <w:ind w:left="2989" w:hanging="262"/>
      </w:pPr>
      <w:rPr>
        <w:rFonts w:hint="default"/>
        <w:lang w:val="es-ES" w:eastAsia="es-ES" w:bidi="es-ES"/>
      </w:rPr>
    </w:lvl>
    <w:lvl w:ilvl="3">
      <w:start w:val="0"/>
      <w:numFmt w:val="bullet"/>
      <w:lvlText w:val="•"/>
      <w:lvlJc w:val="left"/>
      <w:pPr>
        <w:ind w:left="3943" w:hanging="262"/>
      </w:pPr>
      <w:rPr>
        <w:rFonts w:hint="default"/>
        <w:lang w:val="es-ES" w:eastAsia="es-ES" w:bidi="es-ES"/>
      </w:rPr>
    </w:lvl>
    <w:lvl w:ilvl="4">
      <w:start w:val="0"/>
      <w:numFmt w:val="bullet"/>
      <w:lvlText w:val="•"/>
      <w:lvlJc w:val="left"/>
      <w:pPr>
        <w:ind w:left="4898" w:hanging="262"/>
      </w:pPr>
      <w:rPr>
        <w:rFonts w:hint="default"/>
        <w:lang w:val="es-ES" w:eastAsia="es-ES" w:bidi="es-ES"/>
      </w:rPr>
    </w:lvl>
    <w:lvl w:ilvl="5">
      <w:start w:val="0"/>
      <w:numFmt w:val="bullet"/>
      <w:lvlText w:val="•"/>
      <w:lvlJc w:val="left"/>
      <w:pPr>
        <w:ind w:left="5852" w:hanging="262"/>
      </w:pPr>
      <w:rPr>
        <w:rFonts w:hint="default"/>
        <w:lang w:val="es-ES" w:eastAsia="es-ES" w:bidi="es-ES"/>
      </w:rPr>
    </w:lvl>
    <w:lvl w:ilvl="6">
      <w:start w:val="0"/>
      <w:numFmt w:val="bullet"/>
      <w:lvlText w:val="•"/>
      <w:lvlJc w:val="left"/>
      <w:pPr>
        <w:ind w:left="6807" w:hanging="262"/>
      </w:pPr>
      <w:rPr>
        <w:rFonts w:hint="default"/>
        <w:lang w:val="es-ES" w:eastAsia="es-ES" w:bidi="es-ES"/>
      </w:rPr>
    </w:lvl>
    <w:lvl w:ilvl="7">
      <w:start w:val="0"/>
      <w:numFmt w:val="bullet"/>
      <w:lvlText w:val="•"/>
      <w:lvlJc w:val="left"/>
      <w:pPr>
        <w:ind w:left="7761" w:hanging="262"/>
      </w:pPr>
      <w:rPr>
        <w:rFonts w:hint="default"/>
        <w:lang w:val="es-ES" w:eastAsia="es-ES" w:bidi="es-ES"/>
      </w:rPr>
    </w:lvl>
    <w:lvl w:ilvl="8">
      <w:start w:val="0"/>
      <w:numFmt w:val="bullet"/>
      <w:lvlText w:val="•"/>
      <w:lvlJc w:val="left"/>
      <w:pPr>
        <w:ind w:left="8716" w:hanging="262"/>
      </w:pPr>
      <w:rPr>
        <w:rFonts w:hint="default"/>
        <w:lang w:val="es-ES" w:eastAsia="es-ES" w:bidi="es-ES"/>
      </w:rPr>
    </w:lvl>
  </w:abstractNum>
  <w:abstractNum w:abstractNumId="131">
    <w:multiLevelType w:val="hybridMultilevel"/>
    <w:lvl w:ilvl="0">
      <w:start w:val="1"/>
      <w:numFmt w:val="decimal"/>
      <w:lvlText w:val="%1."/>
      <w:lvlJc w:val="left"/>
      <w:pPr>
        <w:ind w:left="107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6"/>
      </w:pPr>
      <w:rPr>
        <w:rFonts w:hint="default"/>
        <w:lang w:val="es-ES" w:eastAsia="es-ES" w:bidi="es-ES"/>
      </w:rPr>
    </w:lvl>
    <w:lvl w:ilvl="2">
      <w:start w:val="0"/>
      <w:numFmt w:val="bullet"/>
      <w:lvlText w:val="•"/>
      <w:lvlJc w:val="left"/>
      <w:pPr>
        <w:ind w:left="2989" w:hanging="246"/>
      </w:pPr>
      <w:rPr>
        <w:rFonts w:hint="default"/>
        <w:lang w:val="es-ES" w:eastAsia="es-ES" w:bidi="es-ES"/>
      </w:rPr>
    </w:lvl>
    <w:lvl w:ilvl="3">
      <w:start w:val="0"/>
      <w:numFmt w:val="bullet"/>
      <w:lvlText w:val="•"/>
      <w:lvlJc w:val="left"/>
      <w:pPr>
        <w:ind w:left="3943" w:hanging="246"/>
      </w:pPr>
      <w:rPr>
        <w:rFonts w:hint="default"/>
        <w:lang w:val="es-ES" w:eastAsia="es-ES" w:bidi="es-ES"/>
      </w:rPr>
    </w:lvl>
    <w:lvl w:ilvl="4">
      <w:start w:val="0"/>
      <w:numFmt w:val="bullet"/>
      <w:lvlText w:val="•"/>
      <w:lvlJc w:val="left"/>
      <w:pPr>
        <w:ind w:left="4898" w:hanging="246"/>
      </w:pPr>
      <w:rPr>
        <w:rFonts w:hint="default"/>
        <w:lang w:val="es-ES" w:eastAsia="es-ES" w:bidi="es-ES"/>
      </w:rPr>
    </w:lvl>
    <w:lvl w:ilvl="5">
      <w:start w:val="0"/>
      <w:numFmt w:val="bullet"/>
      <w:lvlText w:val="•"/>
      <w:lvlJc w:val="left"/>
      <w:pPr>
        <w:ind w:left="5852" w:hanging="246"/>
      </w:pPr>
      <w:rPr>
        <w:rFonts w:hint="default"/>
        <w:lang w:val="es-ES" w:eastAsia="es-ES" w:bidi="es-ES"/>
      </w:rPr>
    </w:lvl>
    <w:lvl w:ilvl="6">
      <w:start w:val="0"/>
      <w:numFmt w:val="bullet"/>
      <w:lvlText w:val="•"/>
      <w:lvlJc w:val="left"/>
      <w:pPr>
        <w:ind w:left="6807" w:hanging="246"/>
      </w:pPr>
      <w:rPr>
        <w:rFonts w:hint="default"/>
        <w:lang w:val="es-ES" w:eastAsia="es-ES" w:bidi="es-ES"/>
      </w:rPr>
    </w:lvl>
    <w:lvl w:ilvl="7">
      <w:start w:val="0"/>
      <w:numFmt w:val="bullet"/>
      <w:lvlText w:val="•"/>
      <w:lvlJc w:val="left"/>
      <w:pPr>
        <w:ind w:left="7761" w:hanging="246"/>
      </w:pPr>
      <w:rPr>
        <w:rFonts w:hint="default"/>
        <w:lang w:val="es-ES" w:eastAsia="es-ES" w:bidi="es-ES"/>
      </w:rPr>
    </w:lvl>
    <w:lvl w:ilvl="8">
      <w:start w:val="0"/>
      <w:numFmt w:val="bullet"/>
      <w:lvlText w:val="•"/>
      <w:lvlJc w:val="left"/>
      <w:pPr>
        <w:ind w:left="8716" w:hanging="246"/>
      </w:pPr>
      <w:rPr>
        <w:rFonts w:hint="default"/>
        <w:lang w:val="es-ES" w:eastAsia="es-ES" w:bidi="es-ES"/>
      </w:rPr>
    </w:lvl>
  </w:abstractNum>
  <w:abstractNum w:abstractNumId="130">
    <w:multiLevelType w:val="hybridMultilevel"/>
    <w:lvl w:ilvl="0">
      <w:start w:val="1"/>
      <w:numFmt w:val="decimal"/>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129">
    <w:multiLevelType w:val="hybridMultilevel"/>
    <w:lvl w:ilvl="0">
      <w:start w:val="1"/>
      <w:numFmt w:val="decimal"/>
      <w:lvlText w:val="%1."/>
      <w:lvlJc w:val="left"/>
      <w:pPr>
        <w:ind w:left="1074" w:hanging="23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0"/>
      </w:pPr>
      <w:rPr>
        <w:rFonts w:hint="default"/>
        <w:lang w:val="es-ES" w:eastAsia="es-ES" w:bidi="es-ES"/>
      </w:rPr>
    </w:lvl>
    <w:lvl w:ilvl="2">
      <w:start w:val="0"/>
      <w:numFmt w:val="bullet"/>
      <w:lvlText w:val="•"/>
      <w:lvlJc w:val="left"/>
      <w:pPr>
        <w:ind w:left="2989" w:hanging="230"/>
      </w:pPr>
      <w:rPr>
        <w:rFonts w:hint="default"/>
        <w:lang w:val="es-ES" w:eastAsia="es-ES" w:bidi="es-ES"/>
      </w:rPr>
    </w:lvl>
    <w:lvl w:ilvl="3">
      <w:start w:val="0"/>
      <w:numFmt w:val="bullet"/>
      <w:lvlText w:val="•"/>
      <w:lvlJc w:val="left"/>
      <w:pPr>
        <w:ind w:left="3943" w:hanging="230"/>
      </w:pPr>
      <w:rPr>
        <w:rFonts w:hint="default"/>
        <w:lang w:val="es-ES" w:eastAsia="es-ES" w:bidi="es-ES"/>
      </w:rPr>
    </w:lvl>
    <w:lvl w:ilvl="4">
      <w:start w:val="0"/>
      <w:numFmt w:val="bullet"/>
      <w:lvlText w:val="•"/>
      <w:lvlJc w:val="left"/>
      <w:pPr>
        <w:ind w:left="4898" w:hanging="230"/>
      </w:pPr>
      <w:rPr>
        <w:rFonts w:hint="default"/>
        <w:lang w:val="es-ES" w:eastAsia="es-ES" w:bidi="es-ES"/>
      </w:rPr>
    </w:lvl>
    <w:lvl w:ilvl="5">
      <w:start w:val="0"/>
      <w:numFmt w:val="bullet"/>
      <w:lvlText w:val="•"/>
      <w:lvlJc w:val="left"/>
      <w:pPr>
        <w:ind w:left="5852" w:hanging="230"/>
      </w:pPr>
      <w:rPr>
        <w:rFonts w:hint="default"/>
        <w:lang w:val="es-ES" w:eastAsia="es-ES" w:bidi="es-ES"/>
      </w:rPr>
    </w:lvl>
    <w:lvl w:ilvl="6">
      <w:start w:val="0"/>
      <w:numFmt w:val="bullet"/>
      <w:lvlText w:val="•"/>
      <w:lvlJc w:val="left"/>
      <w:pPr>
        <w:ind w:left="6807" w:hanging="230"/>
      </w:pPr>
      <w:rPr>
        <w:rFonts w:hint="default"/>
        <w:lang w:val="es-ES" w:eastAsia="es-ES" w:bidi="es-ES"/>
      </w:rPr>
    </w:lvl>
    <w:lvl w:ilvl="7">
      <w:start w:val="0"/>
      <w:numFmt w:val="bullet"/>
      <w:lvlText w:val="•"/>
      <w:lvlJc w:val="left"/>
      <w:pPr>
        <w:ind w:left="7761" w:hanging="230"/>
      </w:pPr>
      <w:rPr>
        <w:rFonts w:hint="default"/>
        <w:lang w:val="es-ES" w:eastAsia="es-ES" w:bidi="es-ES"/>
      </w:rPr>
    </w:lvl>
    <w:lvl w:ilvl="8">
      <w:start w:val="0"/>
      <w:numFmt w:val="bullet"/>
      <w:lvlText w:val="•"/>
      <w:lvlJc w:val="left"/>
      <w:pPr>
        <w:ind w:left="8716" w:hanging="230"/>
      </w:pPr>
      <w:rPr>
        <w:rFonts w:hint="default"/>
        <w:lang w:val="es-ES" w:eastAsia="es-ES" w:bidi="es-ES"/>
      </w:rPr>
    </w:lvl>
  </w:abstractNum>
  <w:abstractNum w:abstractNumId="128">
    <w:multiLevelType w:val="hybridMultilevel"/>
    <w:lvl w:ilvl="0">
      <w:start w:val="1"/>
      <w:numFmt w:val="lowerLetter"/>
      <w:lvlText w:val="%1)"/>
      <w:lvlJc w:val="left"/>
      <w:pPr>
        <w:ind w:left="1074" w:hanging="270"/>
        <w:jc w:val="left"/>
      </w:pPr>
      <w:rPr>
        <w:rFonts w:hint="default" w:ascii="Arial" w:hAnsi="Arial" w:eastAsia="Arial" w:cs="Arial"/>
        <w:spacing w:val="-20"/>
        <w:w w:val="100"/>
        <w:sz w:val="20"/>
        <w:szCs w:val="20"/>
        <w:lang w:val="es-ES" w:eastAsia="es-ES" w:bidi="es-ES"/>
      </w:rPr>
    </w:lvl>
    <w:lvl w:ilvl="1">
      <w:start w:val="0"/>
      <w:numFmt w:val="bullet"/>
      <w:lvlText w:val="•"/>
      <w:lvlJc w:val="left"/>
      <w:pPr>
        <w:ind w:left="2034" w:hanging="270"/>
      </w:pPr>
      <w:rPr>
        <w:rFonts w:hint="default"/>
        <w:lang w:val="es-ES" w:eastAsia="es-ES" w:bidi="es-ES"/>
      </w:rPr>
    </w:lvl>
    <w:lvl w:ilvl="2">
      <w:start w:val="0"/>
      <w:numFmt w:val="bullet"/>
      <w:lvlText w:val="•"/>
      <w:lvlJc w:val="left"/>
      <w:pPr>
        <w:ind w:left="2989" w:hanging="270"/>
      </w:pPr>
      <w:rPr>
        <w:rFonts w:hint="default"/>
        <w:lang w:val="es-ES" w:eastAsia="es-ES" w:bidi="es-ES"/>
      </w:rPr>
    </w:lvl>
    <w:lvl w:ilvl="3">
      <w:start w:val="0"/>
      <w:numFmt w:val="bullet"/>
      <w:lvlText w:val="•"/>
      <w:lvlJc w:val="left"/>
      <w:pPr>
        <w:ind w:left="3943" w:hanging="270"/>
      </w:pPr>
      <w:rPr>
        <w:rFonts w:hint="default"/>
        <w:lang w:val="es-ES" w:eastAsia="es-ES" w:bidi="es-ES"/>
      </w:rPr>
    </w:lvl>
    <w:lvl w:ilvl="4">
      <w:start w:val="0"/>
      <w:numFmt w:val="bullet"/>
      <w:lvlText w:val="•"/>
      <w:lvlJc w:val="left"/>
      <w:pPr>
        <w:ind w:left="4898" w:hanging="270"/>
      </w:pPr>
      <w:rPr>
        <w:rFonts w:hint="default"/>
        <w:lang w:val="es-ES" w:eastAsia="es-ES" w:bidi="es-ES"/>
      </w:rPr>
    </w:lvl>
    <w:lvl w:ilvl="5">
      <w:start w:val="0"/>
      <w:numFmt w:val="bullet"/>
      <w:lvlText w:val="•"/>
      <w:lvlJc w:val="left"/>
      <w:pPr>
        <w:ind w:left="5852" w:hanging="270"/>
      </w:pPr>
      <w:rPr>
        <w:rFonts w:hint="default"/>
        <w:lang w:val="es-ES" w:eastAsia="es-ES" w:bidi="es-ES"/>
      </w:rPr>
    </w:lvl>
    <w:lvl w:ilvl="6">
      <w:start w:val="0"/>
      <w:numFmt w:val="bullet"/>
      <w:lvlText w:val="•"/>
      <w:lvlJc w:val="left"/>
      <w:pPr>
        <w:ind w:left="6807" w:hanging="270"/>
      </w:pPr>
      <w:rPr>
        <w:rFonts w:hint="default"/>
        <w:lang w:val="es-ES" w:eastAsia="es-ES" w:bidi="es-ES"/>
      </w:rPr>
    </w:lvl>
    <w:lvl w:ilvl="7">
      <w:start w:val="0"/>
      <w:numFmt w:val="bullet"/>
      <w:lvlText w:val="•"/>
      <w:lvlJc w:val="left"/>
      <w:pPr>
        <w:ind w:left="7761" w:hanging="270"/>
      </w:pPr>
      <w:rPr>
        <w:rFonts w:hint="default"/>
        <w:lang w:val="es-ES" w:eastAsia="es-ES" w:bidi="es-ES"/>
      </w:rPr>
    </w:lvl>
    <w:lvl w:ilvl="8">
      <w:start w:val="0"/>
      <w:numFmt w:val="bullet"/>
      <w:lvlText w:val="•"/>
      <w:lvlJc w:val="left"/>
      <w:pPr>
        <w:ind w:left="8716" w:hanging="270"/>
      </w:pPr>
      <w:rPr>
        <w:rFonts w:hint="default"/>
        <w:lang w:val="es-ES" w:eastAsia="es-ES" w:bidi="es-ES"/>
      </w:rPr>
    </w:lvl>
  </w:abstractNum>
  <w:abstractNum w:abstractNumId="127">
    <w:multiLevelType w:val="hybridMultilevel"/>
    <w:lvl w:ilvl="0">
      <w:start w:val="1"/>
      <w:numFmt w:val="decimal"/>
      <w:lvlText w:val="%1."/>
      <w:lvlJc w:val="left"/>
      <w:pPr>
        <w:ind w:left="1074" w:hanging="22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4"/>
      </w:pPr>
      <w:rPr>
        <w:rFonts w:hint="default"/>
        <w:lang w:val="es-ES" w:eastAsia="es-ES" w:bidi="es-ES"/>
      </w:rPr>
    </w:lvl>
    <w:lvl w:ilvl="2">
      <w:start w:val="0"/>
      <w:numFmt w:val="bullet"/>
      <w:lvlText w:val="•"/>
      <w:lvlJc w:val="left"/>
      <w:pPr>
        <w:ind w:left="2989" w:hanging="224"/>
      </w:pPr>
      <w:rPr>
        <w:rFonts w:hint="default"/>
        <w:lang w:val="es-ES" w:eastAsia="es-ES" w:bidi="es-ES"/>
      </w:rPr>
    </w:lvl>
    <w:lvl w:ilvl="3">
      <w:start w:val="0"/>
      <w:numFmt w:val="bullet"/>
      <w:lvlText w:val="•"/>
      <w:lvlJc w:val="left"/>
      <w:pPr>
        <w:ind w:left="3943" w:hanging="224"/>
      </w:pPr>
      <w:rPr>
        <w:rFonts w:hint="default"/>
        <w:lang w:val="es-ES" w:eastAsia="es-ES" w:bidi="es-ES"/>
      </w:rPr>
    </w:lvl>
    <w:lvl w:ilvl="4">
      <w:start w:val="0"/>
      <w:numFmt w:val="bullet"/>
      <w:lvlText w:val="•"/>
      <w:lvlJc w:val="left"/>
      <w:pPr>
        <w:ind w:left="4898" w:hanging="224"/>
      </w:pPr>
      <w:rPr>
        <w:rFonts w:hint="default"/>
        <w:lang w:val="es-ES" w:eastAsia="es-ES" w:bidi="es-ES"/>
      </w:rPr>
    </w:lvl>
    <w:lvl w:ilvl="5">
      <w:start w:val="0"/>
      <w:numFmt w:val="bullet"/>
      <w:lvlText w:val="•"/>
      <w:lvlJc w:val="left"/>
      <w:pPr>
        <w:ind w:left="5852" w:hanging="224"/>
      </w:pPr>
      <w:rPr>
        <w:rFonts w:hint="default"/>
        <w:lang w:val="es-ES" w:eastAsia="es-ES" w:bidi="es-ES"/>
      </w:rPr>
    </w:lvl>
    <w:lvl w:ilvl="6">
      <w:start w:val="0"/>
      <w:numFmt w:val="bullet"/>
      <w:lvlText w:val="•"/>
      <w:lvlJc w:val="left"/>
      <w:pPr>
        <w:ind w:left="6807" w:hanging="224"/>
      </w:pPr>
      <w:rPr>
        <w:rFonts w:hint="default"/>
        <w:lang w:val="es-ES" w:eastAsia="es-ES" w:bidi="es-ES"/>
      </w:rPr>
    </w:lvl>
    <w:lvl w:ilvl="7">
      <w:start w:val="0"/>
      <w:numFmt w:val="bullet"/>
      <w:lvlText w:val="•"/>
      <w:lvlJc w:val="left"/>
      <w:pPr>
        <w:ind w:left="7761" w:hanging="224"/>
      </w:pPr>
      <w:rPr>
        <w:rFonts w:hint="default"/>
        <w:lang w:val="es-ES" w:eastAsia="es-ES" w:bidi="es-ES"/>
      </w:rPr>
    </w:lvl>
    <w:lvl w:ilvl="8">
      <w:start w:val="0"/>
      <w:numFmt w:val="bullet"/>
      <w:lvlText w:val="•"/>
      <w:lvlJc w:val="left"/>
      <w:pPr>
        <w:ind w:left="8716" w:hanging="224"/>
      </w:pPr>
      <w:rPr>
        <w:rFonts w:hint="default"/>
        <w:lang w:val="es-ES" w:eastAsia="es-ES" w:bidi="es-ES"/>
      </w:rPr>
    </w:lvl>
  </w:abstractNum>
  <w:abstractNum w:abstractNumId="126">
    <w:multiLevelType w:val="hybridMultilevel"/>
    <w:lvl w:ilvl="0">
      <w:start w:val="1"/>
      <w:numFmt w:val="decimal"/>
      <w:lvlText w:val="%1."/>
      <w:lvlJc w:val="left"/>
      <w:pPr>
        <w:ind w:left="1074" w:hanging="22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8"/>
      </w:pPr>
      <w:rPr>
        <w:rFonts w:hint="default"/>
        <w:lang w:val="es-ES" w:eastAsia="es-ES" w:bidi="es-ES"/>
      </w:rPr>
    </w:lvl>
    <w:lvl w:ilvl="2">
      <w:start w:val="0"/>
      <w:numFmt w:val="bullet"/>
      <w:lvlText w:val="•"/>
      <w:lvlJc w:val="left"/>
      <w:pPr>
        <w:ind w:left="2989" w:hanging="228"/>
      </w:pPr>
      <w:rPr>
        <w:rFonts w:hint="default"/>
        <w:lang w:val="es-ES" w:eastAsia="es-ES" w:bidi="es-ES"/>
      </w:rPr>
    </w:lvl>
    <w:lvl w:ilvl="3">
      <w:start w:val="0"/>
      <w:numFmt w:val="bullet"/>
      <w:lvlText w:val="•"/>
      <w:lvlJc w:val="left"/>
      <w:pPr>
        <w:ind w:left="3943" w:hanging="228"/>
      </w:pPr>
      <w:rPr>
        <w:rFonts w:hint="default"/>
        <w:lang w:val="es-ES" w:eastAsia="es-ES" w:bidi="es-ES"/>
      </w:rPr>
    </w:lvl>
    <w:lvl w:ilvl="4">
      <w:start w:val="0"/>
      <w:numFmt w:val="bullet"/>
      <w:lvlText w:val="•"/>
      <w:lvlJc w:val="left"/>
      <w:pPr>
        <w:ind w:left="4898" w:hanging="228"/>
      </w:pPr>
      <w:rPr>
        <w:rFonts w:hint="default"/>
        <w:lang w:val="es-ES" w:eastAsia="es-ES" w:bidi="es-ES"/>
      </w:rPr>
    </w:lvl>
    <w:lvl w:ilvl="5">
      <w:start w:val="0"/>
      <w:numFmt w:val="bullet"/>
      <w:lvlText w:val="•"/>
      <w:lvlJc w:val="left"/>
      <w:pPr>
        <w:ind w:left="5852" w:hanging="228"/>
      </w:pPr>
      <w:rPr>
        <w:rFonts w:hint="default"/>
        <w:lang w:val="es-ES" w:eastAsia="es-ES" w:bidi="es-ES"/>
      </w:rPr>
    </w:lvl>
    <w:lvl w:ilvl="6">
      <w:start w:val="0"/>
      <w:numFmt w:val="bullet"/>
      <w:lvlText w:val="•"/>
      <w:lvlJc w:val="left"/>
      <w:pPr>
        <w:ind w:left="6807" w:hanging="228"/>
      </w:pPr>
      <w:rPr>
        <w:rFonts w:hint="default"/>
        <w:lang w:val="es-ES" w:eastAsia="es-ES" w:bidi="es-ES"/>
      </w:rPr>
    </w:lvl>
    <w:lvl w:ilvl="7">
      <w:start w:val="0"/>
      <w:numFmt w:val="bullet"/>
      <w:lvlText w:val="•"/>
      <w:lvlJc w:val="left"/>
      <w:pPr>
        <w:ind w:left="7761" w:hanging="228"/>
      </w:pPr>
      <w:rPr>
        <w:rFonts w:hint="default"/>
        <w:lang w:val="es-ES" w:eastAsia="es-ES" w:bidi="es-ES"/>
      </w:rPr>
    </w:lvl>
    <w:lvl w:ilvl="8">
      <w:start w:val="0"/>
      <w:numFmt w:val="bullet"/>
      <w:lvlText w:val="•"/>
      <w:lvlJc w:val="left"/>
      <w:pPr>
        <w:ind w:left="8716" w:hanging="228"/>
      </w:pPr>
      <w:rPr>
        <w:rFonts w:hint="default"/>
        <w:lang w:val="es-ES" w:eastAsia="es-ES" w:bidi="es-ES"/>
      </w:rPr>
    </w:lvl>
  </w:abstractNum>
  <w:abstractNum w:abstractNumId="125">
    <w:multiLevelType w:val="hybridMultilevel"/>
    <w:lvl w:ilvl="0">
      <w:start w:val="1"/>
      <w:numFmt w:val="lowerLetter"/>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124">
    <w:multiLevelType w:val="hybridMultilevel"/>
    <w:lvl w:ilvl="0">
      <w:start w:val="2"/>
      <w:numFmt w:val="decimal"/>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123">
    <w:multiLevelType w:val="hybridMultilevel"/>
    <w:lvl w:ilvl="0">
      <w:start w:val="1"/>
      <w:numFmt w:val="lowerLetter"/>
      <w:lvlText w:val="%1)"/>
      <w:lvlJc w:val="left"/>
      <w:pPr>
        <w:ind w:left="141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340" w:hanging="234"/>
      </w:pPr>
      <w:rPr>
        <w:rFonts w:hint="default"/>
        <w:lang w:val="es-ES" w:eastAsia="es-ES" w:bidi="es-ES"/>
      </w:rPr>
    </w:lvl>
    <w:lvl w:ilvl="2">
      <w:start w:val="0"/>
      <w:numFmt w:val="bullet"/>
      <w:lvlText w:val="•"/>
      <w:lvlJc w:val="left"/>
      <w:pPr>
        <w:ind w:left="3261" w:hanging="234"/>
      </w:pPr>
      <w:rPr>
        <w:rFonts w:hint="default"/>
        <w:lang w:val="es-ES" w:eastAsia="es-ES" w:bidi="es-ES"/>
      </w:rPr>
    </w:lvl>
    <w:lvl w:ilvl="3">
      <w:start w:val="0"/>
      <w:numFmt w:val="bullet"/>
      <w:lvlText w:val="•"/>
      <w:lvlJc w:val="left"/>
      <w:pPr>
        <w:ind w:left="4181" w:hanging="234"/>
      </w:pPr>
      <w:rPr>
        <w:rFonts w:hint="default"/>
        <w:lang w:val="es-ES" w:eastAsia="es-ES" w:bidi="es-ES"/>
      </w:rPr>
    </w:lvl>
    <w:lvl w:ilvl="4">
      <w:start w:val="0"/>
      <w:numFmt w:val="bullet"/>
      <w:lvlText w:val="•"/>
      <w:lvlJc w:val="left"/>
      <w:pPr>
        <w:ind w:left="5102" w:hanging="234"/>
      </w:pPr>
      <w:rPr>
        <w:rFonts w:hint="default"/>
        <w:lang w:val="es-ES" w:eastAsia="es-ES" w:bidi="es-ES"/>
      </w:rPr>
    </w:lvl>
    <w:lvl w:ilvl="5">
      <w:start w:val="0"/>
      <w:numFmt w:val="bullet"/>
      <w:lvlText w:val="•"/>
      <w:lvlJc w:val="left"/>
      <w:pPr>
        <w:ind w:left="6022" w:hanging="234"/>
      </w:pPr>
      <w:rPr>
        <w:rFonts w:hint="default"/>
        <w:lang w:val="es-ES" w:eastAsia="es-ES" w:bidi="es-ES"/>
      </w:rPr>
    </w:lvl>
    <w:lvl w:ilvl="6">
      <w:start w:val="0"/>
      <w:numFmt w:val="bullet"/>
      <w:lvlText w:val="•"/>
      <w:lvlJc w:val="left"/>
      <w:pPr>
        <w:ind w:left="6943" w:hanging="234"/>
      </w:pPr>
      <w:rPr>
        <w:rFonts w:hint="default"/>
        <w:lang w:val="es-ES" w:eastAsia="es-ES" w:bidi="es-ES"/>
      </w:rPr>
    </w:lvl>
    <w:lvl w:ilvl="7">
      <w:start w:val="0"/>
      <w:numFmt w:val="bullet"/>
      <w:lvlText w:val="•"/>
      <w:lvlJc w:val="left"/>
      <w:pPr>
        <w:ind w:left="7863" w:hanging="234"/>
      </w:pPr>
      <w:rPr>
        <w:rFonts w:hint="default"/>
        <w:lang w:val="es-ES" w:eastAsia="es-ES" w:bidi="es-ES"/>
      </w:rPr>
    </w:lvl>
    <w:lvl w:ilvl="8">
      <w:start w:val="0"/>
      <w:numFmt w:val="bullet"/>
      <w:lvlText w:val="•"/>
      <w:lvlJc w:val="left"/>
      <w:pPr>
        <w:ind w:left="8784" w:hanging="234"/>
      </w:pPr>
      <w:rPr>
        <w:rFonts w:hint="default"/>
        <w:lang w:val="es-ES" w:eastAsia="es-ES" w:bidi="es-ES"/>
      </w:rPr>
    </w:lvl>
  </w:abstractNum>
  <w:abstractNum w:abstractNumId="122">
    <w:multiLevelType w:val="hybridMultilevel"/>
    <w:lvl w:ilvl="0">
      <w:start w:val="1"/>
      <w:numFmt w:val="decimal"/>
      <w:lvlText w:val="%1."/>
      <w:lvlJc w:val="left"/>
      <w:pPr>
        <w:ind w:left="1074" w:hanging="22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7"/>
      </w:pPr>
      <w:rPr>
        <w:rFonts w:hint="default"/>
        <w:lang w:val="es-ES" w:eastAsia="es-ES" w:bidi="es-ES"/>
      </w:rPr>
    </w:lvl>
    <w:lvl w:ilvl="2">
      <w:start w:val="0"/>
      <w:numFmt w:val="bullet"/>
      <w:lvlText w:val="•"/>
      <w:lvlJc w:val="left"/>
      <w:pPr>
        <w:ind w:left="2989" w:hanging="227"/>
      </w:pPr>
      <w:rPr>
        <w:rFonts w:hint="default"/>
        <w:lang w:val="es-ES" w:eastAsia="es-ES" w:bidi="es-ES"/>
      </w:rPr>
    </w:lvl>
    <w:lvl w:ilvl="3">
      <w:start w:val="0"/>
      <w:numFmt w:val="bullet"/>
      <w:lvlText w:val="•"/>
      <w:lvlJc w:val="left"/>
      <w:pPr>
        <w:ind w:left="3943" w:hanging="227"/>
      </w:pPr>
      <w:rPr>
        <w:rFonts w:hint="default"/>
        <w:lang w:val="es-ES" w:eastAsia="es-ES" w:bidi="es-ES"/>
      </w:rPr>
    </w:lvl>
    <w:lvl w:ilvl="4">
      <w:start w:val="0"/>
      <w:numFmt w:val="bullet"/>
      <w:lvlText w:val="•"/>
      <w:lvlJc w:val="left"/>
      <w:pPr>
        <w:ind w:left="4898" w:hanging="227"/>
      </w:pPr>
      <w:rPr>
        <w:rFonts w:hint="default"/>
        <w:lang w:val="es-ES" w:eastAsia="es-ES" w:bidi="es-ES"/>
      </w:rPr>
    </w:lvl>
    <w:lvl w:ilvl="5">
      <w:start w:val="0"/>
      <w:numFmt w:val="bullet"/>
      <w:lvlText w:val="•"/>
      <w:lvlJc w:val="left"/>
      <w:pPr>
        <w:ind w:left="5852" w:hanging="227"/>
      </w:pPr>
      <w:rPr>
        <w:rFonts w:hint="default"/>
        <w:lang w:val="es-ES" w:eastAsia="es-ES" w:bidi="es-ES"/>
      </w:rPr>
    </w:lvl>
    <w:lvl w:ilvl="6">
      <w:start w:val="0"/>
      <w:numFmt w:val="bullet"/>
      <w:lvlText w:val="•"/>
      <w:lvlJc w:val="left"/>
      <w:pPr>
        <w:ind w:left="6807" w:hanging="227"/>
      </w:pPr>
      <w:rPr>
        <w:rFonts w:hint="default"/>
        <w:lang w:val="es-ES" w:eastAsia="es-ES" w:bidi="es-ES"/>
      </w:rPr>
    </w:lvl>
    <w:lvl w:ilvl="7">
      <w:start w:val="0"/>
      <w:numFmt w:val="bullet"/>
      <w:lvlText w:val="•"/>
      <w:lvlJc w:val="left"/>
      <w:pPr>
        <w:ind w:left="7761" w:hanging="227"/>
      </w:pPr>
      <w:rPr>
        <w:rFonts w:hint="default"/>
        <w:lang w:val="es-ES" w:eastAsia="es-ES" w:bidi="es-ES"/>
      </w:rPr>
    </w:lvl>
    <w:lvl w:ilvl="8">
      <w:start w:val="0"/>
      <w:numFmt w:val="bullet"/>
      <w:lvlText w:val="•"/>
      <w:lvlJc w:val="left"/>
      <w:pPr>
        <w:ind w:left="8716" w:hanging="227"/>
      </w:pPr>
      <w:rPr>
        <w:rFonts w:hint="default"/>
        <w:lang w:val="es-ES" w:eastAsia="es-ES" w:bidi="es-ES"/>
      </w:rPr>
    </w:lvl>
  </w:abstractNum>
  <w:abstractNum w:abstractNumId="121">
    <w:multiLevelType w:val="hybridMultilevel"/>
    <w:lvl w:ilvl="0">
      <w:start w:val="1"/>
      <w:numFmt w:val="lowerLetter"/>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120">
    <w:multiLevelType w:val="hybridMultilevel"/>
    <w:lvl w:ilvl="0">
      <w:start w:val="1"/>
      <w:numFmt w:val="lowerLetter"/>
      <w:lvlText w:val="%1)"/>
      <w:lvlJc w:val="left"/>
      <w:pPr>
        <w:ind w:left="1074" w:hanging="26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119">
    <w:multiLevelType w:val="hybridMultilevel"/>
    <w:lvl w:ilvl="0">
      <w:start w:val="1"/>
      <w:numFmt w:val="lowerLetter"/>
      <w:lvlText w:val="%1)"/>
      <w:lvlJc w:val="left"/>
      <w:pPr>
        <w:ind w:left="1074" w:hanging="23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9"/>
      </w:pPr>
      <w:rPr>
        <w:rFonts w:hint="default"/>
        <w:lang w:val="es-ES" w:eastAsia="es-ES" w:bidi="es-ES"/>
      </w:rPr>
    </w:lvl>
    <w:lvl w:ilvl="2">
      <w:start w:val="0"/>
      <w:numFmt w:val="bullet"/>
      <w:lvlText w:val="•"/>
      <w:lvlJc w:val="left"/>
      <w:pPr>
        <w:ind w:left="2989" w:hanging="239"/>
      </w:pPr>
      <w:rPr>
        <w:rFonts w:hint="default"/>
        <w:lang w:val="es-ES" w:eastAsia="es-ES" w:bidi="es-ES"/>
      </w:rPr>
    </w:lvl>
    <w:lvl w:ilvl="3">
      <w:start w:val="0"/>
      <w:numFmt w:val="bullet"/>
      <w:lvlText w:val="•"/>
      <w:lvlJc w:val="left"/>
      <w:pPr>
        <w:ind w:left="3943" w:hanging="239"/>
      </w:pPr>
      <w:rPr>
        <w:rFonts w:hint="default"/>
        <w:lang w:val="es-ES" w:eastAsia="es-ES" w:bidi="es-ES"/>
      </w:rPr>
    </w:lvl>
    <w:lvl w:ilvl="4">
      <w:start w:val="0"/>
      <w:numFmt w:val="bullet"/>
      <w:lvlText w:val="•"/>
      <w:lvlJc w:val="left"/>
      <w:pPr>
        <w:ind w:left="4898" w:hanging="239"/>
      </w:pPr>
      <w:rPr>
        <w:rFonts w:hint="default"/>
        <w:lang w:val="es-ES" w:eastAsia="es-ES" w:bidi="es-ES"/>
      </w:rPr>
    </w:lvl>
    <w:lvl w:ilvl="5">
      <w:start w:val="0"/>
      <w:numFmt w:val="bullet"/>
      <w:lvlText w:val="•"/>
      <w:lvlJc w:val="left"/>
      <w:pPr>
        <w:ind w:left="5852" w:hanging="239"/>
      </w:pPr>
      <w:rPr>
        <w:rFonts w:hint="default"/>
        <w:lang w:val="es-ES" w:eastAsia="es-ES" w:bidi="es-ES"/>
      </w:rPr>
    </w:lvl>
    <w:lvl w:ilvl="6">
      <w:start w:val="0"/>
      <w:numFmt w:val="bullet"/>
      <w:lvlText w:val="•"/>
      <w:lvlJc w:val="left"/>
      <w:pPr>
        <w:ind w:left="6807" w:hanging="239"/>
      </w:pPr>
      <w:rPr>
        <w:rFonts w:hint="default"/>
        <w:lang w:val="es-ES" w:eastAsia="es-ES" w:bidi="es-ES"/>
      </w:rPr>
    </w:lvl>
    <w:lvl w:ilvl="7">
      <w:start w:val="0"/>
      <w:numFmt w:val="bullet"/>
      <w:lvlText w:val="•"/>
      <w:lvlJc w:val="left"/>
      <w:pPr>
        <w:ind w:left="7761" w:hanging="239"/>
      </w:pPr>
      <w:rPr>
        <w:rFonts w:hint="default"/>
        <w:lang w:val="es-ES" w:eastAsia="es-ES" w:bidi="es-ES"/>
      </w:rPr>
    </w:lvl>
    <w:lvl w:ilvl="8">
      <w:start w:val="0"/>
      <w:numFmt w:val="bullet"/>
      <w:lvlText w:val="•"/>
      <w:lvlJc w:val="left"/>
      <w:pPr>
        <w:ind w:left="8716" w:hanging="239"/>
      </w:pPr>
      <w:rPr>
        <w:rFonts w:hint="default"/>
        <w:lang w:val="es-ES" w:eastAsia="es-ES" w:bidi="es-ES"/>
      </w:rPr>
    </w:lvl>
  </w:abstractNum>
  <w:abstractNum w:abstractNumId="118">
    <w:multiLevelType w:val="hybridMultilevel"/>
    <w:lvl w:ilvl="0">
      <w:start w:val="1"/>
      <w:numFmt w:val="lowerLetter"/>
      <w:lvlText w:val="%1)"/>
      <w:lvlJc w:val="left"/>
      <w:pPr>
        <w:ind w:left="1074" w:hanging="24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6"/>
      </w:pPr>
      <w:rPr>
        <w:rFonts w:hint="default"/>
        <w:lang w:val="es-ES" w:eastAsia="es-ES" w:bidi="es-ES"/>
      </w:rPr>
    </w:lvl>
    <w:lvl w:ilvl="2">
      <w:start w:val="0"/>
      <w:numFmt w:val="bullet"/>
      <w:lvlText w:val="•"/>
      <w:lvlJc w:val="left"/>
      <w:pPr>
        <w:ind w:left="2989" w:hanging="246"/>
      </w:pPr>
      <w:rPr>
        <w:rFonts w:hint="default"/>
        <w:lang w:val="es-ES" w:eastAsia="es-ES" w:bidi="es-ES"/>
      </w:rPr>
    </w:lvl>
    <w:lvl w:ilvl="3">
      <w:start w:val="0"/>
      <w:numFmt w:val="bullet"/>
      <w:lvlText w:val="•"/>
      <w:lvlJc w:val="left"/>
      <w:pPr>
        <w:ind w:left="3943" w:hanging="246"/>
      </w:pPr>
      <w:rPr>
        <w:rFonts w:hint="default"/>
        <w:lang w:val="es-ES" w:eastAsia="es-ES" w:bidi="es-ES"/>
      </w:rPr>
    </w:lvl>
    <w:lvl w:ilvl="4">
      <w:start w:val="0"/>
      <w:numFmt w:val="bullet"/>
      <w:lvlText w:val="•"/>
      <w:lvlJc w:val="left"/>
      <w:pPr>
        <w:ind w:left="4898" w:hanging="246"/>
      </w:pPr>
      <w:rPr>
        <w:rFonts w:hint="default"/>
        <w:lang w:val="es-ES" w:eastAsia="es-ES" w:bidi="es-ES"/>
      </w:rPr>
    </w:lvl>
    <w:lvl w:ilvl="5">
      <w:start w:val="0"/>
      <w:numFmt w:val="bullet"/>
      <w:lvlText w:val="•"/>
      <w:lvlJc w:val="left"/>
      <w:pPr>
        <w:ind w:left="5852" w:hanging="246"/>
      </w:pPr>
      <w:rPr>
        <w:rFonts w:hint="default"/>
        <w:lang w:val="es-ES" w:eastAsia="es-ES" w:bidi="es-ES"/>
      </w:rPr>
    </w:lvl>
    <w:lvl w:ilvl="6">
      <w:start w:val="0"/>
      <w:numFmt w:val="bullet"/>
      <w:lvlText w:val="•"/>
      <w:lvlJc w:val="left"/>
      <w:pPr>
        <w:ind w:left="6807" w:hanging="246"/>
      </w:pPr>
      <w:rPr>
        <w:rFonts w:hint="default"/>
        <w:lang w:val="es-ES" w:eastAsia="es-ES" w:bidi="es-ES"/>
      </w:rPr>
    </w:lvl>
    <w:lvl w:ilvl="7">
      <w:start w:val="0"/>
      <w:numFmt w:val="bullet"/>
      <w:lvlText w:val="•"/>
      <w:lvlJc w:val="left"/>
      <w:pPr>
        <w:ind w:left="7761" w:hanging="246"/>
      </w:pPr>
      <w:rPr>
        <w:rFonts w:hint="default"/>
        <w:lang w:val="es-ES" w:eastAsia="es-ES" w:bidi="es-ES"/>
      </w:rPr>
    </w:lvl>
    <w:lvl w:ilvl="8">
      <w:start w:val="0"/>
      <w:numFmt w:val="bullet"/>
      <w:lvlText w:val="•"/>
      <w:lvlJc w:val="left"/>
      <w:pPr>
        <w:ind w:left="8716" w:hanging="246"/>
      </w:pPr>
      <w:rPr>
        <w:rFonts w:hint="default"/>
        <w:lang w:val="es-ES" w:eastAsia="es-ES" w:bidi="es-ES"/>
      </w:rPr>
    </w:lvl>
  </w:abstractNum>
  <w:abstractNum w:abstractNumId="117">
    <w:multiLevelType w:val="hybridMultilevel"/>
    <w:lvl w:ilvl="0">
      <w:start w:val="1"/>
      <w:numFmt w:val="lowerLetter"/>
      <w:lvlText w:val="%1)"/>
      <w:lvlJc w:val="left"/>
      <w:pPr>
        <w:ind w:left="1074" w:hanging="332"/>
        <w:jc w:val="left"/>
      </w:pPr>
      <w:rPr>
        <w:rFonts w:hint="default" w:ascii="Arial" w:hAnsi="Arial" w:eastAsia="Arial" w:cs="Arial"/>
        <w:spacing w:val="-14"/>
        <w:w w:val="100"/>
        <w:sz w:val="20"/>
        <w:szCs w:val="20"/>
        <w:lang w:val="es-ES" w:eastAsia="es-ES" w:bidi="es-ES"/>
      </w:rPr>
    </w:lvl>
    <w:lvl w:ilvl="1">
      <w:start w:val="0"/>
      <w:numFmt w:val="bullet"/>
      <w:lvlText w:val="•"/>
      <w:lvlJc w:val="left"/>
      <w:pPr>
        <w:ind w:left="2034" w:hanging="332"/>
      </w:pPr>
      <w:rPr>
        <w:rFonts w:hint="default"/>
        <w:lang w:val="es-ES" w:eastAsia="es-ES" w:bidi="es-ES"/>
      </w:rPr>
    </w:lvl>
    <w:lvl w:ilvl="2">
      <w:start w:val="0"/>
      <w:numFmt w:val="bullet"/>
      <w:lvlText w:val="•"/>
      <w:lvlJc w:val="left"/>
      <w:pPr>
        <w:ind w:left="2989" w:hanging="332"/>
      </w:pPr>
      <w:rPr>
        <w:rFonts w:hint="default"/>
        <w:lang w:val="es-ES" w:eastAsia="es-ES" w:bidi="es-ES"/>
      </w:rPr>
    </w:lvl>
    <w:lvl w:ilvl="3">
      <w:start w:val="0"/>
      <w:numFmt w:val="bullet"/>
      <w:lvlText w:val="•"/>
      <w:lvlJc w:val="left"/>
      <w:pPr>
        <w:ind w:left="3943" w:hanging="332"/>
      </w:pPr>
      <w:rPr>
        <w:rFonts w:hint="default"/>
        <w:lang w:val="es-ES" w:eastAsia="es-ES" w:bidi="es-ES"/>
      </w:rPr>
    </w:lvl>
    <w:lvl w:ilvl="4">
      <w:start w:val="0"/>
      <w:numFmt w:val="bullet"/>
      <w:lvlText w:val="•"/>
      <w:lvlJc w:val="left"/>
      <w:pPr>
        <w:ind w:left="4898" w:hanging="332"/>
      </w:pPr>
      <w:rPr>
        <w:rFonts w:hint="default"/>
        <w:lang w:val="es-ES" w:eastAsia="es-ES" w:bidi="es-ES"/>
      </w:rPr>
    </w:lvl>
    <w:lvl w:ilvl="5">
      <w:start w:val="0"/>
      <w:numFmt w:val="bullet"/>
      <w:lvlText w:val="•"/>
      <w:lvlJc w:val="left"/>
      <w:pPr>
        <w:ind w:left="5852" w:hanging="332"/>
      </w:pPr>
      <w:rPr>
        <w:rFonts w:hint="default"/>
        <w:lang w:val="es-ES" w:eastAsia="es-ES" w:bidi="es-ES"/>
      </w:rPr>
    </w:lvl>
    <w:lvl w:ilvl="6">
      <w:start w:val="0"/>
      <w:numFmt w:val="bullet"/>
      <w:lvlText w:val="•"/>
      <w:lvlJc w:val="left"/>
      <w:pPr>
        <w:ind w:left="6807" w:hanging="332"/>
      </w:pPr>
      <w:rPr>
        <w:rFonts w:hint="default"/>
        <w:lang w:val="es-ES" w:eastAsia="es-ES" w:bidi="es-ES"/>
      </w:rPr>
    </w:lvl>
    <w:lvl w:ilvl="7">
      <w:start w:val="0"/>
      <w:numFmt w:val="bullet"/>
      <w:lvlText w:val="•"/>
      <w:lvlJc w:val="left"/>
      <w:pPr>
        <w:ind w:left="7761" w:hanging="332"/>
      </w:pPr>
      <w:rPr>
        <w:rFonts w:hint="default"/>
        <w:lang w:val="es-ES" w:eastAsia="es-ES" w:bidi="es-ES"/>
      </w:rPr>
    </w:lvl>
    <w:lvl w:ilvl="8">
      <w:start w:val="0"/>
      <w:numFmt w:val="bullet"/>
      <w:lvlText w:val="•"/>
      <w:lvlJc w:val="left"/>
      <w:pPr>
        <w:ind w:left="8716" w:hanging="332"/>
      </w:pPr>
      <w:rPr>
        <w:rFonts w:hint="default"/>
        <w:lang w:val="es-ES" w:eastAsia="es-ES" w:bidi="es-ES"/>
      </w:rPr>
    </w:lvl>
  </w:abstractNum>
  <w:abstractNum w:abstractNumId="116">
    <w:multiLevelType w:val="hybridMultilevel"/>
    <w:lvl w:ilvl="0">
      <w:start w:val="3"/>
      <w:numFmt w:val="decimal"/>
      <w:lvlText w:val="%1."/>
      <w:lvlJc w:val="left"/>
      <w:pPr>
        <w:ind w:left="1074" w:hanging="251"/>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115">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114">
    <w:multiLevelType w:val="hybridMultilevel"/>
    <w:lvl w:ilvl="0">
      <w:start w:val="1"/>
      <w:numFmt w:val="decimal"/>
      <w:lvlText w:val="%1."/>
      <w:lvlJc w:val="left"/>
      <w:pPr>
        <w:ind w:left="107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2"/>
      </w:pPr>
      <w:rPr>
        <w:rFonts w:hint="default"/>
        <w:lang w:val="es-ES" w:eastAsia="es-ES" w:bidi="es-ES"/>
      </w:rPr>
    </w:lvl>
    <w:lvl w:ilvl="2">
      <w:start w:val="0"/>
      <w:numFmt w:val="bullet"/>
      <w:lvlText w:val="•"/>
      <w:lvlJc w:val="left"/>
      <w:pPr>
        <w:ind w:left="2989" w:hanging="242"/>
      </w:pPr>
      <w:rPr>
        <w:rFonts w:hint="default"/>
        <w:lang w:val="es-ES" w:eastAsia="es-ES" w:bidi="es-ES"/>
      </w:rPr>
    </w:lvl>
    <w:lvl w:ilvl="3">
      <w:start w:val="0"/>
      <w:numFmt w:val="bullet"/>
      <w:lvlText w:val="•"/>
      <w:lvlJc w:val="left"/>
      <w:pPr>
        <w:ind w:left="3943" w:hanging="242"/>
      </w:pPr>
      <w:rPr>
        <w:rFonts w:hint="default"/>
        <w:lang w:val="es-ES" w:eastAsia="es-ES" w:bidi="es-ES"/>
      </w:rPr>
    </w:lvl>
    <w:lvl w:ilvl="4">
      <w:start w:val="0"/>
      <w:numFmt w:val="bullet"/>
      <w:lvlText w:val="•"/>
      <w:lvlJc w:val="left"/>
      <w:pPr>
        <w:ind w:left="4898" w:hanging="242"/>
      </w:pPr>
      <w:rPr>
        <w:rFonts w:hint="default"/>
        <w:lang w:val="es-ES" w:eastAsia="es-ES" w:bidi="es-ES"/>
      </w:rPr>
    </w:lvl>
    <w:lvl w:ilvl="5">
      <w:start w:val="0"/>
      <w:numFmt w:val="bullet"/>
      <w:lvlText w:val="•"/>
      <w:lvlJc w:val="left"/>
      <w:pPr>
        <w:ind w:left="5852" w:hanging="242"/>
      </w:pPr>
      <w:rPr>
        <w:rFonts w:hint="default"/>
        <w:lang w:val="es-ES" w:eastAsia="es-ES" w:bidi="es-ES"/>
      </w:rPr>
    </w:lvl>
    <w:lvl w:ilvl="6">
      <w:start w:val="0"/>
      <w:numFmt w:val="bullet"/>
      <w:lvlText w:val="•"/>
      <w:lvlJc w:val="left"/>
      <w:pPr>
        <w:ind w:left="6807" w:hanging="242"/>
      </w:pPr>
      <w:rPr>
        <w:rFonts w:hint="default"/>
        <w:lang w:val="es-ES" w:eastAsia="es-ES" w:bidi="es-ES"/>
      </w:rPr>
    </w:lvl>
    <w:lvl w:ilvl="7">
      <w:start w:val="0"/>
      <w:numFmt w:val="bullet"/>
      <w:lvlText w:val="•"/>
      <w:lvlJc w:val="left"/>
      <w:pPr>
        <w:ind w:left="7761" w:hanging="242"/>
      </w:pPr>
      <w:rPr>
        <w:rFonts w:hint="default"/>
        <w:lang w:val="es-ES" w:eastAsia="es-ES" w:bidi="es-ES"/>
      </w:rPr>
    </w:lvl>
    <w:lvl w:ilvl="8">
      <w:start w:val="0"/>
      <w:numFmt w:val="bullet"/>
      <w:lvlText w:val="•"/>
      <w:lvlJc w:val="left"/>
      <w:pPr>
        <w:ind w:left="8716" w:hanging="242"/>
      </w:pPr>
      <w:rPr>
        <w:rFonts w:hint="default"/>
        <w:lang w:val="es-ES" w:eastAsia="es-ES" w:bidi="es-ES"/>
      </w:rPr>
    </w:lvl>
  </w:abstractNum>
  <w:abstractNum w:abstractNumId="113">
    <w:multiLevelType w:val="hybridMultilevel"/>
    <w:lvl w:ilvl="0">
      <w:start w:val="1"/>
      <w:numFmt w:val="lowerLetter"/>
      <w:lvlText w:val="%1)"/>
      <w:lvlJc w:val="left"/>
      <w:pPr>
        <w:ind w:left="1074" w:hanging="263"/>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63"/>
      </w:pPr>
      <w:rPr>
        <w:rFonts w:hint="default"/>
        <w:lang w:val="es-ES" w:eastAsia="es-ES" w:bidi="es-ES"/>
      </w:rPr>
    </w:lvl>
    <w:lvl w:ilvl="2">
      <w:start w:val="0"/>
      <w:numFmt w:val="bullet"/>
      <w:lvlText w:val="•"/>
      <w:lvlJc w:val="left"/>
      <w:pPr>
        <w:ind w:left="2989" w:hanging="263"/>
      </w:pPr>
      <w:rPr>
        <w:rFonts w:hint="default"/>
        <w:lang w:val="es-ES" w:eastAsia="es-ES" w:bidi="es-ES"/>
      </w:rPr>
    </w:lvl>
    <w:lvl w:ilvl="3">
      <w:start w:val="0"/>
      <w:numFmt w:val="bullet"/>
      <w:lvlText w:val="•"/>
      <w:lvlJc w:val="left"/>
      <w:pPr>
        <w:ind w:left="3943" w:hanging="263"/>
      </w:pPr>
      <w:rPr>
        <w:rFonts w:hint="default"/>
        <w:lang w:val="es-ES" w:eastAsia="es-ES" w:bidi="es-ES"/>
      </w:rPr>
    </w:lvl>
    <w:lvl w:ilvl="4">
      <w:start w:val="0"/>
      <w:numFmt w:val="bullet"/>
      <w:lvlText w:val="•"/>
      <w:lvlJc w:val="left"/>
      <w:pPr>
        <w:ind w:left="4898" w:hanging="263"/>
      </w:pPr>
      <w:rPr>
        <w:rFonts w:hint="default"/>
        <w:lang w:val="es-ES" w:eastAsia="es-ES" w:bidi="es-ES"/>
      </w:rPr>
    </w:lvl>
    <w:lvl w:ilvl="5">
      <w:start w:val="0"/>
      <w:numFmt w:val="bullet"/>
      <w:lvlText w:val="•"/>
      <w:lvlJc w:val="left"/>
      <w:pPr>
        <w:ind w:left="5852" w:hanging="263"/>
      </w:pPr>
      <w:rPr>
        <w:rFonts w:hint="default"/>
        <w:lang w:val="es-ES" w:eastAsia="es-ES" w:bidi="es-ES"/>
      </w:rPr>
    </w:lvl>
    <w:lvl w:ilvl="6">
      <w:start w:val="0"/>
      <w:numFmt w:val="bullet"/>
      <w:lvlText w:val="•"/>
      <w:lvlJc w:val="left"/>
      <w:pPr>
        <w:ind w:left="6807" w:hanging="263"/>
      </w:pPr>
      <w:rPr>
        <w:rFonts w:hint="default"/>
        <w:lang w:val="es-ES" w:eastAsia="es-ES" w:bidi="es-ES"/>
      </w:rPr>
    </w:lvl>
    <w:lvl w:ilvl="7">
      <w:start w:val="0"/>
      <w:numFmt w:val="bullet"/>
      <w:lvlText w:val="•"/>
      <w:lvlJc w:val="left"/>
      <w:pPr>
        <w:ind w:left="7761" w:hanging="263"/>
      </w:pPr>
      <w:rPr>
        <w:rFonts w:hint="default"/>
        <w:lang w:val="es-ES" w:eastAsia="es-ES" w:bidi="es-ES"/>
      </w:rPr>
    </w:lvl>
    <w:lvl w:ilvl="8">
      <w:start w:val="0"/>
      <w:numFmt w:val="bullet"/>
      <w:lvlText w:val="•"/>
      <w:lvlJc w:val="left"/>
      <w:pPr>
        <w:ind w:left="8716" w:hanging="263"/>
      </w:pPr>
      <w:rPr>
        <w:rFonts w:hint="default"/>
        <w:lang w:val="es-ES" w:eastAsia="es-ES" w:bidi="es-ES"/>
      </w:rPr>
    </w:lvl>
  </w:abstractNum>
  <w:abstractNum w:abstractNumId="112">
    <w:multiLevelType w:val="hybridMultilevel"/>
    <w:lvl w:ilvl="0">
      <w:start w:val="1"/>
      <w:numFmt w:val="decimal"/>
      <w:lvlText w:val="%1."/>
      <w:lvlJc w:val="left"/>
      <w:pPr>
        <w:ind w:left="1074" w:hanging="334"/>
        <w:jc w:val="left"/>
      </w:pPr>
      <w:rPr>
        <w:rFonts w:hint="default" w:ascii="Arial" w:hAnsi="Arial" w:eastAsia="Arial" w:cs="Arial"/>
        <w:spacing w:val="-19"/>
        <w:w w:val="100"/>
        <w:sz w:val="20"/>
        <w:szCs w:val="20"/>
        <w:lang w:val="es-ES" w:eastAsia="es-ES" w:bidi="es-ES"/>
      </w:rPr>
    </w:lvl>
    <w:lvl w:ilvl="1">
      <w:start w:val="0"/>
      <w:numFmt w:val="bullet"/>
      <w:lvlText w:val="•"/>
      <w:lvlJc w:val="left"/>
      <w:pPr>
        <w:ind w:left="2034" w:hanging="334"/>
      </w:pPr>
      <w:rPr>
        <w:rFonts w:hint="default"/>
        <w:lang w:val="es-ES" w:eastAsia="es-ES" w:bidi="es-ES"/>
      </w:rPr>
    </w:lvl>
    <w:lvl w:ilvl="2">
      <w:start w:val="0"/>
      <w:numFmt w:val="bullet"/>
      <w:lvlText w:val="•"/>
      <w:lvlJc w:val="left"/>
      <w:pPr>
        <w:ind w:left="2989" w:hanging="334"/>
      </w:pPr>
      <w:rPr>
        <w:rFonts w:hint="default"/>
        <w:lang w:val="es-ES" w:eastAsia="es-ES" w:bidi="es-ES"/>
      </w:rPr>
    </w:lvl>
    <w:lvl w:ilvl="3">
      <w:start w:val="0"/>
      <w:numFmt w:val="bullet"/>
      <w:lvlText w:val="•"/>
      <w:lvlJc w:val="left"/>
      <w:pPr>
        <w:ind w:left="3943" w:hanging="334"/>
      </w:pPr>
      <w:rPr>
        <w:rFonts w:hint="default"/>
        <w:lang w:val="es-ES" w:eastAsia="es-ES" w:bidi="es-ES"/>
      </w:rPr>
    </w:lvl>
    <w:lvl w:ilvl="4">
      <w:start w:val="0"/>
      <w:numFmt w:val="bullet"/>
      <w:lvlText w:val="•"/>
      <w:lvlJc w:val="left"/>
      <w:pPr>
        <w:ind w:left="4898" w:hanging="334"/>
      </w:pPr>
      <w:rPr>
        <w:rFonts w:hint="default"/>
        <w:lang w:val="es-ES" w:eastAsia="es-ES" w:bidi="es-ES"/>
      </w:rPr>
    </w:lvl>
    <w:lvl w:ilvl="5">
      <w:start w:val="0"/>
      <w:numFmt w:val="bullet"/>
      <w:lvlText w:val="•"/>
      <w:lvlJc w:val="left"/>
      <w:pPr>
        <w:ind w:left="5852" w:hanging="334"/>
      </w:pPr>
      <w:rPr>
        <w:rFonts w:hint="default"/>
        <w:lang w:val="es-ES" w:eastAsia="es-ES" w:bidi="es-ES"/>
      </w:rPr>
    </w:lvl>
    <w:lvl w:ilvl="6">
      <w:start w:val="0"/>
      <w:numFmt w:val="bullet"/>
      <w:lvlText w:val="•"/>
      <w:lvlJc w:val="left"/>
      <w:pPr>
        <w:ind w:left="6807" w:hanging="334"/>
      </w:pPr>
      <w:rPr>
        <w:rFonts w:hint="default"/>
        <w:lang w:val="es-ES" w:eastAsia="es-ES" w:bidi="es-ES"/>
      </w:rPr>
    </w:lvl>
    <w:lvl w:ilvl="7">
      <w:start w:val="0"/>
      <w:numFmt w:val="bullet"/>
      <w:lvlText w:val="•"/>
      <w:lvlJc w:val="left"/>
      <w:pPr>
        <w:ind w:left="7761" w:hanging="334"/>
      </w:pPr>
      <w:rPr>
        <w:rFonts w:hint="default"/>
        <w:lang w:val="es-ES" w:eastAsia="es-ES" w:bidi="es-ES"/>
      </w:rPr>
    </w:lvl>
    <w:lvl w:ilvl="8">
      <w:start w:val="0"/>
      <w:numFmt w:val="bullet"/>
      <w:lvlText w:val="•"/>
      <w:lvlJc w:val="left"/>
      <w:pPr>
        <w:ind w:left="8716" w:hanging="334"/>
      </w:pPr>
      <w:rPr>
        <w:rFonts w:hint="default"/>
        <w:lang w:val="es-ES" w:eastAsia="es-ES" w:bidi="es-ES"/>
      </w:rPr>
    </w:lvl>
  </w:abstractNum>
  <w:abstractNum w:abstractNumId="111">
    <w:multiLevelType w:val="hybridMultilevel"/>
    <w:lvl w:ilvl="0">
      <w:start w:val="1"/>
      <w:numFmt w:val="lowerLetter"/>
      <w:lvlText w:val="%1)"/>
      <w:lvlJc w:val="left"/>
      <w:pPr>
        <w:ind w:left="1074" w:hanging="26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0"/>
      </w:pPr>
      <w:rPr>
        <w:rFonts w:hint="default"/>
        <w:lang w:val="es-ES" w:eastAsia="es-ES" w:bidi="es-ES"/>
      </w:rPr>
    </w:lvl>
    <w:lvl w:ilvl="2">
      <w:start w:val="0"/>
      <w:numFmt w:val="bullet"/>
      <w:lvlText w:val="•"/>
      <w:lvlJc w:val="left"/>
      <w:pPr>
        <w:ind w:left="2989" w:hanging="260"/>
      </w:pPr>
      <w:rPr>
        <w:rFonts w:hint="default"/>
        <w:lang w:val="es-ES" w:eastAsia="es-ES" w:bidi="es-ES"/>
      </w:rPr>
    </w:lvl>
    <w:lvl w:ilvl="3">
      <w:start w:val="0"/>
      <w:numFmt w:val="bullet"/>
      <w:lvlText w:val="•"/>
      <w:lvlJc w:val="left"/>
      <w:pPr>
        <w:ind w:left="3943" w:hanging="260"/>
      </w:pPr>
      <w:rPr>
        <w:rFonts w:hint="default"/>
        <w:lang w:val="es-ES" w:eastAsia="es-ES" w:bidi="es-ES"/>
      </w:rPr>
    </w:lvl>
    <w:lvl w:ilvl="4">
      <w:start w:val="0"/>
      <w:numFmt w:val="bullet"/>
      <w:lvlText w:val="•"/>
      <w:lvlJc w:val="left"/>
      <w:pPr>
        <w:ind w:left="4898" w:hanging="260"/>
      </w:pPr>
      <w:rPr>
        <w:rFonts w:hint="default"/>
        <w:lang w:val="es-ES" w:eastAsia="es-ES" w:bidi="es-ES"/>
      </w:rPr>
    </w:lvl>
    <w:lvl w:ilvl="5">
      <w:start w:val="0"/>
      <w:numFmt w:val="bullet"/>
      <w:lvlText w:val="•"/>
      <w:lvlJc w:val="left"/>
      <w:pPr>
        <w:ind w:left="5852" w:hanging="260"/>
      </w:pPr>
      <w:rPr>
        <w:rFonts w:hint="default"/>
        <w:lang w:val="es-ES" w:eastAsia="es-ES" w:bidi="es-ES"/>
      </w:rPr>
    </w:lvl>
    <w:lvl w:ilvl="6">
      <w:start w:val="0"/>
      <w:numFmt w:val="bullet"/>
      <w:lvlText w:val="•"/>
      <w:lvlJc w:val="left"/>
      <w:pPr>
        <w:ind w:left="6807" w:hanging="260"/>
      </w:pPr>
      <w:rPr>
        <w:rFonts w:hint="default"/>
        <w:lang w:val="es-ES" w:eastAsia="es-ES" w:bidi="es-ES"/>
      </w:rPr>
    </w:lvl>
    <w:lvl w:ilvl="7">
      <w:start w:val="0"/>
      <w:numFmt w:val="bullet"/>
      <w:lvlText w:val="•"/>
      <w:lvlJc w:val="left"/>
      <w:pPr>
        <w:ind w:left="7761" w:hanging="260"/>
      </w:pPr>
      <w:rPr>
        <w:rFonts w:hint="default"/>
        <w:lang w:val="es-ES" w:eastAsia="es-ES" w:bidi="es-ES"/>
      </w:rPr>
    </w:lvl>
    <w:lvl w:ilvl="8">
      <w:start w:val="0"/>
      <w:numFmt w:val="bullet"/>
      <w:lvlText w:val="•"/>
      <w:lvlJc w:val="left"/>
      <w:pPr>
        <w:ind w:left="8716" w:hanging="260"/>
      </w:pPr>
      <w:rPr>
        <w:rFonts w:hint="default"/>
        <w:lang w:val="es-ES" w:eastAsia="es-ES" w:bidi="es-ES"/>
      </w:rPr>
    </w:lvl>
  </w:abstractNum>
  <w:abstractNum w:abstractNumId="110">
    <w:multiLevelType w:val="hybridMultilevel"/>
    <w:lvl w:ilvl="0">
      <w:start w:val="1"/>
      <w:numFmt w:val="decimal"/>
      <w:lvlText w:val="%1."/>
      <w:lvlJc w:val="left"/>
      <w:pPr>
        <w:ind w:left="1074" w:hanging="24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5"/>
      </w:pPr>
      <w:rPr>
        <w:rFonts w:hint="default"/>
        <w:lang w:val="es-ES" w:eastAsia="es-ES" w:bidi="es-ES"/>
      </w:rPr>
    </w:lvl>
    <w:lvl w:ilvl="2">
      <w:start w:val="0"/>
      <w:numFmt w:val="bullet"/>
      <w:lvlText w:val="•"/>
      <w:lvlJc w:val="left"/>
      <w:pPr>
        <w:ind w:left="2989" w:hanging="245"/>
      </w:pPr>
      <w:rPr>
        <w:rFonts w:hint="default"/>
        <w:lang w:val="es-ES" w:eastAsia="es-ES" w:bidi="es-ES"/>
      </w:rPr>
    </w:lvl>
    <w:lvl w:ilvl="3">
      <w:start w:val="0"/>
      <w:numFmt w:val="bullet"/>
      <w:lvlText w:val="•"/>
      <w:lvlJc w:val="left"/>
      <w:pPr>
        <w:ind w:left="3943" w:hanging="245"/>
      </w:pPr>
      <w:rPr>
        <w:rFonts w:hint="default"/>
        <w:lang w:val="es-ES" w:eastAsia="es-ES" w:bidi="es-ES"/>
      </w:rPr>
    </w:lvl>
    <w:lvl w:ilvl="4">
      <w:start w:val="0"/>
      <w:numFmt w:val="bullet"/>
      <w:lvlText w:val="•"/>
      <w:lvlJc w:val="left"/>
      <w:pPr>
        <w:ind w:left="4898" w:hanging="245"/>
      </w:pPr>
      <w:rPr>
        <w:rFonts w:hint="default"/>
        <w:lang w:val="es-ES" w:eastAsia="es-ES" w:bidi="es-ES"/>
      </w:rPr>
    </w:lvl>
    <w:lvl w:ilvl="5">
      <w:start w:val="0"/>
      <w:numFmt w:val="bullet"/>
      <w:lvlText w:val="•"/>
      <w:lvlJc w:val="left"/>
      <w:pPr>
        <w:ind w:left="5852" w:hanging="245"/>
      </w:pPr>
      <w:rPr>
        <w:rFonts w:hint="default"/>
        <w:lang w:val="es-ES" w:eastAsia="es-ES" w:bidi="es-ES"/>
      </w:rPr>
    </w:lvl>
    <w:lvl w:ilvl="6">
      <w:start w:val="0"/>
      <w:numFmt w:val="bullet"/>
      <w:lvlText w:val="•"/>
      <w:lvlJc w:val="left"/>
      <w:pPr>
        <w:ind w:left="6807" w:hanging="245"/>
      </w:pPr>
      <w:rPr>
        <w:rFonts w:hint="default"/>
        <w:lang w:val="es-ES" w:eastAsia="es-ES" w:bidi="es-ES"/>
      </w:rPr>
    </w:lvl>
    <w:lvl w:ilvl="7">
      <w:start w:val="0"/>
      <w:numFmt w:val="bullet"/>
      <w:lvlText w:val="•"/>
      <w:lvlJc w:val="left"/>
      <w:pPr>
        <w:ind w:left="7761" w:hanging="245"/>
      </w:pPr>
      <w:rPr>
        <w:rFonts w:hint="default"/>
        <w:lang w:val="es-ES" w:eastAsia="es-ES" w:bidi="es-ES"/>
      </w:rPr>
    </w:lvl>
    <w:lvl w:ilvl="8">
      <w:start w:val="0"/>
      <w:numFmt w:val="bullet"/>
      <w:lvlText w:val="•"/>
      <w:lvlJc w:val="left"/>
      <w:pPr>
        <w:ind w:left="8716" w:hanging="245"/>
      </w:pPr>
      <w:rPr>
        <w:rFonts w:hint="default"/>
        <w:lang w:val="es-ES" w:eastAsia="es-ES" w:bidi="es-ES"/>
      </w:rPr>
    </w:lvl>
  </w:abstractNum>
  <w:abstractNum w:abstractNumId="109">
    <w:multiLevelType w:val="hybridMultilevel"/>
    <w:lvl w:ilvl="0">
      <w:start w:val="1"/>
      <w:numFmt w:val="decimal"/>
      <w:lvlText w:val="%1."/>
      <w:lvlJc w:val="left"/>
      <w:pPr>
        <w:ind w:left="1074" w:hanging="23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3"/>
      </w:pPr>
      <w:rPr>
        <w:rFonts w:hint="default"/>
        <w:lang w:val="es-ES" w:eastAsia="es-ES" w:bidi="es-ES"/>
      </w:rPr>
    </w:lvl>
    <w:lvl w:ilvl="2">
      <w:start w:val="0"/>
      <w:numFmt w:val="bullet"/>
      <w:lvlText w:val="•"/>
      <w:lvlJc w:val="left"/>
      <w:pPr>
        <w:ind w:left="2989" w:hanging="233"/>
      </w:pPr>
      <w:rPr>
        <w:rFonts w:hint="default"/>
        <w:lang w:val="es-ES" w:eastAsia="es-ES" w:bidi="es-ES"/>
      </w:rPr>
    </w:lvl>
    <w:lvl w:ilvl="3">
      <w:start w:val="0"/>
      <w:numFmt w:val="bullet"/>
      <w:lvlText w:val="•"/>
      <w:lvlJc w:val="left"/>
      <w:pPr>
        <w:ind w:left="3943" w:hanging="233"/>
      </w:pPr>
      <w:rPr>
        <w:rFonts w:hint="default"/>
        <w:lang w:val="es-ES" w:eastAsia="es-ES" w:bidi="es-ES"/>
      </w:rPr>
    </w:lvl>
    <w:lvl w:ilvl="4">
      <w:start w:val="0"/>
      <w:numFmt w:val="bullet"/>
      <w:lvlText w:val="•"/>
      <w:lvlJc w:val="left"/>
      <w:pPr>
        <w:ind w:left="4898" w:hanging="233"/>
      </w:pPr>
      <w:rPr>
        <w:rFonts w:hint="default"/>
        <w:lang w:val="es-ES" w:eastAsia="es-ES" w:bidi="es-ES"/>
      </w:rPr>
    </w:lvl>
    <w:lvl w:ilvl="5">
      <w:start w:val="0"/>
      <w:numFmt w:val="bullet"/>
      <w:lvlText w:val="•"/>
      <w:lvlJc w:val="left"/>
      <w:pPr>
        <w:ind w:left="5852" w:hanging="233"/>
      </w:pPr>
      <w:rPr>
        <w:rFonts w:hint="default"/>
        <w:lang w:val="es-ES" w:eastAsia="es-ES" w:bidi="es-ES"/>
      </w:rPr>
    </w:lvl>
    <w:lvl w:ilvl="6">
      <w:start w:val="0"/>
      <w:numFmt w:val="bullet"/>
      <w:lvlText w:val="•"/>
      <w:lvlJc w:val="left"/>
      <w:pPr>
        <w:ind w:left="6807" w:hanging="233"/>
      </w:pPr>
      <w:rPr>
        <w:rFonts w:hint="default"/>
        <w:lang w:val="es-ES" w:eastAsia="es-ES" w:bidi="es-ES"/>
      </w:rPr>
    </w:lvl>
    <w:lvl w:ilvl="7">
      <w:start w:val="0"/>
      <w:numFmt w:val="bullet"/>
      <w:lvlText w:val="•"/>
      <w:lvlJc w:val="left"/>
      <w:pPr>
        <w:ind w:left="7761" w:hanging="233"/>
      </w:pPr>
      <w:rPr>
        <w:rFonts w:hint="default"/>
        <w:lang w:val="es-ES" w:eastAsia="es-ES" w:bidi="es-ES"/>
      </w:rPr>
    </w:lvl>
    <w:lvl w:ilvl="8">
      <w:start w:val="0"/>
      <w:numFmt w:val="bullet"/>
      <w:lvlText w:val="•"/>
      <w:lvlJc w:val="left"/>
      <w:pPr>
        <w:ind w:left="8716" w:hanging="233"/>
      </w:pPr>
      <w:rPr>
        <w:rFonts w:hint="default"/>
        <w:lang w:val="es-ES" w:eastAsia="es-ES" w:bidi="es-ES"/>
      </w:rPr>
    </w:lvl>
  </w:abstractNum>
  <w:abstractNum w:abstractNumId="108">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107">
    <w:multiLevelType w:val="hybridMultilevel"/>
    <w:lvl w:ilvl="0">
      <w:start w:val="1"/>
      <w:numFmt w:val="lowerLetter"/>
      <w:lvlText w:val="%1)"/>
      <w:lvlJc w:val="left"/>
      <w:pPr>
        <w:ind w:left="1074" w:hanging="25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106">
    <w:multiLevelType w:val="hybridMultilevel"/>
    <w:lvl w:ilvl="0">
      <w:start w:val="1"/>
      <w:numFmt w:val="lowerLetter"/>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105">
    <w:multiLevelType w:val="hybridMultilevel"/>
    <w:lvl w:ilvl="0">
      <w:start w:val="1"/>
      <w:numFmt w:val="lowerLetter"/>
      <w:lvlText w:val="%1)"/>
      <w:lvlJc w:val="left"/>
      <w:pPr>
        <w:ind w:left="1074" w:hanging="26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2"/>
      </w:pPr>
      <w:rPr>
        <w:rFonts w:hint="default"/>
        <w:lang w:val="es-ES" w:eastAsia="es-ES" w:bidi="es-ES"/>
      </w:rPr>
    </w:lvl>
    <w:lvl w:ilvl="2">
      <w:start w:val="0"/>
      <w:numFmt w:val="bullet"/>
      <w:lvlText w:val="•"/>
      <w:lvlJc w:val="left"/>
      <w:pPr>
        <w:ind w:left="2989" w:hanging="262"/>
      </w:pPr>
      <w:rPr>
        <w:rFonts w:hint="default"/>
        <w:lang w:val="es-ES" w:eastAsia="es-ES" w:bidi="es-ES"/>
      </w:rPr>
    </w:lvl>
    <w:lvl w:ilvl="3">
      <w:start w:val="0"/>
      <w:numFmt w:val="bullet"/>
      <w:lvlText w:val="•"/>
      <w:lvlJc w:val="left"/>
      <w:pPr>
        <w:ind w:left="3943" w:hanging="262"/>
      </w:pPr>
      <w:rPr>
        <w:rFonts w:hint="default"/>
        <w:lang w:val="es-ES" w:eastAsia="es-ES" w:bidi="es-ES"/>
      </w:rPr>
    </w:lvl>
    <w:lvl w:ilvl="4">
      <w:start w:val="0"/>
      <w:numFmt w:val="bullet"/>
      <w:lvlText w:val="•"/>
      <w:lvlJc w:val="left"/>
      <w:pPr>
        <w:ind w:left="4898" w:hanging="262"/>
      </w:pPr>
      <w:rPr>
        <w:rFonts w:hint="default"/>
        <w:lang w:val="es-ES" w:eastAsia="es-ES" w:bidi="es-ES"/>
      </w:rPr>
    </w:lvl>
    <w:lvl w:ilvl="5">
      <w:start w:val="0"/>
      <w:numFmt w:val="bullet"/>
      <w:lvlText w:val="•"/>
      <w:lvlJc w:val="left"/>
      <w:pPr>
        <w:ind w:left="5852" w:hanging="262"/>
      </w:pPr>
      <w:rPr>
        <w:rFonts w:hint="default"/>
        <w:lang w:val="es-ES" w:eastAsia="es-ES" w:bidi="es-ES"/>
      </w:rPr>
    </w:lvl>
    <w:lvl w:ilvl="6">
      <w:start w:val="0"/>
      <w:numFmt w:val="bullet"/>
      <w:lvlText w:val="•"/>
      <w:lvlJc w:val="left"/>
      <w:pPr>
        <w:ind w:left="6807" w:hanging="262"/>
      </w:pPr>
      <w:rPr>
        <w:rFonts w:hint="default"/>
        <w:lang w:val="es-ES" w:eastAsia="es-ES" w:bidi="es-ES"/>
      </w:rPr>
    </w:lvl>
    <w:lvl w:ilvl="7">
      <w:start w:val="0"/>
      <w:numFmt w:val="bullet"/>
      <w:lvlText w:val="•"/>
      <w:lvlJc w:val="left"/>
      <w:pPr>
        <w:ind w:left="7761" w:hanging="262"/>
      </w:pPr>
      <w:rPr>
        <w:rFonts w:hint="default"/>
        <w:lang w:val="es-ES" w:eastAsia="es-ES" w:bidi="es-ES"/>
      </w:rPr>
    </w:lvl>
    <w:lvl w:ilvl="8">
      <w:start w:val="0"/>
      <w:numFmt w:val="bullet"/>
      <w:lvlText w:val="•"/>
      <w:lvlJc w:val="left"/>
      <w:pPr>
        <w:ind w:left="8716" w:hanging="262"/>
      </w:pPr>
      <w:rPr>
        <w:rFonts w:hint="default"/>
        <w:lang w:val="es-ES" w:eastAsia="es-ES" w:bidi="es-ES"/>
      </w:rPr>
    </w:lvl>
  </w:abstractNum>
  <w:abstractNum w:abstractNumId="104">
    <w:multiLevelType w:val="hybridMultilevel"/>
    <w:lvl w:ilvl="0">
      <w:start w:val="1"/>
      <w:numFmt w:val="decimal"/>
      <w:lvlText w:val="%1."/>
      <w:lvlJc w:val="left"/>
      <w:pPr>
        <w:ind w:left="1074" w:hanging="327"/>
        <w:jc w:val="left"/>
      </w:pPr>
      <w:rPr>
        <w:rFonts w:hint="default" w:ascii="Arial" w:hAnsi="Arial" w:eastAsia="Arial" w:cs="Arial"/>
        <w:spacing w:val="-7"/>
        <w:w w:val="100"/>
        <w:sz w:val="20"/>
        <w:szCs w:val="20"/>
        <w:lang w:val="es-ES" w:eastAsia="es-ES" w:bidi="es-ES"/>
      </w:rPr>
    </w:lvl>
    <w:lvl w:ilvl="1">
      <w:start w:val="0"/>
      <w:numFmt w:val="bullet"/>
      <w:lvlText w:val="•"/>
      <w:lvlJc w:val="left"/>
      <w:pPr>
        <w:ind w:left="2034" w:hanging="327"/>
      </w:pPr>
      <w:rPr>
        <w:rFonts w:hint="default"/>
        <w:lang w:val="es-ES" w:eastAsia="es-ES" w:bidi="es-ES"/>
      </w:rPr>
    </w:lvl>
    <w:lvl w:ilvl="2">
      <w:start w:val="0"/>
      <w:numFmt w:val="bullet"/>
      <w:lvlText w:val="•"/>
      <w:lvlJc w:val="left"/>
      <w:pPr>
        <w:ind w:left="2989" w:hanging="327"/>
      </w:pPr>
      <w:rPr>
        <w:rFonts w:hint="default"/>
        <w:lang w:val="es-ES" w:eastAsia="es-ES" w:bidi="es-ES"/>
      </w:rPr>
    </w:lvl>
    <w:lvl w:ilvl="3">
      <w:start w:val="0"/>
      <w:numFmt w:val="bullet"/>
      <w:lvlText w:val="•"/>
      <w:lvlJc w:val="left"/>
      <w:pPr>
        <w:ind w:left="3943" w:hanging="327"/>
      </w:pPr>
      <w:rPr>
        <w:rFonts w:hint="default"/>
        <w:lang w:val="es-ES" w:eastAsia="es-ES" w:bidi="es-ES"/>
      </w:rPr>
    </w:lvl>
    <w:lvl w:ilvl="4">
      <w:start w:val="0"/>
      <w:numFmt w:val="bullet"/>
      <w:lvlText w:val="•"/>
      <w:lvlJc w:val="left"/>
      <w:pPr>
        <w:ind w:left="4898" w:hanging="327"/>
      </w:pPr>
      <w:rPr>
        <w:rFonts w:hint="default"/>
        <w:lang w:val="es-ES" w:eastAsia="es-ES" w:bidi="es-ES"/>
      </w:rPr>
    </w:lvl>
    <w:lvl w:ilvl="5">
      <w:start w:val="0"/>
      <w:numFmt w:val="bullet"/>
      <w:lvlText w:val="•"/>
      <w:lvlJc w:val="left"/>
      <w:pPr>
        <w:ind w:left="5852" w:hanging="327"/>
      </w:pPr>
      <w:rPr>
        <w:rFonts w:hint="default"/>
        <w:lang w:val="es-ES" w:eastAsia="es-ES" w:bidi="es-ES"/>
      </w:rPr>
    </w:lvl>
    <w:lvl w:ilvl="6">
      <w:start w:val="0"/>
      <w:numFmt w:val="bullet"/>
      <w:lvlText w:val="•"/>
      <w:lvlJc w:val="left"/>
      <w:pPr>
        <w:ind w:left="6807" w:hanging="327"/>
      </w:pPr>
      <w:rPr>
        <w:rFonts w:hint="default"/>
        <w:lang w:val="es-ES" w:eastAsia="es-ES" w:bidi="es-ES"/>
      </w:rPr>
    </w:lvl>
    <w:lvl w:ilvl="7">
      <w:start w:val="0"/>
      <w:numFmt w:val="bullet"/>
      <w:lvlText w:val="•"/>
      <w:lvlJc w:val="left"/>
      <w:pPr>
        <w:ind w:left="7761" w:hanging="327"/>
      </w:pPr>
      <w:rPr>
        <w:rFonts w:hint="default"/>
        <w:lang w:val="es-ES" w:eastAsia="es-ES" w:bidi="es-ES"/>
      </w:rPr>
    </w:lvl>
    <w:lvl w:ilvl="8">
      <w:start w:val="0"/>
      <w:numFmt w:val="bullet"/>
      <w:lvlText w:val="•"/>
      <w:lvlJc w:val="left"/>
      <w:pPr>
        <w:ind w:left="8716" w:hanging="327"/>
      </w:pPr>
      <w:rPr>
        <w:rFonts w:hint="default"/>
        <w:lang w:val="es-ES" w:eastAsia="es-ES" w:bidi="es-ES"/>
      </w:rPr>
    </w:lvl>
  </w:abstractNum>
  <w:abstractNum w:abstractNumId="103">
    <w:multiLevelType w:val="hybridMultilevel"/>
    <w:lvl w:ilvl="0">
      <w:start w:val="1"/>
      <w:numFmt w:val="decimal"/>
      <w:lvlText w:val="%1."/>
      <w:lvlJc w:val="left"/>
      <w:pPr>
        <w:ind w:left="158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484" w:hanging="168"/>
      </w:pPr>
      <w:rPr>
        <w:rFonts w:hint="default"/>
        <w:lang w:val="es-ES" w:eastAsia="es-ES" w:bidi="es-ES"/>
      </w:rPr>
    </w:lvl>
    <w:lvl w:ilvl="2">
      <w:start w:val="0"/>
      <w:numFmt w:val="bullet"/>
      <w:lvlText w:val="•"/>
      <w:lvlJc w:val="left"/>
      <w:pPr>
        <w:ind w:left="3389" w:hanging="168"/>
      </w:pPr>
      <w:rPr>
        <w:rFonts w:hint="default"/>
        <w:lang w:val="es-ES" w:eastAsia="es-ES" w:bidi="es-ES"/>
      </w:rPr>
    </w:lvl>
    <w:lvl w:ilvl="3">
      <w:start w:val="0"/>
      <w:numFmt w:val="bullet"/>
      <w:lvlText w:val="•"/>
      <w:lvlJc w:val="left"/>
      <w:pPr>
        <w:ind w:left="4293" w:hanging="168"/>
      </w:pPr>
      <w:rPr>
        <w:rFonts w:hint="default"/>
        <w:lang w:val="es-ES" w:eastAsia="es-ES" w:bidi="es-ES"/>
      </w:rPr>
    </w:lvl>
    <w:lvl w:ilvl="4">
      <w:start w:val="0"/>
      <w:numFmt w:val="bullet"/>
      <w:lvlText w:val="•"/>
      <w:lvlJc w:val="left"/>
      <w:pPr>
        <w:ind w:left="5198" w:hanging="168"/>
      </w:pPr>
      <w:rPr>
        <w:rFonts w:hint="default"/>
        <w:lang w:val="es-ES" w:eastAsia="es-ES" w:bidi="es-ES"/>
      </w:rPr>
    </w:lvl>
    <w:lvl w:ilvl="5">
      <w:start w:val="0"/>
      <w:numFmt w:val="bullet"/>
      <w:lvlText w:val="•"/>
      <w:lvlJc w:val="left"/>
      <w:pPr>
        <w:ind w:left="6102" w:hanging="168"/>
      </w:pPr>
      <w:rPr>
        <w:rFonts w:hint="default"/>
        <w:lang w:val="es-ES" w:eastAsia="es-ES" w:bidi="es-ES"/>
      </w:rPr>
    </w:lvl>
    <w:lvl w:ilvl="6">
      <w:start w:val="0"/>
      <w:numFmt w:val="bullet"/>
      <w:lvlText w:val="•"/>
      <w:lvlJc w:val="left"/>
      <w:pPr>
        <w:ind w:left="7007" w:hanging="168"/>
      </w:pPr>
      <w:rPr>
        <w:rFonts w:hint="default"/>
        <w:lang w:val="es-ES" w:eastAsia="es-ES" w:bidi="es-ES"/>
      </w:rPr>
    </w:lvl>
    <w:lvl w:ilvl="7">
      <w:start w:val="0"/>
      <w:numFmt w:val="bullet"/>
      <w:lvlText w:val="•"/>
      <w:lvlJc w:val="left"/>
      <w:pPr>
        <w:ind w:left="7911" w:hanging="168"/>
      </w:pPr>
      <w:rPr>
        <w:rFonts w:hint="default"/>
        <w:lang w:val="es-ES" w:eastAsia="es-ES" w:bidi="es-ES"/>
      </w:rPr>
    </w:lvl>
    <w:lvl w:ilvl="8">
      <w:start w:val="0"/>
      <w:numFmt w:val="bullet"/>
      <w:lvlText w:val="•"/>
      <w:lvlJc w:val="left"/>
      <w:pPr>
        <w:ind w:left="8816" w:hanging="168"/>
      </w:pPr>
      <w:rPr>
        <w:rFonts w:hint="default"/>
        <w:lang w:val="es-ES" w:eastAsia="es-ES" w:bidi="es-ES"/>
      </w:rPr>
    </w:lvl>
  </w:abstractNum>
  <w:abstractNum w:abstractNumId="102">
    <w:multiLevelType w:val="hybridMultilevel"/>
    <w:lvl w:ilvl="0">
      <w:start w:val="1"/>
      <w:numFmt w:val="decimal"/>
      <w:lvlText w:val="%1."/>
      <w:lvlJc w:val="left"/>
      <w:pPr>
        <w:ind w:left="158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484" w:hanging="168"/>
      </w:pPr>
      <w:rPr>
        <w:rFonts w:hint="default"/>
        <w:lang w:val="es-ES" w:eastAsia="es-ES" w:bidi="es-ES"/>
      </w:rPr>
    </w:lvl>
    <w:lvl w:ilvl="2">
      <w:start w:val="0"/>
      <w:numFmt w:val="bullet"/>
      <w:lvlText w:val="•"/>
      <w:lvlJc w:val="left"/>
      <w:pPr>
        <w:ind w:left="3389" w:hanging="168"/>
      </w:pPr>
      <w:rPr>
        <w:rFonts w:hint="default"/>
        <w:lang w:val="es-ES" w:eastAsia="es-ES" w:bidi="es-ES"/>
      </w:rPr>
    </w:lvl>
    <w:lvl w:ilvl="3">
      <w:start w:val="0"/>
      <w:numFmt w:val="bullet"/>
      <w:lvlText w:val="•"/>
      <w:lvlJc w:val="left"/>
      <w:pPr>
        <w:ind w:left="4293" w:hanging="168"/>
      </w:pPr>
      <w:rPr>
        <w:rFonts w:hint="default"/>
        <w:lang w:val="es-ES" w:eastAsia="es-ES" w:bidi="es-ES"/>
      </w:rPr>
    </w:lvl>
    <w:lvl w:ilvl="4">
      <w:start w:val="0"/>
      <w:numFmt w:val="bullet"/>
      <w:lvlText w:val="•"/>
      <w:lvlJc w:val="left"/>
      <w:pPr>
        <w:ind w:left="5198" w:hanging="168"/>
      </w:pPr>
      <w:rPr>
        <w:rFonts w:hint="default"/>
        <w:lang w:val="es-ES" w:eastAsia="es-ES" w:bidi="es-ES"/>
      </w:rPr>
    </w:lvl>
    <w:lvl w:ilvl="5">
      <w:start w:val="0"/>
      <w:numFmt w:val="bullet"/>
      <w:lvlText w:val="•"/>
      <w:lvlJc w:val="left"/>
      <w:pPr>
        <w:ind w:left="6102" w:hanging="168"/>
      </w:pPr>
      <w:rPr>
        <w:rFonts w:hint="default"/>
        <w:lang w:val="es-ES" w:eastAsia="es-ES" w:bidi="es-ES"/>
      </w:rPr>
    </w:lvl>
    <w:lvl w:ilvl="6">
      <w:start w:val="0"/>
      <w:numFmt w:val="bullet"/>
      <w:lvlText w:val="•"/>
      <w:lvlJc w:val="left"/>
      <w:pPr>
        <w:ind w:left="7007" w:hanging="168"/>
      </w:pPr>
      <w:rPr>
        <w:rFonts w:hint="default"/>
        <w:lang w:val="es-ES" w:eastAsia="es-ES" w:bidi="es-ES"/>
      </w:rPr>
    </w:lvl>
    <w:lvl w:ilvl="7">
      <w:start w:val="0"/>
      <w:numFmt w:val="bullet"/>
      <w:lvlText w:val="•"/>
      <w:lvlJc w:val="left"/>
      <w:pPr>
        <w:ind w:left="7911" w:hanging="168"/>
      </w:pPr>
      <w:rPr>
        <w:rFonts w:hint="default"/>
        <w:lang w:val="es-ES" w:eastAsia="es-ES" w:bidi="es-ES"/>
      </w:rPr>
    </w:lvl>
    <w:lvl w:ilvl="8">
      <w:start w:val="0"/>
      <w:numFmt w:val="bullet"/>
      <w:lvlText w:val="•"/>
      <w:lvlJc w:val="left"/>
      <w:pPr>
        <w:ind w:left="8816" w:hanging="168"/>
      </w:pPr>
      <w:rPr>
        <w:rFonts w:hint="default"/>
        <w:lang w:val="es-ES" w:eastAsia="es-ES" w:bidi="es-ES"/>
      </w:rPr>
    </w:lvl>
  </w:abstractNum>
  <w:abstractNum w:abstractNumId="101">
    <w:multiLevelType w:val="hybridMultilevel"/>
    <w:lvl w:ilvl="0">
      <w:start w:val="1"/>
      <w:numFmt w:val="lowerLetter"/>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100">
    <w:multiLevelType w:val="hybridMultilevel"/>
    <w:lvl w:ilvl="0">
      <w:start w:val="1"/>
      <w:numFmt w:val="decimal"/>
      <w:lvlText w:val="%1."/>
      <w:lvlJc w:val="left"/>
      <w:pPr>
        <w:ind w:left="1074" w:hanging="26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99">
    <w:multiLevelType w:val="hybridMultilevel"/>
    <w:lvl w:ilvl="0">
      <w:start w:val="1"/>
      <w:numFmt w:val="decimal"/>
      <w:lvlText w:val="%1."/>
      <w:lvlJc w:val="left"/>
      <w:pPr>
        <w:ind w:left="107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6"/>
      </w:pPr>
      <w:rPr>
        <w:rFonts w:hint="default"/>
        <w:lang w:val="es-ES" w:eastAsia="es-ES" w:bidi="es-ES"/>
      </w:rPr>
    </w:lvl>
    <w:lvl w:ilvl="2">
      <w:start w:val="0"/>
      <w:numFmt w:val="bullet"/>
      <w:lvlText w:val="•"/>
      <w:lvlJc w:val="left"/>
      <w:pPr>
        <w:ind w:left="2989" w:hanging="236"/>
      </w:pPr>
      <w:rPr>
        <w:rFonts w:hint="default"/>
        <w:lang w:val="es-ES" w:eastAsia="es-ES" w:bidi="es-ES"/>
      </w:rPr>
    </w:lvl>
    <w:lvl w:ilvl="3">
      <w:start w:val="0"/>
      <w:numFmt w:val="bullet"/>
      <w:lvlText w:val="•"/>
      <w:lvlJc w:val="left"/>
      <w:pPr>
        <w:ind w:left="3943" w:hanging="236"/>
      </w:pPr>
      <w:rPr>
        <w:rFonts w:hint="default"/>
        <w:lang w:val="es-ES" w:eastAsia="es-ES" w:bidi="es-ES"/>
      </w:rPr>
    </w:lvl>
    <w:lvl w:ilvl="4">
      <w:start w:val="0"/>
      <w:numFmt w:val="bullet"/>
      <w:lvlText w:val="•"/>
      <w:lvlJc w:val="left"/>
      <w:pPr>
        <w:ind w:left="4898" w:hanging="236"/>
      </w:pPr>
      <w:rPr>
        <w:rFonts w:hint="default"/>
        <w:lang w:val="es-ES" w:eastAsia="es-ES" w:bidi="es-ES"/>
      </w:rPr>
    </w:lvl>
    <w:lvl w:ilvl="5">
      <w:start w:val="0"/>
      <w:numFmt w:val="bullet"/>
      <w:lvlText w:val="•"/>
      <w:lvlJc w:val="left"/>
      <w:pPr>
        <w:ind w:left="5852" w:hanging="236"/>
      </w:pPr>
      <w:rPr>
        <w:rFonts w:hint="default"/>
        <w:lang w:val="es-ES" w:eastAsia="es-ES" w:bidi="es-ES"/>
      </w:rPr>
    </w:lvl>
    <w:lvl w:ilvl="6">
      <w:start w:val="0"/>
      <w:numFmt w:val="bullet"/>
      <w:lvlText w:val="•"/>
      <w:lvlJc w:val="left"/>
      <w:pPr>
        <w:ind w:left="6807" w:hanging="236"/>
      </w:pPr>
      <w:rPr>
        <w:rFonts w:hint="default"/>
        <w:lang w:val="es-ES" w:eastAsia="es-ES" w:bidi="es-ES"/>
      </w:rPr>
    </w:lvl>
    <w:lvl w:ilvl="7">
      <w:start w:val="0"/>
      <w:numFmt w:val="bullet"/>
      <w:lvlText w:val="•"/>
      <w:lvlJc w:val="left"/>
      <w:pPr>
        <w:ind w:left="7761" w:hanging="236"/>
      </w:pPr>
      <w:rPr>
        <w:rFonts w:hint="default"/>
        <w:lang w:val="es-ES" w:eastAsia="es-ES" w:bidi="es-ES"/>
      </w:rPr>
    </w:lvl>
    <w:lvl w:ilvl="8">
      <w:start w:val="0"/>
      <w:numFmt w:val="bullet"/>
      <w:lvlText w:val="•"/>
      <w:lvlJc w:val="left"/>
      <w:pPr>
        <w:ind w:left="8716" w:hanging="236"/>
      </w:pPr>
      <w:rPr>
        <w:rFonts w:hint="default"/>
        <w:lang w:val="es-ES" w:eastAsia="es-ES" w:bidi="es-ES"/>
      </w:rPr>
    </w:lvl>
  </w:abstractNum>
  <w:abstractNum w:abstractNumId="98">
    <w:multiLevelType w:val="hybridMultilevel"/>
    <w:lvl w:ilvl="0">
      <w:start w:val="1"/>
      <w:numFmt w:val="decimal"/>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97">
    <w:multiLevelType w:val="hybridMultilevel"/>
    <w:lvl w:ilvl="0">
      <w:start w:val="1"/>
      <w:numFmt w:val="lowerLetter"/>
      <w:lvlText w:val="%1)"/>
      <w:lvlJc w:val="left"/>
      <w:pPr>
        <w:ind w:left="107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6"/>
      </w:pPr>
      <w:rPr>
        <w:rFonts w:hint="default"/>
        <w:lang w:val="es-ES" w:eastAsia="es-ES" w:bidi="es-ES"/>
      </w:rPr>
    </w:lvl>
    <w:lvl w:ilvl="2">
      <w:start w:val="0"/>
      <w:numFmt w:val="bullet"/>
      <w:lvlText w:val="•"/>
      <w:lvlJc w:val="left"/>
      <w:pPr>
        <w:ind w:left="2989" w:hanging="236"/>
      </w:pPr>
      <w:rPr>
        <w:rFonts w:hint="default"/>
        <w:lang w:val="es-ES" w:eastAsia="es-ES" w:bidi="es-ES"/>
      </w:rPr>
    </w:lvl>
    <w:lvl w:ilvl="3">
      <w:start w:val="0"/>
      <w:numFmt w:val="bullet"/>
      <w:lvlText w:val="•"/>
      <w:lvlJc w:val="left"/>
      <w:pPr>
        <w:ind w:left="3943" w:hanging="236"/>
      </w:pPr>
      <w:rPr>
        <w:rFonts w:hint="default"/>
        <w:lang w:val="es-ES" w:eastAsia="es-ES" w:bidi="es-ES"/>
      </w:rPr>
    </w:lvl>
    <w:lvl w:ilvl="4">
      <w:start w:val="0"/>
      <w:numFmt w:val="bullet"/>
      <w:lvlText w:val="•"/>
      <w:lvlJc w:val="left"/>
      <w:pPr>
        <w:ind w:left="4898" w:hanging="236"/>
      </w:pPr>
      <w:rPr>
        <w:rFonts w:hint="default"/>
        <w:lang w:val="es-ES" w:eastAsia="es-ES" w:bidi="es-ES"/>
      </w:rPr>
    </w:lvl>
    <w:lvl w:ilvl="5">
      <w:start w:val="0"/>
      <w:numFmt w:val="bullet"/>
      <w:lvlText w:val="•"/>
      <w:lvlJc w:val="left"/>
      <w:pPr>
        <w:ind w:left="5852" w:hanging="236"/>
      </w:pPr>
      <w:rPr>
        <w:rFonts w:hint="default"/>
        <w:lang w:val="es-ES" w:eastAsia="es-ES" w:bidi="es-ES"/>
      </w:rPr>
    </w:lvl>
    <w:lvl w:ilvl="6">
      <w:start w:val="0"/>
      <w:numFmt w:val="bullet"/>
      <w:lvlText w:val="•"/>
      <w:lvlJc w:val="left"/>
      <w:pPr>
        <w:ind w:left="6807" w:hanging="236"/>
      </w:pPr>
      <w:rPr>
        <w:rFonts w:hint="default"/>
        <w:lang w:val="es-ES" w:eastAsia="es-ES" w:bidi="es-ES"/>
      </w:rPr>
    </w:lvl>
    <w:lvl w:ilvl="7">
      <w:start w:val="0"/>
      <w:numFmt w:val="bullet"/>
      <w:lvlText w:val="•"/>
      <w:lvlJc w:val="left"/>
      <w:pPr>
        <w:ind w:left="7761" w:hanging="236"/>
      </w:pPr>
      <w:rPr>
        <w:rFonts w:hint="default"/>
        <w:lang w:val="es-ES" w:eastAsia="es-ES" w:bidi="es-ES"/>
      </w:rPr>
    </w:lvl>
    <w:lvl w:ilvl="8">
      <w:start w:val="0"/>
      <w:numFmt w:val="bullet"/>
      <w:lvlText w:val="•"/>
      <w:lvlJc w:val="left"/>
      <w:pPr>
        <w:ind w:left="8716" w:hanging="236"/>
      </w:pPr>
      <w:rPr>
        <w:rFonts w:hint="default"/>
        <w:lang w:val="es-ES" w:eastAsia="es-ES" w:bidi="es-ES"/>
      </w:rPr>
    </w:lvl>
  </w:abstractNum>
  <w:abstractNum w:abstractNumId="96">
    <w:multiLevelType w:val="hybridMultilevel"/>
    <w:lvl w:ilvl="0">
      <w:start w:val="1"/>
      <w:numFmt w:val="decimal"/>
      <w:lvlText w:val="%1."/>
      <w:lvlJc w:val="left"/>
      <w:pPr>
        <w:ind w:left="1074"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95">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6"/>
      </w:pPr>
      <w:rPr>
        <w:rFonts w:hint="default"/>
        <w:lang w:val="es-ES" w:eastAsia="es-ES" w:bidi="es-ES"/>
      </w:rPr>
    </w:lvl>
    <w:lvl w:ilvl="2">
      <w:start w:val="0"/>
      <w:numFmt w:val="bullet"/>
      <w:lvlText w:val="•"/>
      <w:lvlJc w:val="left"/>
      <w:pPr>
        <w:ind w:left="2989" w:hanging="226"/>
      </w:pPr>
      <w:rPr>
        <w:rFonts w:hint="default"/>
        <w:lang w:val="es-ES" w:eastAsia="es-ES" w:bidi="es-ES"/>
      </w:rPr>
    </w:lvl>
    <w:lvl w:ilvl="3">
      <w:start w:val="0"/>
      <w:numFmt w:val="bullet"/>
      <w:lvlText w:val="•"/>
      <w:lvlJc w:val="left"/>
      <w:pPr>
        <w:ind w:left="3943" w:hanging="226"/>
      </w:pPr>
      <w:rPr>
        <w:rFonts w:hint="default"/>
        <w:lang w:val="es-ES" w:eastAsia="es-ES" w:bidi="es-ES"/>
      </w:rPr>
    </w:lvl>
    <w:lvl w:ilvl="4">
      <w:start w:val="0"/>
      <w:numFmt w:val="bullet"/>
      <w:lvlText w:val="•"/>
      <w:lvlJc w:val="left"/>
      <w:pPr>
        <w:ind w:left="4898" w:hanging="226"/>
      </w:pPr>
      <w:rPr>
        <w:rFonts w:hint="default"/>
        <w:lang w:val="es-ES" w:eastAsia="es-ES" w:bidi="es-ES"/>
      </w:rPr>
    </w:lvl>
    <w:lvl w:ilvl="5">
      <w:start w:val="0"/>
      <w:numFmt w:val="bullet"/>
      <w:lvlText w:val="•"/>
      <w:lvlJc w:val="left"/>
      <w:pPr>
        <w:ind w:left="5852" w:hanging="226"/>
      </w:pPr>
      <w:rPr>
        <w:rFonts w:hint="default"/>
        <w:lang w:val="es-ES" w:eastAsia="es-ES" w:bidi="es-ES"/>
      </w:rPr>
    </w:lvl>
    <w:lvl w:ilvl="6">
      <w:start w:val="0"/>
      <w:numFmt w:val="bullet"/>
      <w:lvlText w:val="•"/>
      <w:lvlJc w:val="left"/>
      <w:pPr>
        <w:ind w:left="6807" w:hanging="226"/>
      </w:pPr>
      <w:rPr>
        <w:rFonts w:hint="default"/>
        <w:lang w:val="es-ES" w:eastAsia="es-ES" w:bidi="es-ES"/>
      </w:rPr>
    </w:lvl>
    <w:lvl w:ilvl="7">
      <w:start w:val="0"/>
      <w:numFmt w:val="bullet"/>
      <w:lvlText w:val="•"/>
      <w:lvlJc w:val="left"/>
      <w:pPr>
        <w:ind w:left="7761" w:hanging="226"/>
      </w:pPr>
      <w:rPr>
        <w:rFonts w:hint="default"/>
        <w:lang w:val="es-ES" w:eastAsia="es-ES" w:bidi="es-ES"/>
      </w:rPr>
    </w:lvl>
    <w:lvl w:ilvl="8">
      <w:start w:val="0"/>
      <w:numFmt w:val="bullet"/>
      <w:lvlText w:val="•"/>
      <w:lvlJc w:val="left"/>
      <w:pPr>
        <w:ind w:left="8716" w:hanging="226"/>
      </w:pPr>
      <w:rPr>
        <w:rFonts w:hint="default"/>
        <w:lang w:val="es-ES" w:eastAsia="es-ES" w:bidi="es-ES"/>
      </w:rPr>
    </w:lvl>
  </w:abstractNum>
  <w:abstractNum w:abstractNumId="94">
    <w:multiLevelType w:val="hybridMultilevel"/>
    <w:lvl w:ilvl="0">
      <w:start w:val="1"/>
      <w:numFmt w:val="decimal"/>
      <w:lvlText w:val="%1."/>
      <w:lvlJc w:val="left"/>
      <w:pPr>
        <w:ind w:left="1074" w:hanging="23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1"/>
      </w:pPr>
      <w:rPr>
        <w:rFonts w:hint="default"/>
        <w:lang w:val="es-ES" w:eastAsia="es-ES" w:bidi="es-ES"/>
      </w:rPr>
    </w:lvl>
    <w:lvl w:ilvl="2">
      <w:start w:val="0"/>
      <w:numFmt w:val="bullet"/>
      <w:lvlText w:val="•"/>
      <w:lvlJc w:val="left"/>
      <w:pPr>
        <w:ind w:left="2989" w:hanging="231"/>
      </w:pPr>
      <w:rPr>
        <w:rFonts w:hint="default"/>
        <w:lang w:val="es-ES" w:eastAsia="es-ES" w:bidi="es-ES"/>
      </w:rPr>
    </w:lvl>
    <w:lvl w:ilvl="3">
      <w:start w:val="0"/>
      <w:numFmt w:val="bullet"/>
      <w:lvlText w:val="•"/>
      <w:lvlJc w:val="left"/>
      <w:pPr>
        <w:ind w:left="3943" w:hanging="231"/>
      </w:pPr>
      <w:rPr>
        <w:rFonts w:hint="default"/>
        <w:lang w:val="es-ES" w:eastAsia="es-ES" w:bidi="es-ES"/>
      </w:rPr>
    </w:lvl>
    <w:lvl w:ilvl="4">
      <w:start w:val="0"/>
      <w:numFmt w:val="bullet"/>
      <w:lvlText w:val="•"/>
      <w:lvlJc w:val="left"/>
      <w:pPr>
        <w:ind w:left="4898" w:hanging="231"/>
      </w:pPr>
      <w:rPr>
        <w:rFonts w:hint="default"/>
        <w:lang w:val="es-ES" w:eastAsia="es-ES" w:bidi="es-ES"/>
      </w:rPr>
    </w:lvl>
    <w:lvl w:ilvl="5">
      <w:start w:val="0"/>
      <w:numFmt w:val="bullet"/>
      <w:lvlText w:val="•"/>
      <w:lvlJc w:val="left"/>
      <w:pPr>
        <w:ind w:left="5852" w:hanging="231"/>
      </w:pPr>
      <w:rPr>
        <w:rFonts w:hint="default"/>
        <w:lang w:val="es-ES" w:eastAsia="es-ES" w:bidi="es-ES"/>
      </w:rPr>
    </w:lvl>
    <w:lvl w:ilvl="6">
      <w:start w:val="0"/>
      <w:numFmt w:val="bullet"/>
      <w:lvlText w:val="•"/>
      <w:lvlJc w:val="left"/>
      <w:pPr>
        <w:ind w:left="6807" w:hanging="231"/>
      </w:pPr>
      <w:rPr>
        <w:rFonts w:hint="default"/>
        <w:lang w:val="es-ES" w:eastAsia="es-ES" w:bidi="es-ES"/>
      </w:rPr>
    </w:lvl>
    <w:lvl w:ilvl="7">
      <w:start w:val="0"/>
      <w:numFmt w:val="bullet"/>
      <w:lvlText w:val="•"/>
      <w:lvlJc w:val="left"/>
      <w:pPr>
        <w:ind w:left="7761" w:hanging="231"/>
      </w:pPr>
      <w:rPr>
        <w:rFonts w:hint="default"/>
        <w:lang w:val="es-ES" w:eastAsia="es-ES" w:bidi="es-ES"/>
      </w:rPr>
    </w:lvl>
    <w:lvl w:ilvl="8">
      <w:start w:val="0"/>
      <w:numFmt w:val="bullet"/>
      <w:lvlText w:val="•"/>
      <w:lvlJc w:val="left"/>
      <w:pPr>
        <w:ind w:left="8716" w:hanging="231"/>
      </w:pPr>
      <w:rPr>
        <w:rFonts w:hint="default"/>
        <w:lang w:val="es-ES" w:eastAsia="es-ES" w:bidi="es-ES"/>
      </w:rPr>
    </w:lvl>
  </w:abstractNum>
  <w:abstractNum w:abstractNumId="93">
    <w:multiLevelType w:val="hybridMultilevel"/>
    <w:lvl w:ilvl="0">
      <w:start w:val="1"/>
      <w:numFmt w:val="decimal"/>
      <w:lvlText w:val="%1."/>
      <w:lvlJc w:val="left"/>
      <w:pPr>
        <w:ind w:left="1074" w:hanging="28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3"/>
      </w:pPr>
      <w:rPr>
        <w:rFonts w:hint="default"/>
        <w:lang w:val="es-ES" w:eastAsia="es-ES" w:bidi="es-ES"/>
      </w:rPr>
    </w:lvl>
    <w:lvl w:ilvl="2">
      <w:start w:val="0"/>
      <w:numFmt w:val="bullet"/>
      <w:lvlText w:val="•"/>
      <w:lvlJc w:val="left"/>
      <w:pPr>
        <w:ind w:left="2989" w:hanging="283"/>
      </w:pPr>
      <w:rPr>
        <w:rFonts w:hint="default"/>
        <w:lang w:val="es-ES" w:eastAsia="es-ES" w:bidi="es-ES"/>
      </w:rPr>
    </w:lvl>
    <w:lvl w:ilvl="3">
      <w:start w:val="0"/>
      <w:numFmt w:val="bullet"/>
      <w:lvlText w:val="•"/>
      <w:lvlJc w:val="left"/>
      <w:pPr>
        <w:ind w:left="3943" w:hanging="283"/>
      </w:pPr>
      <w:rPr>
        <w:rFonts w:hint="default"/>
        <w:lang w:val="es-ES" w:eastAsia="es-ES" w:bidi="es-ES"/>
      </w:rPr>
    </w:lvl>
    <w:lvl w:ilvl="4">
      <w:start w:val="0"/>
      <w:numFmt w:val="bullet"/>
      <w:lvlText w:val="•"/>
      <w:lvlJc w:val="left"/>
      <w:pPr>
        <w:ind w:left="4898" w:hanging="283"/>
      </w:pPr>
      <w:rPr>
        <w:rFonts w:hint="default"/>
        <w:lang w:val="es-ES" w:eastAsia="es-ES" w:bidi="es-ES"/>
      </w:rPr>
    </w:lvl>
    <w:lvl w:ilvl="5">
      <w:start w:val="0"/>
      <w:numFmt w:val="bullet"/>
      <w:lvlText w:val="•"/>
      <w:lvlJc w:val="left"/>
      <w:pPr>
        <w:ind w:left="5852" w:hanging="283"/>
      </w:pPr>
      <w:rPr>
        <w:rFonts w:hint="default"/>
        <w:lang w:val="es-ES" w:eastAsia="es-ES" w:bidi="es-ES"/>
      </w:rPr>
    </w:lvl>
    <w:lvl w:ilvl="6">
      <w:start w:val="0"/>
      <w:numFmt w:val="bullet"/>
      <w:lvlText w:val="•"/>
      <w:lvlJc w:val="left"/>
      <w:pPr>
        <w:ind w:left="6807" w:hanging="283"/>
      </w:pPr>
      <w:rPr>
        <w:rFonts w:hint="default"/>
        <w:lang w:val="es-ES" w:eastAsia="es-ES" w:bidi="es-ES"/>
      </w:rPr>
    </w:lvl>
    <w:lvl w:ilvl="7">
      <w:start w:val="0"/>
      <w:numFmt w:val="bullet"/>
      <w:lvlText w:val="•"/>
      <w:lvlJc w:val="left"/>
      <w:pPr>
        <w:ind w:left="7761" w:hanging="283"/>
      </w:pPr>
      <w:rPr>
        <w:rFonts w:hint="default"/>
        <w:lang w:val="es-ES" w:eastAsia="es-ES" w:bidi="es-ES"/>
      </w:rPr>
    </w:lvl>
    <w:lvl w:ilvl="8">
      <w:start w:val="0"/>
      <w:numFmt w:val="bullet"/>
      <w:lvlText w:val="•"/>
      <w:lvlJc w:val="left"/>
      <w:pPr>
        <w:ind w:left="8716" w:hanging="283"/>
      </w:pPr>
      <w:rPr>
        <w:rFonts w:hint="default"/>
        <w:lang w:val="es-ES" w:eastAsia="es-ES" w:bidi="es-ES"/>
      </w:rPr>
    </w:lvl>
  </w:abstractNum>
  <w:abstractNum w:abstractNumId="92">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91">
    <w:multiLevelType w:val="hybridMultilevel"/>
    <w:lvl w:ilvl="0">
      <w:start w:val="1"/>
      <w:numFmt w:val="decimal"/>
      <w:lvlText w:val="%1."/>
      <w:lvlJc w:val="left"/>
      <w:pPr>
        <w:ind w:left="1074" w:hanging="23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6"/>
      </w:pPr>
      <w:rPr>
        <w:rFonts w:hint="default"/>
        <w:lang w:val="es-ES" w:eastAsia="es-ES" w:bidi="es-ES"/>
      </w:rPr>
    </w:lvl>
    <w:lvl w:ilvl="2">
      <w:start w:val="0"/>
      <w:numFmt w:val="bullet"/>
      <w:lvlText w:val="•"/>
      <w:lvlJc w:val="left"/>
      <w:pPr>
        <w:ind w:left="2989" w:hanging="236"/>
      </w:pPr>
      <w:rPr>
        <w:rFonts w:hint="default"/>
        <w:lang w:val="es-ES" w:eastAsia="es-ES" w:bidi="es-ES"/>
      </w:rPr>
    </w:lvl>
    <w:lvl w:ilvl="3">
      <w:start w:val="0"/>
      <w:numFmt w:val="bullet"/>
      <w:lvlText w:val="•"/>
      <w:lvlJc w:val="left"/>
      <w:pPr>
        <w:ind w:left="3943" w:hanging="236"/>
      </w:pPr>
      <w:rPr>
        <w:rFonts w:hint="default"/>
        <w:lang w:val="es-ES" w:eastAsia="es-ES" w:bidi="es-ES"/>
      </w:rPr>
    </w:lvl>
    <w:lvl w:ilvl="4">
      <w:start w:val="0"/>
      <w:numFmt w:val="bullet"/>
      <w:lvlText w:val="•"/>
      <w:lvlJc w:val="left"/>
      <w:pPr>
        <w:ind w:left="4898" w:hanging="236"/>
      </w:pPr>
      <w:rPr>
        <w:rFonts w:hint="default"/>
        <w:lang w:val="es-ES" w:eastAsia="es-ES" w:bidi="es-ES"/>
      </w:rPr>
    </w:lvl>
    <w:lvl w:ilvl="5">
      <w:start w:val="0"/>
      <w:numFmt w:val="bullet"/>
      <w:lvlText w:val="•"/>
      <w:lvlJc w:val="left"/>
      <w:pPr>
        <w:ind w:left="5852" w:hanging="236"/>
      </w:pPr>
      <w:rPr>
        <w:rFonts w:hint="default"/>
        <w:lang w:val="es-ES" w:eastAsia="es-ES" w:bidi="es-ES"/>
      </w:rPr>
    </w:lvl>
    <w:lvl w:ilvl="6">
      <w:start w:val="0"/>
      <w:numFmt w:val="bullet"/>
      <w:lvlText w:val="•"/>
      <w:lvlJc w:val="left"/>
      <w:pPr>
        <w:ind w:left="6807" w:hanging="236"/>
      </w:pPr>
      <w:rPr>
        <w:rFonts w:hint="default"/>
        <w:lang w:val="es-ES" w:eastAsia="es-ES" w:bidi="es-ES"/>
      </w:rPr>
    </w:lvl>
    <w:lvl w:ilvl="7">
      <w:start w:val="0"/>
      <w:numFmt w:val="bullet"/>
      <w:lvlText w:val="•"/>
      <w:lvlJc w:val="left"/>
      <w:pPr>
        <w:ind w:left="7761" w:hanging="236"/>
      </w:pPr>
      <w:rPr>
        <w:rFonts w:hint="default"/>
        <w:lang w:val="es-ES" w:eastAsia="es-ES" w:bidi="es-ES"/>
      </w:rPr>
    </w:lvl>
    <w:lvl w:ilvl="8">
      <w:start w:val="0"/>
      <w:numFmt w:val="bullet"/>
      <w:lvlText w:val="•"/>
      <w:lvlJc w:val="left"/>
      <w:pPr>
        <w:ind w:left="8716" w:hanging="236"/>
      </w:pPr>
      <w:rPr>
        <w:rFonts w:hint="default"/>
        <w:lang w:val="es-ES" w:eastAsia="es-ES" w:bidi="es-ES"/>
      </w:rPr>
    </w:lvl>
  </w:abstractNum>
  <w:abstractNum w:abstractNumId="90">
    <w:multiLevelType w:val="hybridMultilevel"/>
    <w:lvl w:ilvl="0">
      <w:start w:val="1"/>
      <w:numFmt w:val="lowerLetter"/>
      <w:lvlText w:val="%1)"/>
      <w:lvlJc w:val="left"/>
      <w:pPr>
        <w:ind w:left="107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8"/>
      </w:pPr>
      <w:rPr>
        <w:rFonts w:hint="default"/>
        <w:lang w:val="es-ES" w:eastAsia="es-ES" w:bidi="es-ES"/>
      </w:rPr>
    </w:lvl>
    <w:lvl w:ilvl="2">
      <w:start w:val="0"/>
      <w:numFmt w:val="bullet"/>
      <w:lvlText w:val="•"/>
      <w:lvlJc w:val="left"/>
      <w:pPr>
        <w:ind w:left="2989" w:hanging="238"/>
      </w:pPr>
      <w:rPr>
        <w:rFonts w:hint="default"/>
        <w:lang w:val="es-ES" w:eastAsia="es-ES" w:bidi="es-ES"/>
      </w:rPr>
    </w:lvl>
    <w:lvl w:ilvl="3">
      <w:start w:val="0"/>
      <w:numFmt w:val="bullet"/>
      <w:lvlText w:val="•"/>
      <w:lvlJc w:val="left"/>
      <w:pPr>
        <w:ind w:left="3943" w:hanging="238"/>
      </w:pPr>
      <w:rPr>
        <w:rFonts w:hint="default"/>
        <w:lang w:val="es-ES" w:eastAsia="es-ES" w:bidi="es-ES"/>
      </w:rPr>
    </w:lvl>
    <w:lvl w:ilvl="4">
      <w:start w:val="0"/>
      <w:numFmt w:val="bullet"/>
      <w:lvlText w:val="•"/>
      <w:lvlJc w:val="left"/>
      <w:pPr>
        <w:ind w:left="4898" w:hanging="238"/>
      </w:pPr>
      <w:rPr>
        <w:rFonts w:hint="default"/>
        <w:lang w:val="es-ES" w:eastAsia="es-ES" w:bidi="es-ES"/>
      </w:rPr>
    </w:lvl>
    <w:lvl w:ilvl="5">
      <w:start w:val="0"/>
      <w:numFmt w:val="bullet"/>
      <w:lvlText w:val="•"/>
      <w:lvlJc w:val="left"/>
      <w:pPr>
        <w:ind w:left="5852" w:hanging="238"/>
      </w:pPr>
      <w:rPr>
        <w:rFonts w:hint="default"/>
        <w:lang w:val="es-ES" w:eastAsia="es-ES" w:bidi="es-ES"/>
      </w:rPr>
    </w:lvl>
    <w:lvl w:ilvl="6">
      <w:start w:val="0"/>
      <w:numFmt w:val="bullet"/>
      <w:lvlText w:val="•"/>
      <w:lvlJc w:val="left"/>
      <w:pPr>
        <w:ind w:left="6807" w:hanging="238"/>
      </w:pPr>
      <w:rPr>
        <w:rFonts w:hint="default"/>
        <w:lang w:val="es-ES" w:eastAsia="es-ES" w:bidi="es-ES"/>
      </w:rPr>
    </w:lvl>
    <w:lvl w:ilvl="7">
      <w:start w:val="0"/>
      <w:numFmt w:val="bullet"/>
      <w:lvlText w:val="•"/>
      <w:lvlJc w:val="left"/>
      <w:pPr>
        <w:ind w:left="7761" w:hanging="238"/>
      </w:pPr>
      <w:rPr>
        <w:rFonts w:hint="default"/>
        <w:lang w:val="es-ES" w:eastAsia="es-ES" w:bidi="es-ES"/>
      </w:rPr>
    </w:lvl>
    <w:lvl w:ilvl="8">
      <w:start w:val="0"/>
      <w:numFmt w:val="bullet"/>
      <w:lvlText w:val="•"/>
      <w:lvlJc w:val="left"/>
      <w:pPr>
        <w:ind w:left="8716" w:hanging="238"/>
      </w:pPr>
      <w:rPr>
        <w:rFonts w:hint="default"/>
        <w:lang w:val="es-ES" w:eastAsia="es-ES" w:bidi="es-ES"/>
      </w:rPr>
    </w:lvl>
  </w:abstractNum>
  <w:abstractNum w:abstractNumId="89">
    <w:multiLevelType w:val="hybridMultilevel"/>
    <w:lvl w:ilvl="0">
      <w:start w:val="1"/>
      <w:numFmt w:val="lowerLetter"/>
      <w:lvlText w:val="%1)"/>
      <w:lvlJc w:val="left"/>
      <w:pPr>
        <w:ind w:left="1074" w:hanging="29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6"/>
      </w:pPr>
      <w:rPr>
        <w:rFonts w:hint="default"/>
        <w:lang w:val="es-ES" w:eastAsia="es-ES" w:bidi="es-ES"/>
      </w:rPr>
    </w:lvl>
    <w:lvl w:ilvl="2">
      <w:start w:val="0"/>
      <w:numFmt w:val="bullet"/>
      <w:lvlText w:val="•"/>
      <w:lvlJc w:val="left"/>
      <w:pPr>
        <w:ind w:left="2989" w:hanging="296"/>
      </w:pPr>
      <w:rPr>
        <w:rFonts w:hint="default"/>
        <w:lang w:val="es-ES" w:eastAsia="es-ES" w:bidi="es-ES"/>
      </w:rPr>
    </w:lvl>
    <w:lvl w:ilvl="3">
      <w:start w:val="0"/>
      <w:numFmt w:val="bullet"/>
      <w:lvlText w:val="•"/>
      <w:lvlJc w:val="left"/>
      <w:pPr>
        <w:ind w:left="3943" w:hanging="296"/>
      </w:pPr>
      <w:rPr>
        <w:rFonts w:hint="default"/>
        <w:lang w:val="es-ES" w:eastAsia="es-ES" w:bidi="es-ES"/>
      </w:rPr>
    </w:lvl>
    <w:lvl w:ilvl="4">
      <w:start w:val="0"/>
      <w:numFmt w:val="bullet"/>
      <w:lvlText w:val="•"/>
      <w:lvlJc w:val="left"/>
      <w:pPr>
        <w:ind w:left="4898" w:hanging="296"/>
      </w:pPr>
      <w:rPr>
        <w:rFonts w:hint="default"/>
        <w:lang w:val="es-ES" w:eastAsia="es-ES" w:bidi="es-ES"/>
      </w:rPr>
    </w:lvl>
    <w:lvl w:ilvl="5">
      <w:start w:val="0"/>
      <w:numFmt w:val="bullet"/>
      <w:lvlText w:val="•"/>
      <w:lvlJc w:val="left"/>
      <w:pPr>
        <w:ind w:left="5852" w:hanging="296"/>
      </w:pPr>
      <w:rPr>
        <w:rFonts w:hint="default"/>
        <w:lang w:val="es-ES" w:eastAsia="es-ES" w:bidi="es-ES"/>
      </w:rPr>
    </w:lvl>
    <w:lvl w:ilvl="6">
      <w:start w:val="0"/>
      <w:numFmt w:val="bullet"/>
      <w:lvlText w:val="•"/>
      <w:lvlJc w:val="left"/>
      <w:pPr>
        <w:ind w:left="6807" w:hanging="296"/>
      </w:pPr>
      <w:rPr>
        <w:rFonts w:hint="default"/>
        <w:lang w:val="es-ES" w:eastAsia="es-ES" w:bidi="es-ES"/>
      </w:rPr>
    </w:lvl>
    <w:lvl w:ilvl="7">
      <w:start w:val="0"/>
      <w:numFmt w:val="bullet"/>
      <w:lvlText w:val="•"/>
      <w:lvlJc w:val="left"/>
      <w:pPr>
        <w:ind w:left="7761" w:hanging="296"/>
      </w:pPr>
      <w:rPr>
        <w:rFonts w:hint="default"/>
        <w:lang w:val="es-ES" w:eastAsia="es-ES" w:bidi="es-ES"/>
      </w:rPr>
    </w:lvl>
    <w:lvl w:ilvl="8">
      <w:start w:val="0"/>
      <w:numFmt w:val="bullet"/>
      <w:lvlText w:val="•"/>
      <w:lvlJc w:val="left"/>
      <w:pPr>
        <w:ind w:left="8716" w:hanging="296"/>
      </w:pPr>
      <w:rPr>
        <w:rFonts w:hint="default"/>
        <w:lang w:val="es-ES" w:eastAsia="es-ES" w:bidi="es-ES"/>
      </w:rPr>
    </w:lvl>
  </w:abstractNum>
  <w:abstractNum w:abstractNumId="88">
    <w:multiLevelType w:val="hybridMultilevel"/>
    <w:lvl w:ilvl="0">
      <w:start w:val="1"/>
      <w:numFmt w:val="lowerLetter"/>
      <w:lvlText w:val="%1)"/>
      <w:lvlJc w:val="left"/>
      <w:pPr>
        <w:ind w:left="1074" w:hanging="262"/>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62"/>
      </w:pPr>
      <w:rPr>
        <w:rFonts w:hint="default"/>
        <w:lang w:val="es-ES" w:eastAsia="es-ES" w:bidi="es-ES"/>
      </w:rPr>
    </w:lvl>
    <w:lvl w:ilvl="2">
      <w:start w:val="0"/>
      <w:numFmt w:val="bullet"/>
      <w:lvlText w:val="•"/>
      <w:lvlJc w:val="left"/>
      <w:pPr>
        <w:ind w:left="2989" w:hanging="262"/>
      </w:pPr>
      <w:rPr>
        <w:rFonts w:hint="default"/>
        <w:lang w:val="es-ES" w:eastAsia="es-ES" w:bidi="es-ES"/>
      </w:rPr>
    </w:lvl>
    <w:lvl w:ilvl="3">
      <w:start w:val="0"/>
      <w:numFmt w:val="bullet"/>
      <w:lvlText w:val="•"/>
      <w:lvlJc w:val="left"/>
      <w:pPr>
        <w:ind w:left="3943" w:hanging="262"/>
      </w:pPr>
      <w:rPr>
        <w:rFonts w:hint="default"/>
        <w:lang w:val="es-ES" w:eastAsia="es-ES" w:bidi="es-ES"/>
      </w:rPr>
    </w:lvl>
    <w:lvl w:ilvl="4">
      <w:start w:val="0"/>
      <w:numFmt w:val="bullet"/>
      <w:lvlText w:val="•"/>
      <w:lvlJc w:val="left"/>
      <w:pPr>
        <w:ind w:left="4898" w:hanging="262"/>
      </w:pPr>
      <w:rPr>
        <w:rFonts w:hint="default"/>
        <w:lang w:val="es-ES" w:eastAsia="es-ES" w:bidi="es-ES"/>
      </w:rPr>
    </w:lvl>
    <w:lvl w:ilvl="5">
      <w:start w:val="0"/>
      <w:numFmt w:val="bullet"/>
      <w:lvlText w:val="•"/>
      <w:lvlJc w:val="left"/>
      <w:pPr>
        <w:ind w:left="5852" w:hanging="262"/>
      </w:pPr>
      <w:rPr>
        <w:rFonts w:hint="default"/>
        <w:lang w:val="es-ES" w:eastAsia="es-ES" w:bidi="es-ES"/>
      </w:rPr>
    </w:lvl>
    <w:lvl w:ilvl="6">
      <w:start w:val="0"/>
      <w:numFmt w:val="bullet"/>
      <w:lvlText w:val="•"/>
      <w:lvlJc w:val="left"/>
      <w:pPr>
        <w:ind w:left="6807" w:hanging="262"/>
      </w:pPr>
      <w:rPr>
        <w:rFonts w:hint="default"/>
        <w:lang w:val="es-ES" w:eastAsia="es-ES" w:bidi="es-ES"/>
      </w:rPr>
    </w:lvl>
    <w:lvl w:ilvl="7">
      <w:start w:val="0"/>
      <w:numFmt w:val="bullet"/>
      <w:lvlText w:val="•"/>
      <w:lvlJc w:val="left"/>
      <w:pPr>
        <w:ind w:left="7761" w:hanging="262"/>
      </w:pPr>
      <w:rPr>
        <w:rFonts w:hint="default"/>
        <w:lang w:val="es-ES" w:eastAsia="es-ES" w:bidi="es-ES"/>
      </w:rPr>
    </w:lvl>
    <w:lvl w:ilvl="8">
      <w:start w:val="0"/>
      <w:numFmt w:val="bullet"/>
      <w:lvlText w:val="•"/>
      <w:lvlJc w:val="left"/>
      <w:pPr>
        <w:ind w:left="8716" w:hanging="262"/>
      </w:pPr>
      <w:rPr>
        <w:rFonts w:hint="default"/>
        <w:lang w:val="es-ES" w:eastAsia="es-ES" w:bidi="es-ES"/>
      </w:rPr>
    </w:lvl>
  </w:abstractNum>
  <w:abstractNum w:abstractNumId="87">
    <w:multiLevelType w:val="hybridMultilevel"/>
    <w:lvl w:ilvl="0">
      <w:start w:val="1"/>
      <w:numFmt w:val="decimal"/>
      <w:lvlText w:val="%1."/>
      <w:lvlJc w:val="left"/>
      <w:pPr>
        <w:ind w:left="107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3"/>
      </w:pPr>
      <w:rPr>
        <w:rFonts w:hint="default"/>
        <w:lang w:val="es-ES" w:eastAsia="es-ES" w:bidi="es-ES"/>
      </w:rPr>
    </w:lvl>
    <w:lvl w:ilvl="2">
      <w:start w:val="0"/>
      <w:numFmt w:val="bullet"/>
      <w:lvlText w:val="•"/>
      <w:lvlJc w:val="left"/>
      <w:pPr>
        <w:ind w:left="2989" w:hanging="243"/>
      </w:pPr>
      <w:rPr>
        <w:rFonts w:hint="default"/>
        <w:lang w:val="es-ES" w:eastAsia="es-ES" w:bidi="es-ES"/>
      </w:rPr>
    </w:lvl>
    <w:lvl w:ilvl="3">
      <w:start w:val="0"/>
      <w:numFmt w:val="bullet"/>
      <w:lvlText w:val="•"/>
      <w:lvlJc w:val="left"/>
      <w:pPr>
        <w:ind w:left="3943" w:hanging="243"/>
      </w:pPr>
      <w:rPr>
        <w:rFonts w:hint="default"/>
        <w:lang w:val="es-ES" w:eastAsia="es-ES" w:bidi="es-ES"/>
      </w:rPr>
    </w:lvl>
    <w:lvl w:ilvl="4">
      <w:start w:val="0"/>
      <w:numFmt w:val="bullet"/>
      <w:lvlText w:val="•"/>
      <w:lvlJc w:val="left"/>
      <w:pPr>
        <w:ind w:left="4898" w:hanging="243"/>
      </w:pPr>
      <w:rPr>
        <w:rFonts w:hint="default"/>
        <w:lang w:val="es-ES" w:eastAsia="es-ES" w:bidi="es-ES"/>
      </w:rPr>
    </w:lvl>
    <w:lvl w:ilvl="5">
      <w:start w:val="0"/>
      <w:numFmt w:val="bullet"/>
      <w:lvlText w:val="•"/>
      <w:lvlJc w:val="left"/>
      <w:pPr>
        <w:ind w:left="5852" w:hanging="243"/>
      </w:pPr>
      <w:rPr>
        <w:rFonts w:hint="default"/>
        <w:lang w:val="es-ES" w:eastAsia="es-ES" w:bidi="es-ES"/>
      </w:rPr>
    </w:lvl>
    <w:lvl w:ilvl="6">
      <w:start w:val="0"/>
      <w:numFmt w:val="bullet"/>
      <w:lvlText w:val="•"/>
      <w:lvlJc w:val="left"/>
      <w:pPr>
        <w:ind w:left="6807" w:hanging="243"/>
      </w:pPr>
      <w:rPr>
        <w:rFonts w:hint="default"/>
        <w:lang w:val="es-ES" w:eastAsia="es-ES" w:bidi="es-ES"/>
      </w:rPr>
    </w:lvl>
    <w:lvl w:ilvl="7">
      <w:start w:val="0"/>
      <w:numFmt w:val="bullet"/>
      <w:lvlText w:val="•"/>
      <w:lvlJc w:val="left"/>
      <w:pPr>
        <w:ind w:left="7761" w:hanging="243"/>
      </w:pPr>
      <w:rPr>
        <w:rFonts w:hint="default"/>
        <w:lang w:val="es-ES" w:eastAsia="es-ES" w:bidi="es-ES"/>
      </w:rPr>
    </w:lvl>
    <w:lvl w:ilvl="8">
      <w:start w:val="0"/>
      <w:numFmt w:val="bullet"/>
      <w:lvlText w:val="•"/>
      <w:lvlJc w:val="left"/>
      <w:pPr>
        <w:ind w:left="8716" w:hanging="243"/>
      </w:pPr>
      <w:rPr>
        <w:rFonts w:hint="default"/>
        <w:lang w:val="es-ES" w:eastAsia="es-ES" w:bidi="es-ES"/>
      </w:rPr>
    </w:lvl>
  </w:abstractNum>
  <w:abstractNum w:abstractNumId="86">
    <w:multiLevelType w:val="hybridMultilevel"/>
    <w:lvl w:ilvl="0">
      <w:start w:val="1"/>
      <w:numFmt w:val="decimal"/>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85">
    <w:multiLevelType w:val="hybridMultilevel"/>
    <w:lvl w:ilvl="0">
      <w:start w:val="1"/>
      <w:numFmt w:val="lowerLetter"/>
      <w:lvlText w:val="%1)"/>
      <w:lvlJc w:val="left"/>
      <w:pPr>
        <w:ind w:left="1074" w:hanging="3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50"/>
      </w:pPr>
      <w:rPr>
        <w:rFonts w:hint="default"/>
        <w:lang w:val="es-ES" w:eastAsia="es-ES" w:bidi="es-ES"/>
      </w:rPr>
    </w:lvl>
    <w:lvl w:ilvl="2">
      <w:start w:val="0"/>
      <w:numFmt w:val="bullet"/>
      <w:lvlText w:val="•"/>
      <w:lvlJc w:val="left"/>
      <w:pPr>
        <w:ind w:left="2989" w:hanging="350"/>
      </w:pPr>
      <w:rPr>
        <w:rFonts w:hint="default"/>
        <w:lang w:val="es-ES" w:eastAsia="es-ES" w:bidi="es-ES"/>
      </w:rPr>
    </w:lvl>
    <w:lvl w:ilvl="3">
      <w:start w:val="0"/>
      <w:numFmt w:val="bullet"/>
      <w:lvlText w:val="•"/>
      <w:lvlJc w:val="left"/>
      <w:pPr>
        <w:ind w:left="3943" w:hanging="350"/>
      </w:pPr>
      <w:rPr>
        <w:rFonts w:hint="default"/>
        <w:lang w:val="es-ES" w:eastAsia="es-ES" w:bidi="es-ES"/>
      </w:rPr>
    </w:lvl>
    <w:lvl w:ilvl="4">
      <w:start w:val="0"/>
      <w:numFmt w:val="bullet"/>
      <w:lvlText w:val="•"/>
      <w:lvlJc w:val="left"/>
      <w:pPr>
        <w:ind w:left="4898" w:hanging="350"/>
      </w:pPr>
      <w:rPr>
        <w:rFonts w:hint="default"/>
        <w:lang w:val="es-ES" w:eastAsia="es-ES" w:bidi="es-ES"/>
      </w:rPr>
    </w:lvl>
    <w:lvl w:ilvl="5">
      <w:start w:val="0"/>
      <w:numFmt w:val="bullet"/>
      <w:lvlText w:val="•"/>
      <w:lvlJc w:val="left"/>
      <w:pPr>
        <w:ind w:left="5852" w:hanging="350"/>
      </w:pPr>
      <w:rPr>
        <w:rFonts w:hint="default"/>
        <w:lang w:val="es-ES" w:eastAsia="es-ES" w:bidi="es-ES"/>
      </w:rPr>
    </w:lvl>
    <w:lvl w:ilvl="6">
      <w:start w:val="0"/>
      <w:numFmt w:val="bullet"/>
      <w:lvlText w:val="•"/>
      <w:lvlJc w:val="left"/>
      <w:pPr>
        <w:ind w:left="6807" w:hanging="350"/>
      </w:pPr>
      <w:rPr>
        <w:rFonts w:hint="default"/>
        <w:lang w:val="es-ES" w:eastAsia="es-ES" w:bidi="es-ES"/>
      </w:rPr>
    </w:lvl>
    <w:lvl w:ilvl="7">
      <w:start w:val="0"/>
      <w:numFmt w:val="bullet"/>
      <w:lvlText w:val="•"/>
      <w:lvlJc w:val="left"/>
      <w:pPr>
        <w:ind w:left="7761" w:hanging="350"/>
      </w:pPr>
      <w:rPr>
        <w:rFonts w:hint="default"/>
        <w:lang w:val="es-ES" w:eastAsia="es-ES" w:bidi="es-ES"/>
      </w:rPr>
    </w:lvl>
    <w:lvl w:ilvl="8">
      <w:start w:val="0"/>
      <w:numFmt w:val="bullet"/>
      <w:lvlText w:val="•"/>
      <w:lvlJc w:val="left"/>
      <w:pPr>
        <w:ind w:left="8716" w:hanging="350"/>
      </w:pPr>
      <w:rPr>
        <w:rFonts w:hint="default"/>
        <w:lang w:val="es-ES" w:eastAsia="es-ES" w:bidi="es-ES"/>
      </w:rPr>
    </w:lvl>
  </w:abstractNum>
  <w:abstractNum w:abstractNumId="84">
    <w:multiLevelType w:val="hybridMultilevel"/>
    <w:lvl w:ilvl="0">
      <w:start w:val="1"/>
      <w:numFmt w:val="lowerLetter"/>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83">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82">
    <w:multiLevelType w:val="hybridMultilevel"/>
    <w:lvl w:ilvl="0">
      <w:start w:val="1"/>
      <w:numFmt w:val="decimal"/>
      <w:lvlText w:val="%1."/>
      <w:lvlJc w:val="left"/>
      <w:pPr>
        <w:ind w:left="1074" w:hanging="29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6"/>
      </w:pPr>
      <w:rPr>
        <w:rFonts w:hint="default"/>
        <w:lang w:val="es-ES" w:eastAsia="es-ES" w:bidi="es-ES"/>
      </w:rPr>
    </w:lvl>
    <w:lvl w:ilvl="2">
      <w:start w:val="0"/>
      <w:numFmt w:val="bullet"/>
      <w:lvlText w:val="•"/>
      <w:lvlJc w:val="left"/>
      <w:pPr>
        <w:ind w:left="2989" w:hanging="296"/>
      </w:pPr>
      <w:rPr>
        <w:rFonts w:hint="default"/>
        <w:lang w:val="es-ES" w:eastAsia="es-ES" w:bidi="es-ES"/>
      </w:rPr>
    </w:lvl>
    <w:lvl w:ilvl="3">
      <w:start w:val="0"/>
      <w:numFmt w:val="bullet"/>
      <w:lvlText w:val="•"/>
      <w:lvlJc w:val="left"/>
      <w:pPr>
        <w:ind w:left="3943" w:hanging="296"/>
      </w:pPr>
      <w:rPr>
        <w:rFonts w:hint="default"/>
        <w:lang w:val="es-ES" w:eastAsia="es-ES" w:bidi="es-ES"/>
      </w:rPr>
    </w:lvl>
    <w:lvl w:ilvl="4">
      <w:start w:val="0"/>
      <w:numFmt w:val="bullet"/>
      <w:lvlText w:val="•"/>
      <w:lvlJc w:val="left"/>
      <w:pPr>
        <w:ind w:left="4898" w:hanging="296"/>
      </w:pPr>
      <w:rPr>
        <w:rFonts w:hint="default"/>
        <w:lang w:val="es-ES" w:eastAsia="es-ES" w:bidi="es-ES"/>
      </w:rPr>
    </w:lvl>
    <w:lvl w:ilvl="5">
      <w:start w:val="0"/>
      <w:numFmt w:val="bullet"/>
      <w:lvlText w:val="•"/>
      <w:lvlJc w:val="left"/>
      <w:pPr>
        <w:ind w:left="5852" w:hanging="296"/>
      </w:pPr>
      <w:rPr>
        <w:rFonts w:hint="default"/>
        <w:lang w:val="es-ES" w:eastAsia="es-ES" w:bidi="es-ES"/>
      </w:rPr>
    </w:lvl>
    <w:lvl w:ilvl="6">
      <w:start w:val="0"/>
      <w:numFmt w:val="bullet"/>
      <w:lvlText w:val="•"/>
      <w:lvlJc w:val="left"/>
      <w:pPr>
        <w:ind w:left="6807" w:hanging="296"/>
      </w:pPr>
      <w:rPr>
        <w:rFonts w:hint="default"/>
        <w:lang w:val="es-ES" w:eastAsia="es-ES" w:bidi="es-ES"/>
      </w:rPr>
    </w:lvl>
    <w:lvl w:ilvl="7">
      <w:start w:val="0"/>
      <w:numFmt w:val="bullet"/>
      <w:lvlText w:val="•"/>
      <w:lvlJc w:val="left"/>
      <w:pPr>
        <w:ind w:left="7761" w:hanging="296"/>
      </w:pPr>
      <w:rPr>
        <w:rFonts w:hint="default"/>
        <w:lang w:val="es-ES" w:eastAsia="es-ES" w:bidi="es-ES"/>
      </w:rPr>
    </w:lvl>
    <w:lvl w:ilvl="8">
      <w:start w:val="0"/>
      <w:numFmt w:val="bullet"/>
      <w:lvlText w:val="•"/>
      <w:lvlJc w:val="left"/>
      <w:pPr>
        <w:ind w:left="8716" w:hanging="296"/>
      </w:pPr>
      <w:rPr>
        <w:rFonts w:hint="default"/>
        <w:lang w:val="es-ES" w:eastAsia="es-ES" w:bidi="es-ES"/>
      </w:rPr>
    </w:lvl>
  </w:abstractNum>
  <w:abstractNum w:abstractNumId="81">
    <w:multiLevelType w:val="hybridMultilevel"/>
    <w:lvl w:ilvl="0">
      <w:start w:val="1"/>
      <w:numFmt w:val="decimal"/>
      <w:lvlText w:val="%1."/>
      <w:lvlJc w:val="left"/>
      <w:pPr>
        <w:ind w:left="1074" w:hanging="255"/>
        <w:jc w:val="left"/>
      </w:pPr>
      <w:rPr>
        <w:rFonts w:hint="default" w:ascii="Arial" w:hAnsi="Arial" w:eastAsia="Arial" w:cs="Arial"/>
        <w:spacing w:val="-24"/>
        <w:w w:val="100"/>
        <w:sz w:val="20"/>
        <w:szCs w:val="20"/>
        <w:lang w:val="es-ES" w:eastAsia="es-ES" w:bidi="es-ES"/>
      </w:rPr>
    </w:lvl>
    <w:lvl w:ilvl="1">
      <w:start w:val="0"/>
      <w:numFmt w:val="bullet"/>
      <w:lvlText w:val="•"/>
      <w:lvlJc w:val="left"/>
      <w:pPr>
        <w:ind w:left="2034" w:hanging="255"/>
      </w:pPr>
      <w:rPr>
        <w:rFonts w:hint="default"/>
        <w:lang w:val="es-ES" w:eastAsia="es-ES" w:bidi="es-ES"/>
      </w:rPr>
    </w:lvl>
    <w:lvl w:ilvl="2">
      <w:start w:val="0"/>
      <w:numFmt w:val="bullet"/>
      <w:lvlText w:val="•"/>
      <w:lvlJc w:val="left"/>
      <w:pPr>
        <w:ind w:left="2989" w:hanging="255"/>
      </w:pPr>
      <w:rPr>
        <w:rFonts w:hint="default"/>
        <w:lang w:val="es-ES" w:eastAsia="es-ES" w:bidi="es-ES"/>
      </w:rPr>
    </w:lvl>
    <w:lvl w:ilvl="3">
      <w:start w:val="0"/>
      <w:numFmt w:val="bullet"/>
      <w:lvlText w:val="•"/>
      <w:lvlJc w:val="left"/>
      <w:pPr>
        <w:ind w:left="3943" w:hanging="255"/>
      </w:pPr>
      <w:rPr>
        <w:rFonts w:hint="default"/>
        <w:lang w:val="es-ES" w:eastAsia="es-ES" w:bidi="es-ES"/>
      </w:rPr>
    </w:lvl>
    <w:lvl w:ilvl="4">
      <w:start w:val="0"/>
      <w:numFmt w:val="bullet"/>
      <w:lvlText w:val="•"/>
      <w:lvlJc w:val="left"/>
      <w:pPr>
        <w:ind w:left="4898" w:hanging="255"/>
      </w:pPr>
      <w:rPr>
        <w:rFonts w:hint="default"/>
        <w:lang w:val="es-ES" w:eastAsia="es-ES" w:bidi="es-ES"/>
      </w:rPr>
    </w:lvl>
    <w:lvl w:ilvl="5">
      <w:start w:val="0"/>
      <w:numFmt w:val="bullet"/>
      <w:lvlText w:val="•"/>
      <w:lvlJc w:val="left"/>
      <w:pPr>
        <w:ind w:left="5852" w:hanging="255"/>
      </w:pPr>
      <w:rPr>
        <w:rFonts w:hint="default"/>
        <w:lang w:val="es-ES" w:eastAsia="es-ES" w:bidi="es-ES"/>
      </w:rPr>
    </w:lvl>
    <w:lvl w:ilvl="6">
      <w:start w:val="0"/>
      <w:numFmt w:val="bullet"/>
      <w:lvlText w:val="•"/>
      <w:lvlJc w:val="left"/>
      <w:pPr>
        <w:ind w:left="6807" w:hanging="255"/>
      </w:pPr>
      <w:rPr>
        <w:rFonts w:hint="default"/>
        <w:lang w:val="es-ES" w:eastAsia="es-ES" w:bidi="es-ES"/>
      </w:rPr>
    </w:lvl>
    <w:lvl w:ilvl="7">
      <w:start w:val="0"/>
      <w:numFmt w:val="bullet"/>
      <w:lvlText w:val="•"/>
      <w:lvlJc w:val="left"/>
      <w:pPr>
        <w:ind w:left="7761" w:hanging="255"/>
      </w:pPr>
      <w:rPr>
        <w:rFonts w:hint="default"/>
        <w:lang w:val="es-ES" w:eastAsia="es-ES" w:bidi="es-ES"/>
      </w:rPr>
    </w:lvl>
    <w:lvl w:ilvl="8">
      <w:start w:val="0"/>
      <w:numFmt w:val="bullet"/>
      <w:lvlText w:val="•"/>
      <w:lvlJc w:val="left"/>
      <w:pPr>
        <w:ind w:left="8716" w:hanging="255"/>
      </w:pPr>
      <w:rPr>
        <w:rFonts w:hint="default"/>
        <w:lang w:val="es-ES" w:eastAsia="es-ES" w:bidi="es-ES"/>
      </w:rPr>
    </w:lvl>
  </w:abstractNum>
  <w:abstractNum w:abstractNumId="80">
    <w:multiLevelType w:val="hybridMultilevel"/>
    <w:lvl w:ilvl="0">
      <w:start w:val="1"/>
      <w:numFmt w:val="decimal"/>
      <w:lvlText w:val="%1."/>
      <w:lvlJc w:val="left"/>
      <w:pPr>
        <w:ind w:left="1074" w:hanging="24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5"/>
      </w:pPr>
      <w:rPr>
        <w:rFonts w:hint="default"/>
        <w:lang w:val="es-ES" w:eastAsia="es-ES" w:bidi="es-ES"/>
      </w:rPr>
    </w:lvl>
    <w:lvl w:ilvl="2">
      <w:start w:val="0"/>
      <w:numFmt w:val="bullet"/>
      <w:lvlText w:val="•"/>
      <w:lvlJc w:val="left"/>
      <w:pPr>
        <w:ind w:left="2989" w:hanging="245"/>
      </w:pPr>
      <w:rPr>
        <w:rFonts w:hint="default"/>
        <w:lang w:val="es-ES" w:eastAsia="es-ES" w:bidi="es-ES"/>
      </w:rPr>
    </w:lvl>
    <w:lvl w:ilvl="3">
      <w:start w:val="0"/>
      <w:numFmt w:val="bullet"/>
      <w:lvlText w:val="•"/>
      <w:lvlJc w:val="left"/>
      <w:pPr>
        <w:ind w:left="3943" w:hanging="245"/>
      </w:pPr>
      <w:rPr>
        <w:rFonts w:hint="default"/>
        <w:lang w:val="es-ES" w:eastAsia="es-ES" w:bidi="es-ES"/>
      </w:rPr>
    </w:lvl>
    <w:lvl w:ilvl="4">
      <w:start w:val="0"/>
      <w:numFmt w:val="bullet"/>
      <w:lvlText w:val="•"/>
      <w:lvlJc w:val="left"/>
      <w:pPr>
        <w:ind w:left="4898" w:hanging="245"/>
      </w:pPr>
      <w:rPr>
        <w:rFonts w:hint="default"/>
        <w:lang w:val="es-ES" w:eastAsia="es-ES" w:bidi="es-ES"/>
      </w:rPr>
    </w:lvl>
    <w:lvl w:ilvl="5">
      <w:start w:val="0"/>
      <w:numFmt w:val="bullet"/>
      <w:lvlText w:val="•"/>
      <w:lvlJc w:val="left"/>
      <w:pPr>
        <w:ind w:left="5852" w:hanging="245"/>
      </w:pPr>
      <w:rPr>
        <w:rFonts w:hint="default"/>
        <w:lang w:val="es-ES" w:eastAsia="es-ES" w:bidi="es-ES"/>
      </w:rPr>
    </w:lvl>
    <w:lvl w:ilvl="6">
      <w:start w:val="0"/>
      <w:numFmt w:val="bullet"/>
      <w:lvlText w:val="•"/>
      <w:lvlJc w:val="left"/>
      <w:pPr>
        <w:ind w:left="6807" w:hanging="245"/>
      </w:pPr>
      <w:rPr>
        <w:rFonts w:hint="default"/>
        <w:lang w:val="es-ES" w:eastAsia="es-ES" w:bidi="es-ES"/>
      </w:rPr>
    </w:lvl>
    <w:lvl w:ilvl="7">
      <w:start w:val="0"/>
      <w:numFmt w:val="bullet"/>
      <w:lvlText w:val="•"/>
      <w:lvlJc w:val="left"/>
      <w:pPr>
        <w:ind w:left="7761" w:hanging="245"/>
      </w:pPr>
      <w:rPr>
        <w:rFonts w:hint="default"/>
        <w:lang w:val="es-ES" w:eastAsia="es-ES" w:bidi="es-ES"/>
      </w:rPr>
    </w:lvl>
    <w:lvl w:ilvl="8">
      <w:start w:val="0"/>
      <w:numFmt w:val="bullet"/>
      <w:lvlText w:val="•"/>
      <w:lvlJc w:val="left"/>
      <w:pPr>
        <w:ind w:left="8716" w:hanging="245"/>
      </w:pPr>
      <w:rPr>
        <w:rFonts w:hint="default"/>
        <w:lang w:val="es-ES" w:eastAsia="es-ES" w:bidi="es-ES"/>
      </w:rPr>
    </w:lvl>
  </w:abstractNum>
  <w:abstractNum w:abstractNumId="79">
    <w:multiLevelType w:val="hybridMultilevel"/>
    <w:lvl w:ilvl="0">
      <w:start w:val="1"/>
      <w:numFmt w:val="lowerLetter"/>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78">
    <w:multiLevelType w:val="hybridMultilevel"/>
    <w:lvl w:ilvl="0">
      <w:start w:val="1"/>
      <w:numFmt w:val="decimal"/>
      <w:lvlText w:val="%1."/>
      <w:lvlJc w:val="left"/>
      <w:pPr>
        <w:ind w:left="1074" w:hanging="226"/>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6"/>
      </w:pPr>
      <w:rPr>
        <w:rFonts w:hint="default"/>
        <w:lang w:val="es-ES" w:eastAsia="es-ES" w:bidi="es-ES"/>
      </w:rPr>
    </w:lvl>
    <w:lvl w:ilvl="2">
      <w:start w:val="0"/>
      <w:numFmt w:val="bullet"/>
      <w:lvlText w:val="•"/>
      <w:lvlJc w:val="left"/>
      <w:pPr>
        <w:ind w:left="2989" w:hanging="226"/>
      </w:pPr>
      <w:rPr>
        <w:rFonts w:hint="default"/>
        <w:lang w:val="es-ES" w:eastAsia="es-ES" w:bidi="es-ES"/>
      </w:rPr>
    </w:lvl>
    <w:lvl w:ilvl="3">
      <w:start w:val="0"/>
      <w:numFmt w:val="bullet"/>
      <w:lvlText w:val="•"/>
      <w:lvlJc w:val="left"/>
      <w:pPr>
        <w:ind w:left="3943" w:hanging="226"/>
      </w:pPr>
      <w:rPr>
        <w:rFonts w:hint="default"/>
        <w:lang w:val="es-ES" w:eastAsia="es-ES" w:bidi="es-ES"/>
      </w:rPr>
    </w:lvl>
    <w:lvl w:ilvl="4">
      <w:start w:val="0"/>
      <w:numFmt w:val="bullet"/>
      <w:lvlText w:val="•"/>
      <w:lvlJc w:val="left"/>
      <w:pPr>
        <w:ind w:left="4898" w:hanging="226"/>
      </w:pPr>
      <w:rPr>
        <w:rFonts w:hint="default"/>
        <w:lang w:val="es-ES" w:eastAsia="es-ES" w:bidi="es-ES"/>
      </w:rPr>
    </w:lvl>
    <w:lvl w:ilvl="5">
      <w:start w:val="0"/>
      <w:numFmt w:val="bullet"/>
      <w:lvlText w:val="•"/>
      <w:lvlJc w:val="left"/>
      <w:pPr>
        <w:ind w:left="5852" w:hanging="226"/>
      </w:pPr>
      <w:rPr>
        <w:rFonts w:hint="default"/>
        <w:lang w:val="es-ES" w:eastAsia="es-ES" w:bidi="es-ES"/>
      </w:rPr>
    </w:lvl>
    <w:lvl w:ilvl="6">
      <w:start w:val="0"/>
      <w:numFmt w:val="bullet"/>
      <w:lvlText w:val="•"/>
      <w:lvlJc w:val="left"/>
      <w:pPr>
        <w:ind w:left="6807" w:hanging="226"/>
      </w:pPr>
      <w:rPr>
        <w:rFonts w:hint="default"/>
        <w:lang w:val="es-ES" w:eastAsia="es-ES" w:bidi="es-ES"/>
      </w:rPr>
    </w:lvl>
    <w:lvl w:ilvl="7">
      <w:start w:val="0"/>
      <w:numFmt w:val="bullet"/>
      <w:lvlText w:val="•"/>
      <w:lvlJc w:val="left"/>
      <w:pPr>
        <w:ind w:left="7761" w:hanging="226"/>
      </w:pPr>
      <w:rPr>
        <w:rFonts w:hint="default"/>
        <w:lang w:val="es-ES" w:eastAsia="es-ES" w:bidi="es-ES"/>
      </w:rPr>
    </w:lvl>
    <w:lvl w:ilvl="8">
      <w:start w:val="0"/>
      <w:numFmt w:val="bullet"/>
      <w:lvlText w:val="•"/>
      <w:lvlJc w:val="left"/>
      <w:pPr>
        <w:ind w:left="8716" w:hanging="226"/>
      </w:pPr>
      <w:rPr>
        <w:rFonts w:hint="default"/>
        <w:lang w:val="es-ES" w:eastAsia="es-ES" w:bidi="es-ES"/>
      </w:rPr>
    </w:lvl>
  </w:abstractNum>
  <w:abstractNum w:abstractNumId="77">
    <w:multiLevelType w:val="hybridMultilevel"/>
    <w:lvl w:ilvl="0">
      <w:start w:val="4"/>
      <w:numFmt w:val="decimal"/>
      <w:lvlText w:val="%1."/>
      <w:lvlJc w:val="left"/>
      <w:pPr>
        <w:ind w:left="1296" w:hanging="223"/>
        <w:jc w:val="left"/>
      </w:pPr>
      <w:rPr>
        <w:rFonts w:hint="default" w:ascii="Arial" w:hAnsi="Arial" w:eastAsia="Arial" w:cs="Arial"/>
        <w:spacing w:val="-1"/>
        <w:w w:val="100"/>
        <w:sz w:val="20"/>
        <w:szCs w:val="20"/>
        <w:lang w:val="es-ES" w:eastAsia="es-ES" w:bidi="es-ES"/>
      </w:rPr>
    </w:lvl>
    <w:lvl w:ilvl="1">
      <w:start w:val="6"/>
      <w:numFmt w:val="decimal"/>
      <w:lvlText w:val="%2."/>
      <w:lvlJc w:val="left"/>
      <w:pPr>
        <w:ind w:left="1074" w:hanging="296"/>
        <w:jc w:val="left"/>
      </w:pPr>
      <w:rPr>
        <w:rFonts w:hint="default" w:ascii="Arial" w:hAnsi="Arial" w:eastAsia="Arial" w:cs="Arial"/>
        <w:spacing w:val="-27"/>
        <w:w w:val="100"/>
        <w:sz w:val="20"/>
        <w:szCs w:val="20"/>
        <w:lang w:val="es-ES" w:eastAsia="es-ES" w:bidi="es-ES"/>
      </w:rPr>
    </w:lvl>
    <w:lvl w:ilvl="2">
      <w:start w:val="0"/>
      <w:numFmt w:val="bullet"/>
      <w:lvlText w:val="•"/>
      <w:lvlJc w:val="left"/>
      <w:pPr>
        <w:ind w:left="2336" w:hanging="296"/>
      </w:pPr>
      <w:rPr>
        <w:rFonts w:hint="default"/>
        <w:lang w:val="es-ES" w:eastAsia="es-ES" w:bidi="es-ES"/>
      </w:rPr>
    </w:lvl>
    <w:lvl w:ilvl="3">
      <w:start w:val="0"/>
      <w:numFmt w:val="bullet"/>
      <w:lvlText w:val="•"/>
      <w:lvlJc w:val="left"/>
      <w:pPr>
        <w:ind w:left="3372" w:hanging="296"/>
      </w:pPr>
      <w:rPr>
        <w:rFonts w:hint="default"/>
        <w:lang w:val="es-ES" w:eastAsia="es-ES" w:bidi="es-ES"/>
      </w:rPr>
    </w:lvl>
    <w:lvl w:ilvl="4">
      <w:start w:val="0"/>
      <w:numFmt w:val="bullet"/>
      <w:lvlText w:val="•"/>
      <w:lvlJc w:val="left"/>
      <w:pPr>
        <w:ind w:left="4408" w:hanging="296"/>
      </w:pPr>
      <w:rPr>
        <w:rFonts w:hint="default"/>
        <w:lang w:val="es-ES" w:eastAsia="es-ES" w:bidi="es-ES"/>
      </w:rPr>
    </w:lvl>
    <w:lvl w:ilvl="5">
      <w:start w:val="0"/>
      <w:numFmt w:val="bullet"/>
      <w:lvlText w:val="•"/>
      <w:lvlJc w:val="left"/>
      <w:pPr>
        <w:ind w:left="5444" w:hanging="296"/>
      </w:pPr>
      <w:rPr>
        <w:rFonts w:hint="default"/>
        <w:lang w:val="es-ES" w:eastAsia="es-ES" w:bidi="es-ES"/>
      </w:rPr>
    </w:lvl>
    <w:lvl w:ilvl="6">
      <w:start w:val="0"/>
      <w:numFmt w:val="bullet"/>
      <w:lvlText w:val="•"/>
      <w:lvlJc w:val="left"/>
      <w:pPr>
        <w:ind w:left="6480" w:hanging="296"/>
      </w:pPr>
      <w:rPr>
        <w:rFonts w:hint="default"/>
        <w:lang w:val="es-ES" w:eastAsia="es-ES" w:bidi="es-ES"/>
      </w:rPr>
    </w:lvl>
    <w:lvl w:ilvl="7">
      <w:start w:val="0"/>
      <w:numFmt w:val="bullet"/>
      <w:lvlText w:val="•"/>
      <w:lvlJc w:val="left"/>
      <w:pPr>
        <w:ind w:left="7517" w:hanging="296"/>
      </w:pPr>
      <w:rPr>
        <w:rFonts w:hint="default"/>
        <w:lang w:val="es-ES" w:eastAsia="es-ES" w:bidi="es-ES"/>
      </w:rPr>
    </w:lvl>
    <w:lvl w:ilvl="8">
      <w:start w:val="0"/>
      <w:numFmt w:val="bullet"/>
      <w:lvlText w:val="•"/>
      <w:lvlJc w:val="left"/>
      <w:pPr>
        <w:ind w:left="8553" w:hanging="296"/>
      </w:pPr>
      <w:rPr>
        <w:rFonts w:hint="default"/>
        <w:lang w:val="es-ES" w:eastAsia="es-ES" w:bidi="es-ES"/>
      </w:rPr>
    </w:lvl>
  </w:abstractNum>
  <w:abstractNum w:abstractNumId="76">
    <w:multiLevelType w:val="hybridMultilevel"/>
    <w:lvl w:ilvl="0">
      <w:start w:val="1"/>
      <w:numFmt w:val="lowerLetter"/>
      <w:lvlText w:val="%1)"/>
      <w:lvlJc w:val="left"/>
      <w:pPr>
        <w:ind w:left="1074" w:hanging="335"/>
        <w:jc w:val="left"/>
      </w:pPr>
      <w:rPr>
        <w:rFonts w:hint="default" w:ascii="Arial" w:hAnsi="Arial" w:eastAsia="Arial" w:cs="Arial"/>
        <w:spacing w:val="-25"/>
        <w:w w:val="100"/>
        <w:sz w:val="20"/>
        <w:szCs w:val="20"/>
        <w:lang w:val="es-ES" w:eastAsia="es-ES" w:bidi="es-ES"/>
      </w:rPr>
    </w:lvl>
    <w:lvl w:ilvl="1">
      <w:start w:val="0"/>
      <w:numFmt w:val="bullet"/>
      <w:lvlText w:val="•"/>
      <w:lvlJc w:val="left"/>
      <w:pPr>
        <w:ind w:left="2034" w:hanging="335"/>
      </w:pPr>
      <w:rPr>
        <w:rFonts w:hint="default"/>
        <w:lang w:val="es-ES" w:eastAsia="es-ES" w:bidi="es-ES"/>
      </w:rPr>
    </w:lvl>
    <w:lvl w:ilvl="2">
      <w:start w:val="0"/>
      <w:numFmt w:val="bullet"/>
      <w:lvlText w:val="•"/>
      <w:lvlJc w:val="left"/>
      <w:pPr>
        <w:ind w:left="2989" w:hanging="335"/>
      </w:pPr>
      <w:rPr>
        <w:rFonts w:hint="default"/>
        <w:lang w:val="es-ES" w:eastAsia="es-ES" w:bidi="es-ES"/>
      </w:rPr>
    </w:lvl>
    <w:lvl w:ilvl="3">
      <w:start w:val="0"/>
      <w:numFmt w:val="bullet"/>
      <w:lvlText w:val="•"/>
      <w:lvlJc w:val="left"/>
      <w:pPr>
        <w:ind w:left="3943" w:hanging="335"/>
      </w:pPr>
      <w:rPr>
        <w:rFonts w:hint="default"/>
        <w:lang w:val="es-ES" w:eastAsia="es-ES" w:bidi="es-ES"/>
      </w:rPr>
    </w:lvl>
    <w:lvl w:ilvl="4">
      <w:start w:val="0"/>
      <w:numFmt w:val="bullet"/>
      <w:lvlText w:val="•"/>
      <w:lvlJc w:val="left"/>
      <w:pPr>
        <w:ind w:left="4898" w:hanging="335"/>
      </w:pPr>
      <w:rPr>
        <w:rFonts w:hint="default"/>
        <w:lang w:val="es-ES" w:eastAsia="es-ES" w:bidi="es-ES"/>
      </w:rPr>
    </w:lvl>
    <w:lvl w:ilvl="5">
      <w:start w:val="0"/>
      <w:numFmt w:val="bullet"/>
      <w:lvlText w:val="•"/>
      <w:lvlJc w:val="left"/>
      <w:pPr>
        <w:ind w:left="5852" w:hanging="335"/>
      </w:pPr>
      <w:rPr>
        <w:rFonts w:hint="default"/>
        <w:lang w:val="es-ES" w:eastAsia="es-ES" w:bidi="es-ES"/>
      </w:rPr>
    </w:lvl>
    <w:lvl w:ilvl="6">
      <w:start w:val="0"/>
      <w:numFmt w:val="bullet"/>
      <w:lvlText w:val="•"/>
      <w:lvlJc w:val="left"/>
      <w:pPr>
        <w:ind w:left="6807" w:hanging="335"/>
      </w:pPr>
      <w:rPr>
        <w:rFonts w:hint="default"/>
        <w:lang w:val="es-ES" w:eastAsia="es-ES" w:bidi="es-ES"/>
      </w:rPr>
    </w:lvl>
    <w:lvl w:ilvl="7">
      <w:start w:val="0"/>
      <w:numFmt w:val="bullet"/>
      <w:lvlText w:val="•"/>
      <w:lvlJc w:val="left"/>
      <w:pPr>
        <w:ind w:left="7761" w:hanging="335"/>
      </w:pPr>
      <w:rPr>
        <w:rFonts w:hint="default"/>
        <w:lang w:val="es-ES" w:eastAsia="es-ES" w:bidi="es-ES"/>
      </w:rPr>
    </w:lvl>
    <w:lvl w:ilvl="8">
      <w:start w:val="0"/>
      <w:numFmt w:val="bullet"/>
      <w:lvlText w:val="•"/>
      <w:lvlJc w:val="left"/>
      <w:pPr>
        <w:ind w:left="8716" w:hanging="335"/>
      </w:pPr>
      <w:rPr>
        <w:rFonts w:hint="default"/>
        <w:lang w:val="es-ES" w:eastAsia="es-ES" w:bidi="es-ES"/>
      </w:rPr>
    </w:lvl>
  </w:abstractNum>
  <w:abstractNum w:abstractNumId="75">
    <w:multiLevelType w:val="hybridMultilevel"/>
    <w:lvl w:ilvl="0">
      <w:start w:val="1"/>
      <w:numFmt w:val="lowerLetter"/>
      <w:lvlText w:val="%1)"/>
      <w:lvlJc w:val="left"/>
      <w:pPr>
        <w:ind w:left="1074" w:hanging="24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8"/>
      </w:pPr>
      <w:rPr>
        <w:rFonts w:hint="default"/>
        <w:lang w:val="es-ES" w:eastAsia="es-ES" w:bidi="es-ES"/>
      </w:rPr>
    </w:lvl>
    <w:lvl w:ilvl="2">
      <w:start w:val="0"/>
      <w:numFmt w:val="bullet"/>
      <w:lvlText w:val="•"/>
      <w:lvlJc w:val="left"/>
      <w:pPr>
        <w:ind w:left="2989" w:hanging="248"/>
      </w:pPr>
      <w:rPr>
        <w:rFonts w:hint="default"/>
        <w:lang w:val="es-ES" w:eastAsia="es-ES" w:bidi="es-ES"/>
      </w:rPr>
    </w:lvl>
    <w:lvl w:ilvl="3">
      <w:start w:val="0"/>
      <w:numFmt w:val="bullet"/>
      <w:lvlText w:val="•"/>
      <w:lvlJc w:val="left"/>
      <w:pPr>
        <w:ind w:left="3943" w:hanging="248"/>
      </w:pPr>
      <w:rPr>
        <w:rFonts w:hint="default"/>
        <w:lang w:val="es-ES" w:eastAsia="es-ES" w:bidi="es-ES"/>
      </w:rPr>
    </w:lvl>
    <w:lvl w:ilvl="4">
      <w:start w:val="0"/>
      <w:numFmt w:val="bullet"/>
      <w:lvlText w:val="•"/>
      <w:lvlJc w:val="left"/>
      <w:pPr>
        <w:ind w:left="4898" w:hanging="248"/>
      </w:pPr>
      <w:rPr>
        <w:rFonts w:hint="default"/>
        <w:lang w:val="es-ES" w:eastAsia="es-ES" w:bidi="es-ES"/>
      </w:rPr>
    </w:lvl>
    <w:lvl w:ilvl="5">
      <w:start w:val="0"/>
      <w:numFmt w:val="bullet"/>
      <w:lvlText w:val="•"/>
      <w:lvlJc w:val="left"/>
      <w:pPr>
        <w:ind w:left="5852" w:hanging="248"/>
      </w:pPr>
      <w:rPr>
        <w:rFonts w:hint="default"/>
        <w:lang w:val="es-ES" w:eastAsia="es-ES" w:bidi="es-ES"/>
      </w:rPr>
    </w:lvl>
    <w:lvl w:ilvl="6">
      <w:start w:val="0"/>
      <w:numFmt w:val="bullet"/>
      <w:lvlText w:val="•"/>
      <w:lvlJc w:val="left"/>
      <w:pPr>
        <w:ind w:left="6807" w:hanging="248"/>
      </w:pPr>
      <w:rPr>
        <w:rFonts w:hint="default"/>
        <w:lang w:val="es-ES" w:eastAsia="es-ES" w:bidi="es-ES"/>
      </w:rPr>
    </w:lvl>
    <w:lvl w:ilvl="7">
      <w:start w:val="0"/>
      <w:numFmt w:val="bullet"/>
      <w:lvlText w:val="•"/>
      <w:lvlJc w:val="left"/>
      <w:pPr>
        <w:ind w:left="7761" w:hanging="248"/>
      </w:pPr>
      <w:rPr>
        <w:rFonts w:hint="default"/>
        <w:lang w:val="es-ES" w:eastAsia="es-ES" w:bidi="es-ES"/>
      </w:rPr>
    </w:lvl>
    <w:lvl w:ilvl="8">
      <w:start w:val="0"/>
      <w:numFmt w:val="bullet"/>
      <w:lvlText w:val="•"/>
      <w:lvlJc w:val="left"/>
      <w:pPr>
        <w:ind w:left="8716" w:hanging="248"/>
      </w:pPr>
      <w:rPr>
        <w:rFonts w:hint="default"/>
        <w:lang w:val="es-ES" w:eastAsia="es-ES" w:bidi="es-ES"/>
      </w:rPr>
    </w:lvl>
  </w:abstractNum>
  <w:abstractNum w:abstractNumId="74">
    <w:multiLevelType w:val="hybridMultilevel"/>
    <w:lvl w:ilvl="0">
      <w:start w:val="1"/>
      <w:numFmt w:val="decimal"/>
      <w:lvlText w:val="%1."/>
      <w:lvlJc w:val="left"/>
      <w:pPr>
        <w:ind w:left="1074" w:hanging="261"/>
        <w:jc w:val="left"/>
      </w:pPr>
      <w:rPr>
        <w:rFonts w:hint="default" w:ascii="Arial" w:hAnsi="Arial" w:eastAsia="Arial" w:cs="Arial"/>
        <w:spacing w:val="-24"/>
        <w:w w:val="100"/>
        <w:sz w:val="20"/>
        <w:szCs w:val="20"/>
        <w:lang w:val="es-ES" w:eastAsia="es-ES" w:bidi="es-ES"/>
      </w:rPr>
    </w:lvl>
    <w:lvl w:ilvl="1">
      <w:start w:val="0"/>
      <w:numFmt w:val="bullet"/>
      <w:lvlText w:val="•"/>
      <w:lvlJc w:val="left"/>
      <w:pPr>
        <w:ind w:left="2034" w:hanging="261"/>
      </w:pPr>
      <w:rPr>
        <w:rFonts w:hint="default"/>
        <w:lang w:val="es-ES" w:eastAsia="es-ES" w:bidi="es-ES"/>
      </w:rPr>
    </w:lvl>
    <w:lvl w:ilvl="2">
      <w:start w:val="0"/>
      <w:numFmt w:val="bullet"/>
      <w:lvlText w:val="•"/>
      <w:lvlJc w:val="left"/>
      <w:pPr>
        <w:ind w:left="2989" w:hanging="261"/>
      </w:pPr>
      <w:rPr>
        <w:rFonts w:hint="default"/>
        <w:lang w:val="es-ES" w:eastAsia="es-ES" w:bidi="es-ES"/>
      </w:rPr>
    </w:lvl>
    <w:lvl w:ilvl="3">
      <w:start w:val="0"/>
      <w:numFmt w:val="bullet"/>
      <w:lvlText w:val="•"/>
      <w:lvlJc w:val="left"/>
      <w:pPr>
        <w:ind w:left="3943" w:hanging="261"/>
      </w:pPr>
      <w:rPr>
        <w:rFonts w:hint="default"/>
        <w:lang w:val="es-ES" w:eastAsia="es-ES" w:bidi="es-ES"/>
      </w:rPr>
    </w:lvl>
    <w:lvl w:ilvl="4">
      <w:start w:val="0"/>
      <w:numFmt w:val="bullet"/>
      <w:lvlText w:val="•"/>
      <w:lvlJc w:val="left"/>
      <w:pPr>
        <w:ind w:left="4898" w:hanging="261"/>
      </w:pPr>
      <w:rPr>
        <w:rFonts w:hint="default"/>
        <w:lang w:val="es-ES" w:eastAsia="es-ES" w:bidi="es-ES"/>
      </w:rPr>
    </w:lvl>
    <w:lvl w:ilvl="5">
      <w:start w:val="0"/>
      <w:numFmt w:val="bullet"/>
      <w:lvlText w:val="•"/>
      <w:lvlJc w:val="left"/>
      <w:pPr>
        <w:ind w:left="5852" w:hanging="261"/>
      </w:pPr>
      <w:rPr>
        <w:rFonts w:hint="default"/>
        <w:lang w:val="es-ES" w:eastAsia="es-ES" w:bidi="es-ES"/>
      </w:rPr>
    </w:lvl>
    <w:lvl w:ilvl="6">
      <w:start w:val="0"/>
      <w:numFmt w:val="bullet"/>
      <w:lvlText w:val="•"/>
      <w:lvlJc w:val="left"/>
      <w:pPr>
        <w:ind w:left="6807" w:hanging="261"/>
      </w:pPr>
      <w:rPr>
        <w:rFonts w:hint="default"/>
        <w:lang w:val="es-ES" w:eastAsia="es-ES" w:bidi="es-ES"/>
      </w:rPr>
    </w:lvl>
    <w:lvl w:ilvl="7">
      <w:start w:val="0"/>
      <w:numFmt w:val="bullet"/>
      <w:lvlText w:val="•"/>
      <w:lvlJc w:val="left"/>
      <w:pPr>
        <w:ind w:left="7761" w:hanging="261"/>
      </w:pPr>
      <w:rPr>
        <w:rFonts w:hint="default"/>
        <w:lang w:val="es-ES" w:eastAsia="es-ES" w:bidi="es-ES"/>
      </w:rPr>
    </w:lvl>
    <w:lvl w:ilvl="8">
      <w:start w:val="0"/>
      <w:numFmt w:val="bullet"/>
      <w:lvlText w:val="•"/>
      <w:lvlJc w:val="left"/>
      <w:pPr>
        <w:ind w:left="8716" w:hanging="261"/>
      </w:pPr>
      <w:rPr>
        <w:rFonts w:hint="default"/>
        <w:lang w:val="es-ES" w:eastAsia="es-ES" w:bidi="es-ES"/>
      </w:rPr>
    </w:lvl>
  </w:abstractNum>
  <w:abstractNum w:abstractNumId="73">
    <w:multiLevelType w:val="hybridMultilevel"/>
    <w:lvl w:ilvl="0">
      <w:start w:val="1"/>
      <w:numFmt w:val="decimal"/>
      <w:lvlText w:val="%1."/>
      <w:lvlJc w:val="left"/>
      <w:pPr>
        <w:ind w:left="1074" w:hanging="287"/>
        <w:jc w:val="left"/>
      </w:pPr>
      <w:rPr>
        <w:rFonts w:hint="default" w:ascii="Arial" w:hAnsi="Arial" w:eastAsia="Arial" w:cs="Arial"/>
        <w:spacing w:val="-9"/>
        <w:w w:val="100"/>
        <w:sz w:val="20"/>
        <w:szCs w:val="20"/>
        <w:lang w:val="es-ES" w:eastAsia="es-ES" w:bidi="es-ES"/>
      </w:rPr>
    </w:lvl>
    <w:lvl w:ilvl="1">
      <w:start w:val="0"/>
      <w:numFmt w:val="bullet"/>
      <w:lvlText w:val="•"/>
      <w:lvlJc w:val="left"/>
      <w:pPr>
        <w:ind w:left="2034" w:hanging="287"/>
      </w:pPr>
      <w:rPr>
        <w:rFonts w:hint="default"/>
        <w:lang w:val="es-ES" w:eastAsia="es-ES" w:bidi="es-ES"/>
      </w:rPr>
    </w:lvl>
    <w:lvl w:ilvl="2">
      <w:start w:val="0"/>
      <w:numFmt w:val="bullet"/>
      <w:lvlText w:val="•"/>
      <w:lvlJc w:val="left"/>
      <w:pPr>
        <w:ind w:left="2989" w:hanging="287"/>
      </w:pPr>
      <w:rPr>
        <w:rFonts w:hint="default"/>
        <w:lang w:val="es-ES" w:eastAsia="es-ES" w:bidi="es-ES"/>
      </w:rPr>
    </w:lvl>
    <w:lvl w:ilvl="3">
      <w:start w:val="0"/>
      <w:numFmt w:val="bullet"/>
      <w:lvlText w:val="•"/>
      <w:lvlJc w:val="left"/>
      <w:pPr>
        <w:ind w:left="3943" w:hanging="287"/>
      </w:pPr>
      <w:rPr>
        <w:rFonts w:hint="default"/>
        <w:lang w:val="es-ES" w:eastAsia="es-ES" w:bidi="es-ES"/>
      </w:rPr>
    </w:lvl>
    <w:lvl w:ilvl="4">
      <w:start w:val="0"/>
      <w:numFmt w:val="bullet"/>
      <w:lvlText w:val="•"/>
      <w:lvlJc w:val="left"/>
      <w:pPr>
        <w:ind w:left="4898" w:hanging="287"/>
      </w:pPr>
      <w:rPr>
        <w:rFonts w:hint="default"/>
        <w:lang w:val="es-ES" w:eastAsia="es-ES" w:bidi="es-ES"/>
      </w:rPr>
    </w:lvl>
    <w:lvl w:ilvl="5">
      <w:start w:val="0"/>
      <w:numFmt w:val="bullet"/>
      <w:lvlText w:val="•"/>
      <w:lvlJc w:val="left"/>
      <w:pPr>
        <w:ind w:left="5852" w:hanging="287"/>
      </w:pPr>
      <w:rPr>
        <w:rFonts w:hint="default"/>
        <w:lang w:val="es-ES" w:eastAsia="es-ES" w:bidi="es-ES"/>
      </w:rPr>
    </w:lvl>
    <w:lvl w:ilvl="6">
      <w:start w:val="0"/>
      <w:numFmt w:val="bullet"/>
      <w:lvlText w:val="•"/>
      <w:lvlJc w:val="left"/>
      <w:pPr>
        <w:ind w:left="6807" w:hanging="287"/>
      </w:pPr>
      <w:rPr>
        <w:rFonts w:hint="default"/>
        <w:lang w:val="es-ES" w:eastAsia="es-ES" w:bidi="es-ES"/>
      </w:rPr>
    </w:lvl>
    <w:lvl w:ilvl="7">
      <w:start w:val="0"/>
      <w:numFmt w:val="bullet"/>
      <w:lvlText w:val="•"/>
      <w:lvlJc w:val="left"/>
      <w:pPr>
        <w:ind w:left="7761" w:hanging="287"/>
      </w:pPr>
      <w:rPr>
        <w:rFonts w:hint="default"/>
        <w:lang w:val="es-ES" w:eastAsia="es-ES" w:bidi="es-ES"/>
      </w:rPr>
    </w:lvl>
    <w:lvl w:ilvl="8">
      <w:start w:val="0"/>
      <w:numFmt w:val="bullet"/>
      <w:lvlText w:val="•"/>
      <w:lvlJc w:val="left"/>
      <w:pPr>
        <w:ind w:left="8716" w:hanging="287"/>
      </w:pPr>
      <w:rPr>
        <w:rFonts w:hint="default"/>
        <w:lang w:val="es-ES" w:eastAsia="es-ES" w:bidi="es-ES"/>
      </w:rPr>
    </w:lvl>
  </w:abstractNum>
  <w:abstractNum w:abstractNumId="72">
    <w:multiLevelType w:val="hybridMultilevel"/>
    <w:lvl w:ilvl="0">
      <w:start w:val="1"/>
      <w:numFmt w:val="lowerLetter"/>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71">
    <w:multiLevelType w:val="hybridMultilevel"/>
    <w:lvl w:ilvl="0">
      <w:start w:val="1"/>
      <w:numFmt w:val="decimal"/>
      <w:lvlText w:val="%1."/>
      <w:lvlJc w:val="left"/>
      <w:pPr>
        <w:ind w:left="1074" w:hanging="270"/>
        <w:jc w:val="left"/>
      </w:pPr>
      <w:rPr>
        <w:rFonts w:hint="default" w:ascii="Arial" w:hAnsi="Arial" w:eastAsia="Arial" w:cs="Arial"/>
        <w:spacing w:val="-9"/>
        <w:w w:val="100"/>
        <w:sz w:val="20"/>
        <w:szCs w:val="20"/>
        <w:lang w:val="es-ES" w:eastAsia="es-ES" w:bidi="es-ES"/>
      </w:rPr>
    </w:lvl>
    <w:lvl w:ilvl="1">
      <w:start w:val="0"/>
      <w:numFmt w:val="bullet"/>
      <w:lvlText w:val="•"/>
      <w:lvlJc w:val="left"/>
      <w:pPr>
        <w:ind w:left="2034" w:hanging="270"/>
      </w:pPr>
      <w:rPr>
        <w:rFonts w:hint="default"/>
        <w:lang w:val="es-ES" w:eastAsia="es-ES" w:bidi="es-ES"/>
      </w:rPr>
    </w:lvl>
    <w:lvl w:ilvl="2">
      <w:start w:val="0"/>
      <w:numFmt w:val="bullet"/>
      <w:lvlText w:val="•"/>
      <w:lvlJc w:val="left"/>
      <w:pPr>
        <w:ind w:left="2989" w:hanging="270"/>
      </w:pPr>
      <w:rPr>
        <w:rFonts w:hint="default"/>
        <w:lang w:val="es-ES" w:eastAsia="es-ES" w:bidi="es-ES"/>
      </w:rPr>
    </w:lvl>
    <w:lvl w:ilvl="3">
      <w:start w:val="0"/>
      <w:numFmt w:val="bullet"/>
      <w:lvlText w:val="•"/>
      <w:lvlJc w:val="left"/>
      <w:pPr>
        <w:ind w:left="3943" w:hanging="270"/>
      </w:pPr>
      <w:rPr>
        <w:rFonts w:hint="default"/>
        <w:lang w:val="es-ES" w:eastAsia="es-ES" w:bidi="es-ES"/>
      </w:rPr>
    </w:lvl>
    <w:lvl w:ilvl="4">
      <w:start w:val="0"/>
      <w:numFmt w:val="bullet"/>
      <w:lvlText w:val="•"/>
      <w:lvlJc w:val="left"/>
      <w:pPr>
        <w:ind w:left="4898" w:hanging="270"/>
      </w:pPr>
      <w:rPr>
        <w:rFonts w:hint="default"/>
        <w:lang w:val="es-ES" w:eastAsia="es-ES" w:bidi="es-ES"/>
      </w:rPr>
    </w:lvl>
    <w:lvl w:ilvl="5">
      <w:start w:val="0"/>
      <w:numFmt w:val="bullet"/>
      <w:lvlText w:val="•"/>
      <w:lvlJc w:val="left"/>
      <w:pPr>
        <w:ind w:left="5852" w:hanging="270"/>
      </w:pPr>
      <w:rPr>
        <w:rFonts w:hint="default"/>
        <w:lang w:val="es-ES" w:eastAsia="es-ES" w:bidi="es-ES"/>
      </w:rPr>
    </w:lvl>
    <w:lvl w:ilvl="6">
      <w:start w:val="0"/>
      <w:numFmt w:val="bullet"/>
      <w:lvlText w:val="•"/>
      <w:lvlJc w:val="left"/>
      <w:pPr>
        <w:ind w:left="6807" w:hanging="270"/>
      </w:pPr>
      <w:rPr>
        <w:rFonts w:hint="default"/>
        <w:lang w:val="es-ES" w:eastAsia="es-ES" w:bidi="es-ES"/>
      </w:rPr>
    </w:lvl>
    <w:lvl w:ilvl="7">
      <w:start w:val="0"/>
      <w:numFmt w:val="bullet"/>
      <w:lvlText w:val="•"/>
      <w:lvlJc w:val="left"/>
      <w:pPr>
        <w:ind w:left="7761" w:hanging="270"/>
      </w:pPr>
      <w:rPr>
        <w:rFonts w:hint="default"/>
        <w:lang w:val="es-ES" w:eastAsia="es-ES" w:bidi="es-ES"/>
      </w:rPr>
    </w:lvl>
    <w:lvl w:ilvl="8">
      <w:start w:val="0"/>
      <w:numFmt w:val="bullet"/>
      <w:lvlText w:val="•"/>
      <w:lvlJc w:val="left"/>
      <w:pPr>
        <w:ind w:left="8716" w:hanging="270"/>
      </w:pPr>
      <w:rPr>
        <w:rFonts w:hint="default"/>
        <w:lang w:val="es-ES" w:eastAsia="es-ES" w:bidi="es-ES"/>
      </w:rPr>
    </w:lvl>
  </w:abstractNum>
  <w:abstractNum w:abstractNumId="70">
    <w:multiLevelType w:val="hybridMultilevel"/>
    <w:lvl w:ilvl="0">
      <w:start w:val="1"/>
      <w:numFmt w:val="decimal"/>
      <w:lvlText w:val="%1."/>
      <w:lvlJc w:val="left"/>
      <w:pPr>
        <w:ind w:left="107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3"/>
      </w:pPr>
      <w:rPr>
        <w:rFonts w:hint="default"/>
        <w:lang w:val="es-ES" w:eastAsia="es-ES" w:bidi="es-ES"/>
      </w:rPr>
    </w:lvl>
    <w:lvl w:ilvl="2">
      <w:start w:val="0"/>
      <w:numFmt w:val="bullet"/>
      <w:lvlText w:val="•"/>
      <w:lvlJc w:val="left"/>
      <w:pPr>
        <w:ind w:left="2989" w:hanging="243"/>
      </w:pPr>
      <w:rPr>
        <w:rFonts w:hint="default"/>
        <w:lang w:val="es-ES" w:eastAsia="es-ES" w:bidi="es-ES"/>
      </w:rPr>
    </w:lvl>
    <w:lvl w:ilvl="3">
      <w:start w:val="0"/>
      <w:numFmt w:val="bullet"/>
      <w:lvlText w:val="•"/>
      <w:lvlJc w:val="left"/>
      <w:pPr>
        <w:ind w:left="3943" w:hanging="243"/>
      </w:pPr>
      <w:rPr>
        <w:rFonts w:hint="default"/>
        <w:lang w:val="es-ES" w:eastAsia="es-ES" w:bidi="es-ES"/>
      </w:rPr>
    </w:lvl>
    <w:lvl w:ilvl="4">
      <w:start w:val="0"/>
      <w:numFmt w:val="bullet"/>
      <w:lvlText w:val="•"/>
      <w:lvlJc w:val="left"/>
      <w:pPr>
        <w:ind w:left="4898" w:hanging="243"/>
      </w:pPr>
      <w:rPr>
        <w:rFonts w:hint="default"/>
        <w:lang w:val="es-ES" w:eastAsia="es-ES" w:bidi="es-ES"/>
      </w:rPr>
    </w:lvl>
    <w:lvl w:ilvl="5">
      <w:start w:val="0"/>
      <w:numFmt w:val="bullet"/>
      <w:lvlText w:val="•"/>
      <w:lvlJc w:val="left"/>
      <w:pPr>
        <w:ind w:left="5852" w:hanging="243"/>
      </w:pPr>
      <w:rPr>
        <w:rFonts w:hint="default"/>
        <w:lang w:val="es-ES" w:eastAsia="es-ES" w:bidi="es-ES"/>
      </w:rPr>
    </w:lvl>
    <w:lvl w:ilvl="6">
      <w:start w:val="0"/>
      <w:numFmt w:val="bullet"/>
      <w:lvlText w:val="•"/>
      <w:lvlJc w:val="left"/>
      <w:pPr>
        <w:ind w:left="6807" w:hanging="243"/>
      </w:pPr>
      <w:rPr>
        <w:rFonts w:hint="default"/>
        <w:lang w:val="es-ES" w:eastAsia="es-ES" w:bidi="es-ES"/>
      </w:rPr>
    </w:lvl>
    <w:lvl w:ilvl="7">
      <w:start w:val="0"/>
      <w:numFmt w:val="bullet"/>
      <w:lvlText w:val="•"/>
      <w:lvlJc w:val="left"/>
      <w:pPr>
        <w:ind w:left="7761" w:hanging="243"/>
      </w:pPr>
      <w:rPr>
        <w:rFonts w:hint="default"/>
        <w:lang w:val="es-ES" w:eastAsia="es-ES" w:bidi="es-ES"/>
      </w:rPr>
    </w:lvl>
    <w:lvl w:ilvl="8">
      <w:start w:val="0"/>
      <w:numFmt w:val="bullet"/>
      <w:lvlText w:val="•"/>
      <w:lvlJc w:val="left"/>
      <w:pPr>
        <w:ind w:left="8716" w:hanging="243"/>
      </w:pPr>
      <w:rPr>
        <w:rFonts w:hint="default"/>
        <w:lang w:val="es-ES" w:eastAsia="es-ES" w:bidi="es-ES"/>
      </w:rPr>
    </w:lvl>
  </w:abstractNum>
  <w:abstractNum w:abstractNumId="69">
    <w:multiLevelType w:val="hybridMultilevel"/>
    <w:lvl w:ilvl="0">
      <w:start w:val="1"/>
      <w:numFmt w:val="decimal"/>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68">
    <w:multiLevelType w:val="hybridMultilevel"/>
    <w:lvl w:ilvl="0">
      <w:start w:val="1"/>
      <w:numFmt w:val="decimal"/>
      <w:lvlText w:val="%1."/>
      <w:lvlJc w:val="left"/>
      <w:pPr>
        <w:ind w:left="1074"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23"/>
      </w:pPr>
      <w:rPr>
        <w:rFonts w:hint="default"/>
        <w:lang w:val="es-ES" w:eastAsia="es-ES" w:bidi="es-ES"/>
      </w:rPr>
    </w:lvl>
    <w:lvl w:ilvl="2">
      <w:start w:val="0"/>
      <w:numFmt w:val="bullet"/>
      <w:lvlText w:val="•"/>
      <w:lvlJc w:val="left"/>
      <w:pPr>
        <w:ind w:left="2989" w:hanging="223"/>
      </w:pPr>
      <w:rPr>
        <w:rFonts w:hint="default"/>
        <w:lang w:val="es-ES" w:eastAsia="es-ES" w:bidi="es-ES"/>
      </w:rPr>
    </w:lvl>
    <w:lvl w:ilvl="3">
      <w:start w:val="0"/>
      <w:numFmt w:val="bullet"/>
      <w:lvlText w:val="•"/>
      <w:lvlJc w:val="left"/>
      <w:pPr>
        <w:ind w:left="3943" w:hanging="223"/>
      </w:pPr>
      <w:rPr>
        <w:rFonts w:hint="default"/>
        <w:lang w:val="es-ES" w:eastAsia="es-ES" w:bidi="es-ES"/>
      </w:rPr>
    </w:lvl>
    <w:lvl w:ilvl="4">
      <w:start w:val="0"/>
      <w:numFmt w:val="bullet"/>
      <w:lvlText w:val="•"/>
      <w:lvlJc w:val="left"/>
      <w:pPr>
        <w:ind w:left="4898" w:hanging="223"/>
      </w:pPr>
      <w:rPr>
        <w:rFonts w:hint="default"/>
        <w:lang w:val="es-ES" w:eastAsia="es-ES" w:bidi="es-ES"/>
      </w:rPr>
    </w:lvl>
    <w:lvl w:ilvl="5">
      <w:start w:val="0"/>
      <w:numFmt w:val="bullet"/>
      <w:lvlText w:val="•"/>
      <w:lvlJc w:val="left"/>
      <w:pPr>
        <w:ind w:left="5852" w:hanging="223"/>
      </w:pPr>
      <w:rPr>
        <w:rFonts w:hint="default"/>
        <w:lang w:val="es-ES" w:eastAsia="es-ES" w:bidi="es-ES"/>
      </w:rPr>
    </w:lvl>
    <w:lvl w:ilvl="6">
      <w:start w:val="0"/>
      <w:numFmt w:val="bullet"/>
      <w:lvlText w:val="•"/>
      <w:lvlJc w:val="left"/>
      <w:pPr>
        <w:ind w:left="6807" w:hanging="223"/>
      </w:pPr>
      <w:rPr>
        <w:rFonts w:hint="default"/>
        <w:lang w:val="es-ES" w:eastAsia="es-ES" w:bidi="es-ES"/>
      </w:rPr>
    </w:lvl>
    <w:lvl w:ilvl="7">
      <w:start w:val="0"/>
      <w:numFmt w:val="bullet"/>
      <w:lvlText w:val="•"/>
      <w:lvlJc w:val="left"/>
      <w:pPr>
        <w:ind w:left="7761" w:hanging="223"/>
      </w:pPr>
      <w:rPr>
        <w:rFonts w:hint="default"/>
        <w:lang w:val="es-ES" w:eastAsia="es-ES" w:bidi="es-ES"/>
      </w:rPr>
    </w:lvl>
    <w:lvl w:ilvl="8">
      <w:start w:val="0"/>
      <w:numFmt w:val="bullet"/>
      <w:lvlText w:val="•"/>
      <w:lvlJc w:val="left"/>
      <w:pPr>
        <w:ind w:left="8716" w:hanging="223"/>
      </w:pPr>
      <w:rPr>
        <w:rFonts w:hint="default"/>
        <w:lang w:val="es-ES" w:eastAsia="es-ES" w:bidi="es-ES"/>
      </w:rPr>
    </w:lvl>
  </w:abstractNum>
  <w:abstractNum w:abstractNumId="67">
    <w:multiLevelType w:val="hybridMultilevel"/>
    <w:lvl w:ilvl="0">
      <w:start w:val="1"/>
      <w:numFmt w:val="decimal"/>
      <w:lvlText w:val="%1."/>
      <w:lvlJc w:val="left"/>
      <w:pPr>
        <w:ind w:left="1074" w:hanging="27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79"/>
      </w:pPr>
      <w:rPr>
        <w:rFonts w:hint="default"/>
        <w:lang w:val="es-ES" w:eastAsia="es-ES" w:bidi="es-ES"/>
      </w:rPr>
    </w:lvl>
    <w:lvl w:ilvl="2">
      <w:start w:val="0"/>
      <w:numFmt w:val="bullet"/>
      <w:lvlText w:val="•"/>
      <w:lvlJc w:val="left"/>
      <w:pPr>
        <w:ind w:left="2989" w:hanging="279"/>
      </w:pPr>
      <w:rPr>
        <w:rFonts w:hint="default"/>
        <w:lang w:val="es-ES" w:eastAsia="es-ES" w:bidi="es-ES"/>
      </w:rPr>
    </w:lvl>
    <w:lvl w:ilvl="3">
      <w:start w:val="0"/>
      <w:numFmt w:val="bullet"/>
      <w:lvlText w:val="•"/>
      <w:lvlJc w:val="left"/>
      <w:pPr>
        <w:ind w:left="3943" w:hanging="279"/>
      </w:pPr>
      <w:rPr>
        <w:rFonts w:hint="default"/>
        <w:lang w:val="es-ES" w:eastAsia="es-ES" w:bidi="es-ES"/>
      </w:rPr>
    </w:lvl>
    <w:lvl w:ilvl="4">
      <w:start w:val="0"/>
      <w:numFmt w:val="bullet"/>
      <w:lvlText w:val="•"/>
      <w:lvlJc w:val="left"/>
      <w:pPr>
        <w:ind w:left="4898" w:hanging="279"/>
      </w:pPr>
      <w:rPr>
        <w:rFonts w:hint="default"/>
        <w:lang w:val="es-ES" w:eastAsia="es-ES" w:bidi="es-ES"/>
      </w:rPr>
    </w:lvl>
    <w:lvl w:ilvl="5">
      <w:start w:val="0"/>
      <w:numFmt w:val="bullet"/>
      <w:lvlText w:val="•"/>
      <w:lvlJc w:val="left"/>
      <w:pPr>
        <w:ind w:left="5852" w:hanging="279"/>
      </w:pPr>
      <w:rPr>
        <w:rFonts w:hint="default"/>
        <w:lang w:val="es-ES" w:eastAsia="es-ES" w:bidi="es-ES"/>
      </w:rPr>
    </w:lvl>
    <w:lvl w:ilvl="6">
      <w:start w:val="0"/>
      <w:numFmt w:val="bullet"/>
      <w:lvlText w:val="•"/>
      <w:lvlJc w:val="left"/>
      <w:pPr>
        <w:ind w:left="6807" w:hanging="279"/>
      </w:pPr>
      <w:rPr>
        <w:rFonts w:hint="default"/>
        <w:lang w:val="es-ES" w:eastAsia="es-ES" w:bidi="es-ES"/>
      </w:rPr>
    </w:lvl>
    <w:lvl w:ilvl="7">
      <w:start w:val="0"/>
      <w:numFmt w:val="bullet"/>
      <w:lvlText w:val="•"/>
      <w:lvlJc w:val="left"/>
      <w:pPr>
        <w:ind w:left="7761" w:hanging="279"/>
      </w:pPr>
      <w:rPr>
        <w:rFonts w:hint="default"/>
        <w:lang w:val="es-ES" w:eastAsia="es-ES" w:bidi="es-ES"/>
      </w:rPr>
    </w:lvl>
    <w:lvl w:ilvl="8">
      <w:start w:val="0"/>
      <w:numFmt w:val="bullet"/>
      <w:lvlText w:val="•"/>
      <w:lvlJc w:val="left"/>
      <w:pPr>
        <w:ind w:left="8716" w:hanging="279"/>
      </w:pPr>
      <w:rPr>
        <w:rFonts w:hint="default"/>
        <w:lang w:val="es-ES" w:eastAsia="es-ES" w:bidi="es-ES"/>
      </w:rPr>
    </w:lvl>
  </w:abstractNum>
  <w:abstractNum w:abstractNumId="66">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65">
    <w:multiLevelType w:val="hybridMultilevel"/>
    <w:lvl w:ilvl="0">
      <w:start w:val="1"/>
      <w:numFmt w:val="decimal"/>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64">
    <w:multiLevelType w:val="hybridMultilevel"/>
    <w:lvl w:ilvl="0">
      <w:start w:val="1"/>
      <w:numFmt w:val="lowerLetter"/>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63">
    <w:multiLevelType w:val="hybridMultilevel"/>
    <w:lvl w:ilvl="0">
      <w:start w:val="1"/>
      <w:numFmt w:val="decimal"/>
      <w:lvlText w:val="%1."/>
      <w:lvlJc w:val="left"/>
      <w:pPr>
        <w:ind w:left="1074" w:hanging="23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2"/>
      </w:pPr>
      <w:rPr>
        <w:rFonts w:hint="default"/>
        <w:lang w:val="es-ES" w:eastAsia="es-ES" w:bidi="es-ES"/>
      </w:rPr>
    </w:lvl>
    <w:lvl w:ilvl="2">
      <w:start w:val="0"/>
      <w:numFmt w:val="bullet"/>
      <w:lvlText w:val="•"/>
      <w:lvlJc w:val="left"/>
      <w:pPr>
        <w:ind w:left="2989" w:hanging="232"/>
      </w:pPr>
      <w:rPr>
        <w:rFonts w:hint="default"/>
        <w:lang w:val="es-ES" w:eastAsia="es-ES" w:bidi="es-ES"/>
      </w:rPr>
    </w:lvl>
    <w:lvl w:ilvl="3">
      <w:start w:val="0"/>
      <w:numFmt w:val="bullet"/>
      <w:lvlText w:val="•"/>
      <w:lvlJc w:val="left"/>
      <w:pPr>
        <w:ind w:left="3943" w:hanging="232"/>
      </w:pPr>
      <w:rPr>
        <w:rFonts w:hint="default"/>
        <w:lang w:val="es-ES" w:eastAsia="es-ES" w:bidi="es-ES"/>
      </w:rPr>
    </w:lvl>
    <w:lvl w:ilvl="4">
      <w:start w:val="0"/>
      <w:numFmt w:val="bullet"/>
      <w:lvlText w:val="•"/>
      <w:lvlJc w:val="left"/>
      <w:pPr>
        <w:ind w:left="4898" w:hanging="232"/>
      </w:pPr>
      <w:rPr>
        <w:rFonts w:hint="default"/>
        <w:lang w:val="es-ES" w:eastAsia="es-ES" w:bidi="es-ES"/>
      </w:rPr>
    </w:lvl>
    <w:lvl w:ilvl="5">
      <w:start w:val="0"/>
      <w:numFmt w:val="bullet"/>
      <w:lvlText w:val="•"/>
      <w:lvlJc w:val="left"/>
      <w:pPr>
        <w:ind w:left="5852" w:hanging="232"/>
      </w:pPr>
      <w:rPr>
        <w:rFonts w:hint="default"/>
        <w:lang w:val="es-ES" w:eastAsia="es-ES" w:bidi="es-ES"/>
      </w:rPr>
    </w:lvl>
    <w:lvl w:ilvl="6">
      <w:start w:val="0"/>
      <w:numFmt w:val="bullet"/>
      <w:lvlText w:val="•"/>
      <w:lvlJc w:val="left"/>
      <w:pPr>
        <w:ind w:left="6807" w:hanging="232"/>
      </w:pPr>
      <w:rPr>
        <w:rFonts w:hint="default"/>
        <w:lang w:val="es-ES" w:eastAsia="es-ES" w:bidi="es-ES"/>
      </w:rPr>
    </w:lvl>
    <w:lvl w:ilvl="7">
      <w:start w:val="0"/>
      <w:numFmt w:val="bullet"/>
      <w:lvlText w:val="•"/>
      <w:lvlJc w:val="left"/>
      <w:pPr>
        <w:ind w:left="7761" w:hanging="232"/>
      </w:pPr>
      <w:rPr>
        <w:rFonts w:hint="default"/>
        <w:lang w:val="es-ES" w:eastAsia="es-ES" w:bidi="es-ES"/>
      </w:rPr>
    </w:lvl>
    <w:lvl w:ilvl="8">
      <w:start w:val="0"/>
      <w:numFmt w:val="bullet"/>
      <w:lvlText w:val="•"/>
      <w:lvlJc w:val="left"/>
      <w:pPr>
        <w:ind w:left="8716" w:hanging="232"/>
      </w:pPr>
      <w:rPr>
        <w:rFonts w:hint="default"/>
        <w:lang w:val="es-ES" w:eastAsia="es-ES" w:bidi="es-ES"/>
      </w:rPr>
    </w:lvl>
  </w:abstractNum>
  <w:abstractNum w:abstractNumId="62">
    <w:multiLevelType w:val="hybridMultilevel"/>
    <w:lvl w:ilvl="0">
      <w:start w:val="1"/>
      <w:numFmt w:val="decimal"/>
      <w:lvlText w:val="%1."/>
      <w:lvlJc w:val="left"/>
      <w:pPr>
        <w:ind w:left="1074" w:hanging="29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98"/>
      </w:pPr>
      <w:rPr>
        <w:rFonts w:hint="default"/>
        <w:lang w:val="es-ES" w:eastAsia="es-ES" w:bidi="es-ES"/>
      </w:rPr>
    </w:lvl>
    <w:lvl w:ilvl="2">
      <w:start w:val="0"/>
      <w:numFmt w:val="bullet"/>
      <w:lvlText w:val="•"/>
      <w:lvlJc w:val="left"/>
      <w:pPr>
        <w:ind w:left="2989" w:hanging="298"/>
      </w:pPr>
      <w:rPr>
        <w:rFonts w:hint="default"/>
        <w:lang w:val="es-ES" w:eastAsia="es-ES" w:bidi="es-ES"/>
      </w:rPr>
    </w:lvl>
    <w:lvl w:ilvl="3">
      <w:start w:val="0"/>
      <w:numFmt w:val="bullet"/>
      <w:lvlText w:val="•"/>
      <w:lvlJc w:val="left"/>
      <w:pPr>
        <w:ind w:left="3943" w:hanging="298"/>
      </w:pPr>
      <w:rPr>
        <w:rFonts w:hint="default"/>
        <w:lang w:val="es-ES" w:eastAsia="es-ES" w:bidi="es-ES"/>
      </w:rPr>
    </w:lvl>
    <w:lvl w:ilvl="4">
      <w:start w:val="0"/>
      <w:numFmt w:val="bullet"/>
      <w:lvlText w:val="•"/>
      <w:lvlJc w:val="left"/>
      <w:pPr>
        <w:ind w:left="4898" w:hanging="298"/>
      </w:pPr>
      <w:rPr>
        <w:rFonts w:hint="default"/>
        <w:lang w:val="es-ES" w:eastAsia="es-ES" w:bidi="es-ES"/>
      </w:rPr>
    </w:lvl>
    <w:lvl w:ilvl="5">
      <w:start w:val="0"/>
      <w:numFmt w:val="bullet"/>
      <w:lvlText w:val="•"/>
      <w:lvlJc w:val="left"/>
      <w:pPr>
        <w:ind w:left="5852" w:hanging="298"/>
      </w:pPr>
      <w:rPr>
        <w:rFonts w:hint="default"/>
        <w:lang w:val="es-ES" w:eastAsia="es-ES" w:bidi="es-ES"/>
      </w:rPr>
    </w:lvl>
    <w:lvl w:ilvl="6">
      <w:start w:val="0"/>
      <w:numFmt w:val="bullet"/>
      <w:lvlText w:val="•"/>
      <w:lvlJc w:val="left"/>
      <w:pPr>
        <w:ind w:left="6807" w:hanging="298"/>
      </w:pPr>
      <w:rPr>
        <w:rFonts w:hint="default"/>
        <w:lang w:val="es-ES" w:eastAsia="es-ES" w:bidi="es-ES"/>
      </w:rPr>
    </w:lvl>
    <w:lvl w:ilvl="7">
      <w:start w:val="0"/>
      <w:numFmt w:val="bullet"/>
      <w:lvlText w:val="•"/>
      <w:lvlJc w:val="left"/>
      <w:pPr>
        <w:ind w:left="7761" w:hanging="298"/>
      </w:pPr>
      <w:rPr>
        <w:rFonts w:hint="default"/>
        <w:lang w:val="es-ES" w:eastAsia="es-ES" w:bidi="es-ES"/>
      </w:rPr>
    </w:lvl>
    <w:lvl w:ilvl="8">
      <w:start w:val="0"/>
      <w:numFmt w:val="bullet"/>
      <w:lvlText w:val="•"/>
      <w:lvlJc w:val="left"/>
      <w:pPr>
        <w:ind w:left="8716" w:hanging="298"/>
      </w:pPr>
      <w:rPr>
        <w:rFonts w:hint="default"/>
        <w:lang w:val="es-ES" w:eastAsia="es-ES" w:bidi="es-ES"/>
      </w:rPr>
    </w:lvl>
  </w:abstractNum>
  <w:abstractNum w:abstractNumId="61">
    <w:multiLevelType w:val="hybridMultilevel"/>
    <w:lvl w:ilvl="0">
      <w:start w:val="1"/>
      <w:numFmt w:val="decimal"/>
      <w:lvlText w:val="%1."/>
      <w:lvlJc w:val="left"/>
      <w:pPr>
        <w:ind w:left="1074" w:hanging="253"/>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253"/>
      </w:pPr>
      <w:rPr>
        <w:rFonts w:hint="default"/>
        <w:lang w:val="es-ES" w:eastAsia="es-ES" w:bidi="es-ES"/>
      </w:rPr>
    </w:lvl>
    <w:lvl w:ilvl="2">
      <w:start w:val="0"/>
      <w:numFmt w:val="bullet"/>
      <w:lvlText w:val="•"/>
      <w:lvlJc w:val="left"/>
      <w:pPr>
        <w:ind w:left="2989" w:hanging="253"/>
      </w:pPr>
      <w:rPr>
        <w:rFonts w:hint="default"/>
        <w:lang w:val="es-ES" w:eastAsia="es-ES" w:bidi="es-ES"/>
      </w:rPr>
    </w:lvl>
    <w:lvl w:ilvl="3">
      <w:start w:val="0"/>
      <w:numFmt w:val="bullet"/>
      <w:lvlText w:val="•"/>
      <w:lvlJc w:val="left"/>
      <w:pPr>
        <w:ind w:left="3943" w:hanging="253"/>
      </w:pPr>
      <w:rPr>
        <w:rFonts w:hint="default"/>
        <w:lang w:val="es-ES" w:eastAsia="es-ES" w:bidi="es-ES"/>
      </w:rPr>
    </w:lvl>
    <w:lvl w:ilvl="4">
      <w:start w:val="0"/>
      <w:numFmt w:val="bullet"/>
      <w:lvlText w:val="•"/>
      <w:lvlJc w:val="left"/>
      <w:pPr>
        <w:ind w:left="4898" w:hanging="253"/>
      </w:pPr>
      <w:rPr>
        <w:rFonts w:hint="default"/>
        <w:lang w:val="es-ES" w:eastAsia="es-ES" w:bidi="es-ES"/>
      </w:rPr>
    </w:lvl>
    <w:lvl w:ilvl="5">
      <w:start w:val="0"/>
      <w:numFmt w:val="bullet"/>
      <w:lvlText w:val="•"/>
      <w:lvlJc w:val="left"/>
      <w:pPr>
        <w:ind w:left="5852" w:hanging="253"/>
      </w:pPr>
      <w:rPr>
        <w:rFonts w:hint="default"/>
        <w:lang w:val="es-ES" w:eastAsia="es-ES" w:bidi="es-ES"/>
      </w:rPr>
    </w:lvl>
    <w:lvl w:ilvl="6">
      <w:start w:val="0"/>
      <w:numFmt w:val="bullet"/>
      <w:lvlText w:val="•"/>
      <w:lvlJc w:val="left"/>
      <w:pPr>
        <w:ind w:left="6807" w:hanging="253"/>
      </w:pPr>
      <w:rPr>
        <w:rFonts w:hint="default"/>
        <w:lang w:val="es-ES" w:eastAsia="es-ES" w:bidi="es-ES"/>
      </w:rPr>
    </w:lvl>
    <w:lvl w:ilvl="7">
      <w:start w:val="0"/>
      <w:numFmt w:val="bullet"/>
      <w:lvlText w:val="•"/>
      <w:lvlJc w:val="left"/>
      <w:pPr>
        <w:ind w:left="7761" w:hanging="253"/>
      </w:pPr>
      <w:rPr>
        <w:rFonts w:hint="default"/>
        <w:lang w:val="es-ES" w:eastAsia="es-ES" w:bidi="es-ES"/>
      </w:rPr>
    </w:lvl>
    <w:lvl w:ilvl="8">
      <w:start w:val="0"/>
      <w:numFmt w:val="bullet"/>
      <w:lvlText w:val="•"/>
      <w:lvlJc w:val="left"/>
      <w:pPr>
        <w:ind w:left="8716" w:hanging="253"/>
      </w:pPr>
      <w:rPr>
        <w:rFonts w:hint="default"/>
        <w:lang w:val="es-ES" w:eastAsia="es-ES" w:bidi="es-ES"/>
      </w:rPr>
    </w:lvl>
  </w:abstractNum>
  <w:abstractNum w:abstractNumId="60">
    <w:multiLevelType w:val="hybridMultilevel"/>
    <w:lvl w:ilvl="0">
      <w:start w:val="1"/>
      <w:numFmt w:val="decimal"/>
      <w:lvlText w:val="%1."/>
      <w:lvlJc w:val="left"/>
      <w:pPr>
        <w:ind w:left="1074" w:hanging="279"/>
        <w:jc w:val="left"/>
      </w:pPr>
      <w:rPr>
        <w:rFonts w:hint="default" w:ascii="Arial" w:hAnsi="Arial" w:eastAsia="Arial" w:cs="Arial"/>
        <w:spacing w:val="-28"/>
        <w:w w:val="100"/>
        <w:sz w:val="20"/>
        <w:szCs w:val="20"/>
        <w:lang w:val="es-ES" w:eastAsia="es-ES" w:bidi="es-ES"/>
      </w:rPr>
    </w:lvl>
    <w:lvl w:ilvl="1">
      <w:start w:val="0"/>
      <w:numFmt w:val="bullet"/>
      <w:lvlText w:val="•"/>
      <w:lvlJc w:val="left"/>
      <w:pPr>
        <w:ind w:left="2034" w:hanging="279"/>
      </w:pPr>
      <w:rPr>
        <w:rFonts w:hint="default"/>
        <w:lang w:val="es-ES" w:eastAsia="es-ES" w:bidi="es-ES"/>
      </w:rPr>
    </w:lvl>
    <w:lvl w:ilvl="2">
      <w:start w:val="0"/>
      <w:numFmt w:val="bullet"/>
      <w:lvlText w:val="•"/>
      <w:lvlJc w:val="left"/>
      <w:pPr>
        <w:ind w:left="2989" w:hanging="279"/>
      </w:pPr>
      <w:rPr>
        <w:rFonts w:hint="default"/>
        <w:lang w:val="es-ES" w:eastAsia="es-ES" w:bidi="es-ES"/>
      </w:rPr>
    </w:lvl>
    <w:lvl w:ilvl="3">
      <w:start w:val="0"/>
      <w:numFmt w:val="bullet"/>
      <w:lvlText w:val="•"/>
      <w:lvlJc w:val="left"/>
      <w:pPr>
        <w:ind w:left="3943" w:hanging="279"/>
      </w:pPr>
      <w:rPr>
        <w:rFonts w:hint="default"/>
        <w:lang w:val="es-ES" w:eastAsia="es-ES" w:bidi="es-ES"/>
      </w:rPr>
    </w:lvl>
    <w:lvl w:ilvl="4">
      <w:start w:val="0"/>
      <w:numFmt w:val="bullet"/>
      <w:lvlText w:val="•"/>
      <w:lvlJc w:val="left"/>
      <w:pPr>
        <w:ind w:left="4898" w:hanging="279"/>
      </w:pPr>
      <w:rPr>
        <w:rFonts w:hint="default"/>
        <w:lang w:val="es-ES" w:eastAsia="es-ES" w:bidi="es-ES"/>
      </w:rPr>
    </w:lvl>
    <w:lvl w:ilvl="5">
      <w:start w:val="0"/>
      <w:numFmt w:val="bullet"/>
      <w:lvlText w:val="•"/>
      <w:lvlJc w:val="left"/>
      <w:pPr>
        <w:ind w:left="5852" w:hanging="279"/>
      </w:pPr>
      <w:rPr>
        <w:rFonts w:hint="default"/>
        <w:lang w:val="es-ES" w:eastAsia="es-ES" w:bidi="es-ES"/>
      </w:rPr>
    </w:lvl>
    <w:lvl w:ilvl="6">
      <w:start w:val="0"/>
      <w:numFmt w:val="bullet"/>
      <w:lvlText w:val="•"/>
      <w:lvlJc w:val="left"/>
      <w:pPr>
        <w:ind w:left="6807" w:hanging="279"/>
      </w:pPr>
      <w:rPr>
        <w:rFonts w:hint="default"/>
        <w:lang w:val="es-ES" w:eastAsia="es-ES" w:bidi="es-ES"/>
      </w:rPr>
    </w:lvl>
    <w:lvl w:ilvl="7">
      <w:start w:val="0"/>
      <w:numFmt w:val="bullet"/>
      <w:lvlText w:val="•"/>
      <w:lvlJc w:val="left"/>
      <w:pPr>
        <w:ind w:left="7761" w:hanging="279"/>
      </w:pPr>
      <w:rPr>
        <w:rFonts w:hint="default"/>
        <w:lang w:val="es-ES" w:eastAsia="es-ES" w:bidi="es-ES"/>
      </w:rPr>
    </w:lvl>
    <w:lvl w:ilvl="8">
      <w:start w:val="0"/>
      <w:numFmt w:val="bullet"/>
      <w:lvlText w:val="•"/>
      <w:lvlJc w:val="left"/>
      <w:pPr>
        <w:ind w:left="8716" w:hanging="279"/>
      </w:pPr>
      <w:rPr>
        <w:rFonts w:hint="default"/>
        <w:lang w:val="es-ES" w:eastAsia="es-ES" w:bidi="es-ES"/>
      </w:rPr>
    </w:lvl>
  </w:abstractNum>
  <w:abstractNum w:abstractNumId="59">
    <w:multiLevelType w:val="hybridMultilevel"/>
    <w:lvl w:ilvl="0">
      <w:start w:val="1"/>
      <w:numFmt w:val="lowerLetter"/>
      <w:lvlText w:val="%1)"/>
      <w:lvlJc w:val="left"/>
      <w:pPr>
        <w:ind w:left="1074" w:hanging="271"/>
        <w:jc w:val="left"/>
      </w:pPr>
      <w:rPr>
        <w:rFonts w:hint="default" w:ascii="Arial" w:hAnsi="Arial" w:eastAsia="Arial" w:cs="Arial"/>
        <w:spacing w:val="-18"/>
        <w:w w:val="100"/>
        <w:sz w:val="20"/>
        <w:szCs w:val="20"/>
        <w:lang w:val="es-ES" w:eastAsia="es-ES" w:bidi="es-ES"/>
      </w:rPr>
    </w:lvl>
    <w:lvl w:ilvl="1">
      <w:start w:val="0"/>
      <w:numFmt w:val="bullet"/>
      <w:lvlText w:val="•"/>
      <w:lvlJc w:val="left"/>
      <w:pPr>
        <w:ind w:left="2034" w:hanging="271"/>
      </w:pPr>
      <w:rPr>
        <w:rFonts w:hint="default"/>
        <w:lang w:val="es-ES" w:eastAsia="es-ES" w:bidi="es-ES"/>
      </w:rPr>
    </w:lvl>
    <w:lvl w:ilvl="2">
      <w:start w:val="0"/>
      <w:numFmt w:val="bullet"/>
      <w:lvlText w:val="•"/>
      <w:lvlJc w:val="left"/>
      <w:pPr>
        <w:ind w:left="2989" w:hanging="271"/>
      </w:pPr>
      <w:rPr>
        <w:rFonts w:hint="default"/>
        <w:lang w:val="es-ES" w:eastAsia="es-ES" w:bidi="es-ES"/>
      </w:rPr>
    </w:lvl>
    <w:lvl w:ilvl="3">
      <w:start w:val="0"/>
      <w:numFmt w:val="bullet"/>
      <w:lvlText w:val="•"/>
      <w:lvlJc w:val="left"/>
      <w:pPr>
        <w:ind w:left="3943" w:hanging="271"/>
      </w:pPr>
      <w:rPr>
        <w:rFonts w:hint="default"/>
        <w:lang w:val="es-ES" w:eastAsia="es-ES" w:bidi="es-ES"/>
      </w:rPr>
    </w:lvl>
    <w:lvl w:ilvl="4">
      <w:start w:val="0"/>
      <w:numFmt w:val="bullet"/>
      <w:lvlText w:val="•"/>
      <w:lvlJc w:val="left"/>
      <w:pPr>
        <w:ind w:left="4898" w:hanging="271"/>
      </w:pPr>
      <w:rPr>
        <w:rFonts w:hint="default"/>
        <w:lang w:val="es-ES" w:eastAsia="es-ES" w:bidi="es-ES"/>
      </w:rPr>
    </w:lvl>
    <w:lvl w:ilvl="5">
      <w:start w:val="0"/>
      <w:numFmt w:val="bullet"/>
      <w:lvlText w:val="•"/>
      <w:lvlJc w:val="left"/>
      <w:pPr>
        <w:ind w:left="5852" w:hanging="271"/>
      </w:pPr>
      <w:rPr>
        <w:rFonts w:hint="default"/>
        <w:lang w:val="es-ES" w:eastAsia="es-ES" w:bidi="es-ES"/>
      </w:rPr>
    </w:lvl>
    <w:lvl w:ilvl="6">
      <w:start w:val="0"/>
      <w:numFmt w:val="bullet"/>
      <w:lvlText w:val="•"/>
      <w:lvlJc w:val="left"/>
      <w:pPr>
        <w:ind w:left="6807" w:hanging="271"/>
      </w:pPr>
      <w:rPr>
        <w:rFonts w:hint="default"/>
        <w:lang w:val="es-ES" w:eastAsia="es-ES" w:bidi="es-ES"/>
      </w:rPr>
    </w:lvl>
    <w:lvl w:ilvl="7">
      <w:start w:val="0"/>
      <w:numFmt w:val="bullet"/>
      <w:lvlText w:val="•"/>
      <w:lvlJc w:val="left"/>
      <w:pPr>
        <w:ind w:left="7761" w:hanging="271"/>
      </w:pPr>
      <w:rPr>
        <w:rFonts w:hint="default"/>
        <w:lang w:val="es-ES" w:eastAsia="es-ES" w:bidi="es-ES"/>
      </w:rPr>
    </w:lvl>
    <w:lvl w:ilvl="8">
      <w:start w:val="0"/>
      <w:numFmt w:val="bullet"/>
      <w:lvlText w:val="•"/>
      <w:lvlJc w:val="left"/>
      <w:pPr>
        <w:ind w:left="8716" w:hanging="271"/>
      </w:pPr>
      <w:rPr>
        <w:rFonts w:hint="default"/>
        <w:lang w:val="es-ES" w:eastAsia="es-ES" w:bidi="es-ES"/>
      </w:rPr>
    </w:lvl>
  </w:abstractNum>
  <w:abstractNum w:abstractNumId="58">
    <w:multiLevelType w:val="hybridMultilevel"/>
    <w:lvl w:ilvl="0">
      <w:start w:val="1"/>
      <w:numFmt w:val="decimal"/>
      <w:lvlText w:val="%1."/>
      <w:lvlJc w:val="left"/>
      <w:pPr>
        <w:ind w:left="1074" w:hanging="27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79"/>
      </w:pPr>
      <w:rPr>
        <w:rFonts w:hint="default"/>
        <w:lang w:val="es-ES" w:eastAsia="es-ES" w:bidi="es-ES"/>
      </w:rPr>
    </w:lvl>
    <w:lvl w:ilvl="2">
      <w:start w:val="0"/>
      <w:numFmt w:val="bullet"/>
      <w:lvlText w:val="•"/>
      <w:lvlJc w:val="left"/>
      <w:pPr>
        <w:ind w:left="2989" w:hanging="279"/>
      </w:pPr>
      <w:rPr>
        <w:rFonts w:hint="default"/>
        <w:lang w:val="es-ES" w:eastAsia="es-ES" w:bidi="es-ES"/>
      </w:rPr>
    </w:lvl>
    <w:lvl w:ilvl="3">
      <w:start w:val="0"/>
      <w:numFmt w:val="bullet"/>
      <w:lvlText w:val="•"/>
      <w:lvlJc w:val="left"/>
      <w:pPr>
        <w:ind w:left="3943" w:hanging="279"/>
      </w:pPr>
      <w:rPr>
        <w:rFonts w:hint="default"/>
        <w:lang w:val="es-ES" w:eastAsia="es-ES" w:bidi="es-ES"/>
      </w:rPr>
    </w:lvl>
    <w:lvl w:ilvl="4">
      <w:start w:val="0"/>
      <w:numFmt w:val="bullet"/>
      <w:lvlText w:val="•"/>
      <w:lvlJc w:val="left"/>
      <w:pPr>
        <w:ind w:left="4898" w:hanging="279"/>
      </w:pPr>
      <w:rPr>
        <w:rFonts w:hint="default"/>
        <w:lang w:val="es-ES" w:eastAsia="es-ES" w:bidi="es-ES"/>
      </w:rPr>
    </w:lvl>
    <w:lvl w:ilvl="5">
      <w:start w:val="0"/>
      <w:numFmt w:val="bullet"/>
      <w:lvlText w:val="•"/>
      <w:lvlJc w:val="left"/>
      <w:pPr>
        <w:ind w:left="5852" w:hanging="279"/>
      </w:pPr>
      <w:rPr>
        <w:rFonts w:hint="default"/>
        <w:lang w:val="es-ES" w:eastAsia="es-ES" w:bidi="es-ES"/>
      </w:rPr>
    </w:lvl>
    <w:lvl w:ilvl="6">
      <w:start w:val="0"/>
      <w:numFmt w:val="bullet"/>
      <w:lvlText w:val="•"/>
      <w:lvlJc w:val="left"/>
      <w:pPr>
        <w:ind w:left="6807" w:hanging="279"/>
      </w:pPr>
      <w:rPr>
        <w:rFonts w:hint="default"/>
        <w:lang w:val="es-ES" w:eastAsia="es-ES" w:bidi="es-ES"/>
      </w:rPr>
    </w:lvl>
    <w:lvl w:ilvl="7">
      <w:start w:val="0"/>
      <w:numFmt w:val="bullet"/>
      <w:lvlText w:val="•"/>
      <w:lvlJc w:val="left"/>
      <w:pPr>
        <w:ind w:left="7761" w:hanging="279"/>
      </w:pPr>
      <w:rPr>
        <w:rFonts w:hint="default"/>
        <w:lang w:val="es-ES" w:eastAsia="es-ES" w:bidi="es-ES"/>
      </w:rPr>
    </w:lvl>
    <w:lvl w:ilvl="8">
      <w:start w:val="0"/>
      <w:numFmt w:val="bullet"/>
      <w:lvlText w:val="•"/>
      <w:lvlJc w:val="left"/>
      <w:pPr>
        <w:ind w:left="8716" w:hanging="279"/>
      </w:pPr>
      <w:rPr>
        <w:rFonts w:hint="default"/>
        <w:lang w:val="es-ES" w:eastAsia="es-ES" w:bidi="es-ES"/>
      </w:rPr>
    </w:lvl>
  </w:abstractNum>
  <w:abstractNum w:abstractNumId="57">
    <w:multiLevelType w:val="hybridMultilevel"/>
    <w:lvl w:ilvl="0">
      <w:start w:val="1"/>
      <w:numFmt w:val="decimal"/>
      <w:lvlText w:val="%1."/>
      <w:lvlJc w:val="left"/>
      <w:pPr>
        <w:ind w:left="1074" w:hanging="23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2"/>
      </w:pPr>
      <w:rPr>
        <w:rFonts w:hint="default"/>
        <w:lang w:val="es-ES" w:eastAsia="es-ES" w:bidi="es-ES"/>
      </w:rPr>
    </w:lvl>
    <w:lvl w:ilvl="2">
      <w:start w:val="0"/>
      <w:numFmt w:val="bullet"/>
      <w:lvlText w:val="•"/>
      <w:lvlJc w:val="left"/>
      <w:pPr>
        <w:ind w:left="2989" w:hanging="232"/>
      </w:pPr>
      <w:rPr>
        <w:rFonts w:hint="default"/>
        <w:lang w:val="es-ES" w:eastAsia="es-ES" w:bidi="es-ES"/>
      </w:rPr>
    </w:lvl>
    <w:lvl w:ilvl="3">
      <w:start w:val="0"/>
      <w:numFmt w:val="bullet"/>
      <w:lvlText w:val="•"/>
      <w:lvlJc w:val="left"/>
      <w:pPr>
        <w:ind w:left="3943" w:hanging="232"/>
      </w:pPr>
      <w:rPr>
        <w:rFonts w:hint="default"/>
        <w:lang w:val="es-ES" w:eastAsia="es-ES" w:bidi="es-ES"/>
      </w:rPr>
    </w:lvl>
    <w:lvl w:ilvl="4">
      <w:start w:val="0"/>
      <w:numFmt w:val="bullet"/>
      <w:lvlText w:val="•"/>
      <w:lvlJc w:val="left"/>
      <w:pPr>
        <w:ind w:left="4898" w:hanging="232"/>
      </w:pPr>
      <w:rPr>
        <w:rFonts w:hint="default"/>
        <w:lang w:val="es-ES" w:eastAsia="es-ES" w:bidi="es-ES"/>
      </w:rPr>
    </w:lvl>
    <w:lvl w:ilvl="5">
      <w:start w:val="0"/>
      <w:numFmt w:val="bullet"/>
      <w:lvlText w:val="•"/>
      <w:lvlJc w:val="left"/>
      <w:pPr>
        <w:ind w:left="5852" w:hanging="232"/>
      </w:pPr>
      <w:rPr>
        <w:rFonts w:hint="default"/>
        <w:lang w:val="es-ES" w:eastAsia="es-ES" w:bidi="es-ES"/>
      </w:rPr>
    </w:lvl>
    <w:lvl w:ilvl="6">
      <w:start w:val="0"/>
      <w:numFmt w:val="bullet"/>
      <w:lvlText w:val="•"/>
      <w:lvlJc w:val="left"/>
      <w:pPr>
        <w:ind w:left="6807" w:hanging="232"/>
      </w:pPr>
      <w:rPr>
        <w:rFonts w:hint="default"/>
        <w:lang w:val="es-ES" w:eastAsia="es-ES" w:bidi="es-ES"/>
      </w:rPr>
    </w:lvl>
    <w:lvl w:ilvl="7">
      <w:start w:val="0"/>
      <w:numFmt w:val="bullet"/>
      <w:lvlText w:val="•"/>
      <w:lvlJc w:val="left"/>
      <w:pPr>
        <w:ind w:left="7761" w:hanging="232"/>
      </w:pPr>
      <w:rPr>
        <w:rFonts w:hint="default"/>
        <w:lang w:val="es-ES" w:eastAsia="es-ES" w:bidi="es-ES"/>
      </w:rPr>
    </w:lvl>
    <w:lvl w:ilvl="8">
      <w:start w:val="0"/>
      <w:numFmt w:val="bullet"/>
      <w:lvlText w:val="•"/>
      <w:lvlJc w:val="left"/>
      <w:pPr>
        <w:ind w:left="8716" w:hanging="232"/>
      </w:pPr>
      <w:rPr>
        <w:rFonts w:hint="default"/>
        <w:lang w:val="es-ES" w:eastAsia="es-ES" w:bidi="es-ES"/>
      </w:rPr>
    </w:lvl>
  </w:abstractNum>
  <w:abstractNum w:abstractNumId="56">
    <w:multiLevelType w:val="hybridMultilevel"/>
    <w:lvl w:ilvl="0">
      <w:start w:val="1"/>
      <w:numFmt w:val="decimal"/>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55">
    <w:multiLevelType w:val="hybridMultilevel"/>
    <w:lvl w:ilvl="0">
      <w:start w:val="1"/>
      <w:numFmt w:val="lowerLetter"/>
      <w:lvlText w:val="%1)"/>
      <w:lvlJc w:val="left"/>
      <w:pPr>
        <w:ind w:left="1074" w:hanging="313"/>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2034" w:hanging="313"/>
      </w:pPr>
      <w:rPr>
        <w:rFonts w:hint="default"/>
        <w:lang w:val="es-ES" w:eastAsia="es-ES" w:bidi="es-ES"/>
      </w:rPr>
    </w:lvl>
    <w:lvl w:ilvl="2">
      <w:start w:val="0"/>
      <w:numFmt w:val="bullet"/>
      <w:lvlText w:val="•"/>
      <w:lvlJc w:val="left"/>
      <w:pPr>
        <w:ind w:left="2989" w:hanging="313"/>
      </w:pPr>
      <w:rPr>
        <w:rFonts w:hint="default"/>
        <w:lang w:val="es-ES" w:eastAsia="es-ES" w:bidi="es-ES"/>
      </w:rPr>
    </w:lvl>
    <w:lvl w:ilvl="3">
      <w:start w:val="0"/>
      <w:numFmt w:val="bullet"/>
      <w:lvlText w:val="•"/>
      <w:lvlJc w:val="left"/>
      <w:pPr>
        <w:ind w:left="3943" w:hanging="313"/>
      </w:pPr>
      <w:rPr>
        <w:rFonts w:hint="default"/>
        <w:lang w:val="es-ES" w:eastAsia="es-ES" w:bidi="es-ES"/>
      </w:rPr>
    </w:lvl>
    <w:lvl w:ilvl="4">
      <w:start w:val="0"/>
      <w:numFmt w:val="bullet"/>
      <w:lvlText w:val="•"/>
      <w:lvlJc w:val="left"/>
      <w:pPr>
        <w:ind w:left="4898" w:hanging="313"/>
      </w:pPr>
      <w:rPr>
        <w:rFonts w:hint="default"/>
        <w:lang w:val="es-ES" w:eastAsia="es-ES" w:bidi="es-ES"/>
      </w:rPr>
    </w:lvl>
    <w:lvl w:ilvl="5">
      <w:start w:val="0"/>
      <w:numFmt w:val="bullet"/>
      <w:lvlText w:val="•"/>
      <w:lvlJc w:val="left"/>
      <w:pPr>
        <w:ind w:left="5852" w:hanging="313"/>
      </w:pPr>
      <w:rPr>
        <w:rFonts w:hint="default"/>
        <w:lang w:val="es-ES" w:eastAsia="es-ES" w:bidi="es-ES"/>
      </w:rPr>
    </w:lvl>
    <w:lvl w:ilvl="6">
      <w:start w:val="0"/>
      <w:numFmt w:val="bullet"/>
      <w:lvlText w:val="•"/>
      <w:lvlJc w:val="left"/>
      <w:pPr>
        <w:ind w:left="6807" w:hanging="313"/>
      </w:pPr>
      <w:rPr>
        <w:rFonts w:hint="default"/>
        <w:lang w:val="es-ES" w:eastAsia="es-ES" w:bidi="es-ES"/>
      </w:rPr>
    </w:lvl>
    <w:lvl w:ilvl="7">
      <w:start w:val="0"/>
      <w:numFmt w:val="bullet"/>
      <w:lvlText w:val="•"/>
      <w:lvlJc w:val="left"/>
      <w:pPr>
        <w:ind w:left="7761" w:hanging="313"/>
      </w:pPr>
      <w:rPr>
        <w:rFonts w:hint="default"/>
        <w:lang w:val="es-ES" w:eastAsia="es-ES" w:bidi="es-ES"/>
      </w:rPr>
    </w:lvl>
    <w:lvl w:ilvl="8">
      <w:start w:val="0"/>
      <w:numFmt w:val="bullet"/>
      <w:lvlText w:val="•"/>
      <w:lvlJc w:val="left"/>
      <w:pPr>
        <w:ind w:left="8716" w:hanging="313"/>
      </w:pPr>
      <w:rPr>
        <w:rFonts w:hint="default"/>
        <w:lang w:val="es-ES" w:eastAsia="es-ES" w:bidi="es-ES"/>
      </w:rPr>
    </w:lvl>
  </w:abstractNum>
  <w:abstractNum w:abstractNumId="54">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53">
    <w:multiLevelType w:val="hybridMultilevel"/>
    <w:lvl w:ilvl="0">
      <w:start w:val="1"/>
      <w:numFmt w:val="lowerLetter"/>
      <w:lvlText w:val="%1)"/>
      <w:lvlJc w:val="left"/>
      <w:pPr>
        <w:ind w:left="1074" w:hanging="34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45"/>
      </w:pPr>
      <w:rPr>
        <w:rFonts w:hint="default"/>
        <w:lang w:val="es-ES" w:eastAsia="es-ES" w:bidi="es-ES"/>
      </w:rPr>
    </w:lvl>
    <w:lvl w:ilvl="2">
      <w:start w:val="0"/>
      <w:numFmt w:val="bullet"/>
      <w:lvlText w:val="•"/>
      <w:lvlJc w:val="left"/>
      <w:pPr>
        <w:ind w:left="2989" w:hanging="345"/>
      </w:pPr>
      <w:rPr>
        <w:rFonts w:hint="default"/>
        <w:lang w:val="es-ES" w:eastAsia="es-ES" w:bidi="es-ES"/>
      </w:rPr>
    </w:lvl>
    <w:lvl w:ilvl="3">
      <w:start w:val="0"/>
      <w:numFmt w:val="bullet"/>
      <w:lvlText w:val="•"/>
      <w:lvlJc w:val="left"/>
      <w:pPr>
        <w:ind w:left="3943" w:hanging="345"/>
      </w:pPr>
      <w:rPr>
        <w:rFonts w:hint="default"/>
        <w:lang w:val="es-ES" w:eastAsia="es-ES" w:bidi="es-ES"/>
      </w:rPr>
    </w:lvl>
    <w:lvl w:ilvl="4">
      <w:start w:val="0"/>
      <w:numFmt w:val="bullet"/>
      <w:lvlText w:val="•"/>
      <w:lvlJc w:val="left"/>
      <w:pPr>
        <w:ind w:left="4898" w:hanging="345"/>
      </w:pPr>
      <w:rPr>
        <w:rFonts w:hint="default"/>
        <w:lang w:val="es-ES" w:eastAsia="es-ES" w:bidi="es-ES"/>
      </w:rPr>
    </w:lvl>
    <w:lvl w:ilvl="5">
      <w:start w:val="0"/>
      <w:numFmt w:val="bullet"/>
      <w:lvlText w:val="•"/>
      <w:lvlJc w:val="left"/>
      <w:pPr>
        <w:ind w:left="5852" w:hanging="345"/>
      </w:pPr>
      <w:rPr>
        <w:rFonts w:hint="default"/>
        <w:lang w:val="es-ES" w:eastAsia="es-ES" w:bidi="es-ES"/>
      </w:rPr>
    </w:lvl>
    <w:lvl w:ilvl="6">
      <w:start w:val="0"/>
      <w:numFmt w:val="bullet"/>
      <w:lvlText w:val="•"/>
      <w:lvlJc w:val="left"/>
      <w:pPr>
        <w:ind w:left="6807" w:hanging="345"/>
      </w:pPr>
      <w:rPr>
        <w:rFonts w:hint="default"/>
        <w:lang w:val="es-ES" w:eastAsia="es-ES" w:bidi="es-ES"/>
      </w:rPr>
    </w:lvl>
    <w:lvl w:ilvl="7">
      <w:start w:val="0"/>
      <w:numFmt w:val="bullet"/>
      <w:lvlText w:val="•"/>
      <w:lvlJc w:val="left"/>
      <w:pPr>
        <w:ind w:left="7761" w:hanging="345"/>
      </w:pPr>
      <w:rPr>
        <w:rFonts w:hint="default"/>
        <w:lang w:val="es-ES" w:eastAsia="es-ES" w:bidi="es-ES"/>
      </w:rPr>
    </w:lvl>
    <w:lvl w:ilvl="8">
      <w:start w:val="0"/>
      <w:numFmt w:val="bullet"/>
      <w:lvlText w:val="•"/>
      <w:lvlJc w:val="left"/>
      <w:pPr>
        <w:ind w:left="8716" w:hanging="345"/>
      </w:pPr>
      <w:rPr>
        <w:rFonts w:hint="default"/>
        <w:lang w:val="es-ES" w:eastAsia="es-ES" w:bidi="es-ES"/>
      </w:rPr>
    </w:lvl>
  </w:abstractNum>
  <w:abstractNum w:abstractNumId="52">
    <w:multiLevelType w:val="hybridMultilevel"/>
    <w:lvl w:ilvl="0">
      <w:start w:val="1"/>
      <w:numFmt w:val="lowerLetter"/>
      <w:lvlText w:val="%1)"/>
      <w:lvlJc w:val="left"/>
      <w:pPr>
        <w:ind w:left="1074" w:hanging="24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3"/>
      </w:pPr>
      <w:rPr>
        <w:rFonts w:hint="default"/>
        <w:lang w:val="es-ES" w:eastAsia="es-ES" w:bidi="es-ES"/>
      </w:rPr>
    </w:lvl>
    <w:lvl w:ilvl="2">
      <w:start w:val="0"/>
      <w:numFmt w:val="bullet"/>
      <w:lvlText w:val="•"/>
      <w:lvlJc w:val="left"/>
      <w:pPr>
        <w:ind w:left="2989" w:hanging="243"/>
      </w:pPr>
      <w:rPr>
        <w:rFonts w:hint="default"/>
        <w:lang w:val="es-ES" w:eastAsia="es-ES" w:bidi="es-ES"/>
      </w:rPr>
    </w:lvl>
    <w:lvl w:ilvl="3">
      <w:start w:val="0"/>
      <w:numFmt w:val="bullet"/>
      <w:lvlText w:val="•"/>
      <w:lvlJc w:val="left"/>
      <w:pPr>
        <w:ind w:left="3943" w:hanging="243"/>
      </w:pPr>
      <w:rPr>
        <w:rFonts w:hint="default"/>
        <w:lang w:val="es-ES" w:eastAsia="es-ES" w:bidi="es-ES"/>
      </w:rPr>
    </w:lvl>
    <w:lvl w:ilvl="4">
      <w:start w:val="0"/>
      <w:numFmt w:val="bullet"/>
      <w:lvlText w:val="•"/>
      <w:lvlJc w:val="left"/>
      <w:pPr>
        <w:ind w:left="4898" w:hanging="243"/>
      </w:pPr>
      <w:rPr>
        <w:rFonts w:hint="default"/>
        <w:lang w:val="es-ES" w:eastAsia="es-ES" w:bidi="es-ES"/>
      </w:rPr>
    </w:lvl>
    <w:lvl w:ilvl="5">
      <w:start w:val="0"/>
      <w:numFmt w:val="bullet"/>
      <w:lvlText w:val="•"/>
      <w:lvlJc w:val="left"/>
      <w:pPr>
        <w:ind w:left="5852" w:hanging="243"/>
      </w:pPr>
      <w:rPr>
        <w:rFonts w:hint="default"/>
        <w:lang w:val="es-ES" w:eastAsia="es-ES" w:bidi="es-ES"/>
      </w:rPr>
    </w:lvl>
    <w:lvl w:ilvl="6">
      <w:start w:val="0"/>
      <w:numFmt w:val="bullet"/>
      <w:lvlText w:val="•"/>
      <w:lvlJc w:val="left"/>
      <w:pPr>
        <w:ind w:left="6807" w:hanging="243"/>
      </w:pPr>
      <w:rPr>
        <w:rFonts w:hint="default"/>
        <w:lang w:val="es-ES" w:eastAsia="es-ES" w:bidi="es-ES"/>
      </w:rPr>
    </w:lvl>
    <w:lvl w:ilvl="7">
      <w:start w:val="0"/>
      <w:numFmt w:val="bullet"/>
      <w:lvlText w:val="•"/>
      <w:lvlJc w:val="left"/>
      <w:pPr>
        <w:ind w:left="7761" w:hanging="243"/>
      </w:pPr>
      <w:rPr>
        <w:rFonts w:hint="default"/>
        <w:lang w:val="es-ES" w:eastAsia="es-ES" w:bidi="es-ES"/>
      </w:rPr>
    </w:lvl>
    <w:lvl w:ilvl="8">
      <w:start w:val="0"/>
      <w:numFmt w:val="bullet"/>
      <w:lvlText w:val="•"/>
      <w:lvlJc w:val="left"/>
      <w:pPr>
        <w:ind w:left="8716" w:hanging="243"/>
      </w:pPr>
      <w:rPr>
        <w:rFonts w:hint="default"/>
        <w:lang w:val="es-ES" w:eastAsia="es-ES" w:bidi="es-ES"/>
      </w:rPr>
    </w:lvl>
  </w:abstractNum>
  <w:abstractNum w:abstractNumId="51">
    <w:multiLevelType w:val="hybridMultilevel"/>
    <w:lvl w:ilvl="0">
      <w:start w:val="1"/>
      <w:numFmt w:val="lowerLetter"/>
      <w:lvlText w:val="%1)"/>
      <w:lvlJc w:val="left"/>
      <w:pPr>
        <w:ind w:left="1074" w:hanging="25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5"/>
      </w:pPr>
      <w:rPr>
        <w:rFonts w:hint="default"/>
        <w:lang w:val="es-ES" w:eastAsia="es-ES" w:bidi="es-ES"/>
      </w:rPr>
    </w:lvl>
    <w:lvl w:ilvl="2">
      <w:start w:val="0"/>
      <w:numFmt w:val="bullet"/>
      <w:lvlText w:val="•"/>
      <w:lvlJc w:val="left"/>
      <w:pPr>
        <w:ind w:left="2989" w:hanging="255"/>
      </w:pPr>
      <w:rPr>
        <w:rFonts w:hint="default"/>
        <w:lang w:val="es-ES" w:eastAsia="es-ES" w:bidi="es-ES"/>
      </w:rPr>
    </w:lvl>
    <w:lvl w:ilvl="3">
      <w:start w:val="0"/>
      <w:numFmt w:val="bullet"/>
      <w:lvlText w:val="•"/>
      <w:lvlJc w:val="left"/>
      <w:pPr>
        <w:ind w:left="3943" w:hanging="255"/>
      </w:pPr>
      <w:rPr>
        <w:rFonts w:hint="default"/>
        <w:lang w:val="es-ES" w:eastAsia="es-ES" w:bidi="es-ES"/>
      </w:rPr>
    </w:lvl>
    <w:lvl w:ilvl="4">
      <w:start w:val="0"/>
      <w:numFmt w:val="bullet"/>
      <w:lvlText w:val="•"/>
      <w:lvlJc w:val="left"/>
      <w:pPr>
        <w:ind w:left="4898" w:hanging="255"/>
      </w:pPr>
      <w:rPr>
        <w:rFonts w:hint="default"/>
        <w:lang w:val="es-ES" w:eastAsia="es-ES" w:bidi="es-ES"/>
      </w:rPr>
    </w:lvl>
    <w:lvl w:ilvl="5">
      <w:start w:val="0"/>
      <w:numFmt w:val="bullet"/>
      <w:lvlText w:val="•"/>
      <w:lvlJc w:val="left"/>
      <w:pPr>
        <w:ind w:left="5852" w:hanging="255"/>
      </w:pPr>
      <w:rPr>
        <w:rFonts w:hint="default"/>
        <w:lang w:val="es-ES" w:eastAsia="es-ES" w:bidi="es-ES"/>
      </w:rPr>
    </w:lvl>
    <w:lvl w:ilvl="6">
      <w:start w:val="0"/>
      <w:numFmt w:val="bullet"/>
      <w:lvlText w:val="•"/>
      <w:lvlJc w:val="left"/>
      <w:pPr>
        <w:ind w:left="6807" w:hanging="255"/>
      </w:pPr>
      <w:rPr>
        <w:rFonts w:hint="default"/>
        <w:lang w:val="es-ES" w:eastAsia="es-ES" w:bidi="es-ES"/>
      </w:rPr>
    </w:lvl>
    <w:lvl w:ilvl="7">
      <w:start w:val="0"/>
      <w:numFmt w:val="bullet"/>
      <w:lvlText w:val="•"/>
      <w:lvlJc w:val="left"/>
      <w:pPr>
        <w:ind w:left="7761" w:hanging="255"/>
      </w:pPr>
      <w:rPr>
        <w:rFonts w:hint="default"/>
        <w:lang w:val="es-ES" w:eastAsia="es-ES" w:bidi="es-ES"/>
      </w:rPr>
    </w:lvl>
    <w:lvl w:ilvl="8">
      <w:start w:val="0"/>
      <w:numFmt w:val="bullet"/>
      <w:lvlText w:val="•"/>
      <w:lvlJc w:val="left"/>
      <w:pPr>
        <w:ind w:left="8716" w:hanging="255"/>
      </w:pPr>
      <w:rPr>
        <w:rFonts w:hint="default"/>
        <w:lang w:val="es-ES" w:eastAsia="es-ES" w:bidi="es-ES"/>
      </w:rPr>
    </w:lvl>
  </w:abstractNum>
  <w:abstractNum w:abstractNumId="50">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49">
    <w:multiLevelType w:val="hybridMultilevel"/>
    <w:lvl w:ilvl="0">
      <w:start w:val="1"/>
      <w:numFmt w:val="lowerLetter"/>
      <w:lvlText w:val="%1)"/>
      <w:lvlJc w:val="left"/>
      <w:pPr>
        <w:ind w:left="1074" w:hanging="234"/>
        <w:jc w:val="left"/>
      </w:pPr>
      <w:rPr>
        <w:rFonts w:hint="default" w:ascii="Arial" w:hAnsi="Arial" w:eastAsia="Arial" w:cs="Arial"/>
        <w:spacing w:val="-11"/>
        <w:w w:val="100"/>
        <w:sz w:val="20"/>
        <w:szCs w:val="20"/>
        <w:lang w:val="es-ES" w:eastAsia="es-ES" w:bidi="es-ES"/>
      </w:rPr>
    </w:lvl>
    <w:lvl w:ilvl="1">
      <w:start w:val="0"/>
      <w:numFmt w:val="bullet"/>
      <w:lvlText w:val="•"/>
      <w:lvlJc w:val="left"/>
      <w:pPr>
        <w:ind w:left="2034" w:hanging="234"/>
      </w:pPr>
      <w:rPr>
        <w:rFonts w:hint="default"/>
        <w:lang w:val="es-ES" w:eastAsia="es-ES" w:bidi="es-ES"/>
      </w:rPr>
    </w:lvl>
    <w:lvl w:ilvl="2">
      <w:start w:val="0"/>
      <w:numFmt w:val="bullet"/>
      <w:lvlText w:val="•"/>
      <w:lvlJc w:val="left"/>
      <w:pPr>
        <w:ind w:left="2989" w:hanging="234"/>
      </w:pPr>
      <w:rPr>
        <w:rFonts w:hint="default"/>
        <w:lang w:val="es-ES" w:eastAsia="es-ES" w:bidi="es-ES"/>
      </w:rPr>
    </w:lvl>
    <w:lvl w:ilvl="3">
      <w:start w:val="0"/>
      <w:numFmt w:val="bullet"/>
      <w:lvlText w:val="•"/>
      <w:lvlJc w:val="left"/>
      <w:pPr>
        <w:ind w:left="3943" w:hanging="234"/>
      </w:pPr>
      <w:rPr>
        <w:rFonts w:hint="default"/>
        <w:lang w:val="es-ES" w:eastAsia="es-ES" w:bidi="es-ES"/>
      </w:rPr>
    </w:lvl>
    <w:lvl w:ilvl="4">
      <w:start w:val="0"/>
      <w:numFmt w:val="bullet"/>
      <w:lvlText w:val="•"/>
      <w:lvlJc w:val="left"/>
      <w:pPr>
        <w:ind w:left="4898" w:hanging="234"/>
      </w:pPr>
      <w:rPr>
        <w:rFonts w:hint="default"/>
        <w:lang w:val="es-ES" w:eastAsia="es-ES" w:bidi="es-ES"/>
      </w:rPr>
    </w:lvl>
    <w:lvl w:ilvl="5">
      <w:start w:val="0"/>
      <w:numFmt w:val="bullet"/>
      <w:lvlText w:val="•"/>
      <w:lvlJc w:val="left"/>
      <w:pPr>
        <w:ind w:left="5852" w:hanging="234"/>
      </w:pPr>
      <w:rPr>
        <w:rFonts w:hint="default"/>
        <w:lang w:val="es-ES" w:eastAsia="es-ES" w:bidi="es-ES"/>
      </w:rPr>
    </w:lvl>
    <w:lvl w:ilvl="6">
      <w:start w:val="0"/>
      <w:numFmt w:val="bullet"/>
      <w:lvlText w:val="•"/>
      <w:lvlJc w:val="left"/>
      <w:pPr>
        <w:ind w:left="6807" w:hanging="234"/>
      </w:pPr>
      <w:rPr>
        <w:rFonts w:hint="default"/>
        <w:lang w:val="es-ES" w:eastAsia="es-ES" w:bidi="es-ES"/>
      </w:rPr>
    </w:lvl>
    <w:lvl w:ilvl="7">
      <w:start w:val="0"/>
      <w:numFmt w:val="bullet"/>
      <w:lvlText w:val="•"/>
      <w:lvlJc w:val="left"/>
      <w:pPr>
        <w:ind w:left="7761" w:hanging="234"/>
      </w:pPr>
      <w:rPr>
        <w:rFonts w:hint="default"/>
        <w:lang w:val="es-ES" w:eastAsia="es-ES" w:bidi="es-ES"/>
      </w:rPr>
    </w:lvl>
    <w:lvl w:ilvl="8">
      <w:start w:val="0"/>
      <w:numFmt w:val="bullet"/>
      <w:lvlText w:val="•"/>
      <w:lvlJc w:val="left"/>
      <w:pPr>
        <w:ind w:left="8716" w:hanging="234"/>
      </w:pPr>
      <w:rPr>
        <w:rFonts w:hint="default"/>
        <w:lang w:val="es-ES" w:eastAsia="es-ES" w:bidi="es-ES"/>
      </w:rPr>
    </w:lvl>
  </w:abstractNum>
  <w:abstractNum w:abstractNumId="48">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47">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46">
    <w:multiLevelType w:val="hybridMultilevel"/>
    <w:lvl w:ilvl="0">
      <w:start w:val="1"/>
      <w:numFmt w:val="lowerLetter"/>
      <w:lvlText w:val="%1)"/>
      <w:lvlJc w:val="left"/>
      <w:pPr>
        <w:ind w:left="1074" w:hanging="274"/>
        <w:jc w:val="left"/>
      </w:pPr>
      <w:rPr>
        <w:rFonts w:hint="default" w:ascii="Arial" w:hAnsi="Arial" w:eastAsia="Arial" w:cs="Arial"/>
        <w:spacing w:val="-22"/>
        <w:w w:val="100"/>
        <w:sz w:val="20"/>
        <w:szCs w:val="20"/>
        <w:lang w:val="es-ES" w:eastAsia="es-ES" w:bidi="es-ES"/>
      </w:rPr>
    </w:lvl>
    <w:lvl w:ilvl="1">
      <w:start w:val="0"/>
      <w:numFmt w:val="bullet"/>
      <w:lvlText w:val="•"/>
      <w:lvlJc w:val="left"/>
      <w:pPr>
        <w:ind w:left="2034" w:hanging="274"/>
      </w:pPr>
      <w:rPr>
        <w:rFonts w:hint="default"/>
        <w:lang w:val="es-ES" w:eastAsia="es-ES" w:bidi="es-ES"/>
      </w:rPr>
    </w:lvl>
    <w:lvl w:ilvl="2">
      <w:start w:val="0"/>
      <w:numFmt w:val="bullet"/>
      <w:lvlText w:val="•"/>
      <w:lvlJc w:val="left"/>
      <w:pPr>
        <w:ind w:left="2989" w:hanging="274"/>
      </w:pPr>
      <w:rPr>
        <w:rFonts w:hint="default"/>
        <w:lang w:val="es-ES" w:eastAsia="es-ES" w:bidi="es-ES"/>
      </w:rPr>
    </w:lvl>
    <w:lvl w:ilvl="3">
      <w:start w:val="0"/>
      <w:numFmt w:val="bullet"/>
      <w:lvlText w:val="•"/>
      <w:lvlJc w:val="left"/>
      <w:pPr>
        <w:ind w:left="3943" w:hanging="274"/>
      </w:pPr>
      <w:rPr>
        <w:rFonts w:hint="default"/>
        <w:lang w:val="es-ES" w:eastAsia="es-ES" w:bidi="es-ES"/>
      </w:rPr>
    </w:lvl>
    <w:lvl w:ilvl="4">
      <w:start w:val="0"/>
      <w:numFmt w:val="bullet"/>
      <w:lvlText w:val="•"/>
      <w:lvlJc w:val="left"/>
      <w:pPr>
        <w:ind w:left="4898" w:hanging="274"/>
      </w:pPr>
      <w:rPr>
        <w:rFonts w:hint="default"/>
        <w:lang w:val="es-ES" w:eastAsia="es-ES" w:bidi="es-ES"/>
      </w:rPr>
    </w:lvl>
    <w:lvl w:ilvl="5">
      <w:start w:val="0"/>
      <w:numFmt w:val="bullet"/>
      <w:lvlText w:val="•"/>
      <w:lvlJc w:val="left"/>
      <w:pPr>
        <w:ind w:left="5852" w:hanging="274"/>
      </w:pPr>
      <w:rPr>
        <w:rFonts w:hint="default"/>
        <w:lang w:val="es-ES" w:eastAsia="es-ES" w:bidi="es-ES"/>
      </w:rPr>
    </w:lvl>
    <w:lvl w:ilvl="6">
      <w:start w:val="0"/>
      <w:numFmt w:val="bullet"/>
      <w:lvlText w:val="•"/>
      <w:lvlJc w:val="left"/>
      <w:pPr>
        <w:ind w:left="6807" w:hanging="274"/>
      </w:pPr>
      <w:rPr>
        <w:rFonts w:hint="default"/>
        <w:lang w:val="es-ES" w:eastAsia="es-ES" w:bidi="es-ES"/>
      </w:rPr>
    </w:lvl>
    <w:lvl w:ilvl="7">
      <w:start w:val="0"/>
      <w:numFmt w:val="bullet"/>
      <w:lvlText w:val="•"/>
      <w:lvlJc w:val="left"/>
      <w:pPr>
        <w:ind w:left="7761" w:hanging="274"/>
      </w:pPr>
      <w:rPr>
        <w:rFonts w:hint="default"/>
        <w:lang w:val="es-ES" w:eastAsia="es-ES" w:bidi="es-ES"/>
      </w:rPr>
    </w:lvl>
    <w:lvl w:ilvl="8">
      <w:start w:val="0"/>
      <w:numFmt w:val="bullet"/>
      <w:lvlText w:val="•"/>
      <w:lvlJc w:val="left"/>
      <w:pPr>
        <w:ind w:left="8716" w:hanging="274"/>
      </w:pPr>
      <w:rPr>
        <w:rFonts w:hint="default"/>
        <w:lang w:val="es-ES" w:eastAsia="es-ES" w:bidi="es-ES"/>
      </w:rPr>
    </w:lvl>
  </w:abstractNum>
  <w:abstractNum w:abstractNumId="45">
    <w:multiLevelType w:val="hybridMultilevel"/>
    <w:lvl w:ilvl="0">
      <w:start w:val="1"/>
      <w:numFmt w:val="lowerLetter"/>
      <w:lvlText w:val="%1)"/>
      <w:lvlJc w:val="left"/>
      <w:pPr>
        <w:ind w:left="1074" w:hanging="266"/>
        <w:jc w:val="left"/>
      </w:pPr>
      <w:rPr>
        <w:rFonts w:hint="default" w:ascii="Arial" w:hAnsi="Arial" w:eastAsia="Arial" w:cs="Arial"/>
        <w:spacing w:val="-24"/>
        <w:w w:val="100"/>
        <w:sz w:val="20"/>
        <w:szCs w:val="20"/>
        <w:lang w:val="es-ES" w:eastAsia="es-ES" w:bidi="es-ES"/>
      </w:rPr>
    </w:lvl>
    <w:lvl w:ilvl="1">
      <w:start w:val="0"/>
      <w:numFmt w:val="bullet"/>
      <w:lvlText w:val="•"/>
      <w:lvlJc w:val="left"/>
      <w:pPr>
        <w:ind w:left="2034" w:hanging="266"/>
      </w:pPr>
      <w:rPr>
        <w:rFonts w:hint="default"/>
        <w:lang w:val="es-ES" w:eastAsia="es-ES" w:bidi="es-ES"/>
      </w:rPr>
    </w:lvl>
    <w:lvl w:ilvl="2">
      <w:start w:val="0"/>
      <w:numFmt w:val="bullet"/>
      <w:lvlText w:val="•"/>
      <w:lvlJc w:val="left"/>
      <w:pPr>
        <w:ind w:left="2989" w:hanging="266"/>
      </w:pPr>
      <w:rPr>
        <w:rFonts w:hint="default"/>
        <w:lang w:val="es-ES" w:eastAsia="es-ES" w:bidi="es-ES"/>
      </w:rPr>
    </w:lvl>
    <w:lvl w:ilvl="3">
      <w:start w:val="0"/>
      <w:numFmt w:val="bullet"/>
      <w:lvlText w:val="•"/>
      <w:lvlJc w:val="left"/>
      <w:pPr>
        <w:ind w:left="3943" w:hanging="266"/>
      </w:pPr>
      <w:rPr>
        <w:rFonts w:hint="default"/>
        <w:lang w:val="es-ES" w:eastAsia="es-ES" w:bidi="es-ES"/>
      </w:rPr>
    </w:lvl>
    <w:lvl w:ilvl="4">
      <w:start w:val="0"/>
      <w:numFmt w:val="bullet"/>
      <w:lvlText w:val="•"/>
      <w:lvlJc w:val="left"/>
      <w:pPr>
        <w:ind w:left="4898" w:hanging="266"/>
      </w:pPr>
      <w:rPr>
        <w:rFonts w:hint="default"/>
        <w:lang w:val="es-ES" w:eastAsia="es-ES" w:bidi="es-ES"/>
      </w:rPr>
    </w:lvl>
    <w:lvl w:ilvl="5">
      <w:start w:val="0"/>
      <w:numFmt w:val="bullet"/>
      <w:lvlText w:val="•"/>
      <w:lvlJc w:val="left"/>
      <w:pPr>
        <w:ind w:left="5852" w:hanging="266"/>
      </w:pPr>
      <w:rPr>
        <w:rFonts w:hint="default"/>
        <w:lang w:val="es-ES" w:eastAsia="es-ES" w:bidi="es-ES"/>
      </w:rPr>
    </w:lvl>
    <w:lvl w:ilvl="6">
      <w:start w:val="0"/>
      <w:numFmt w:val="bullet"/>
      <w:lvlText w:val="•"/>
      <w:lvlJc w:val="left"/>
      <w:pPr>
        <w:ind w:left="6807" w:hanging="266"/>
      </w:pPr>
      <w:rPr>
        <w:rFonts w:hint="default"/>
        <w:lang w:val="es-ES" w:eastAsia="es-ES" w:bidi="es-ES"/>
      </w:rPr>
    </w:lvl>
    <w:lvl w:ilvl="7">
      <w:start w:val="0"/>
      <w:numFmt w:val="bullet"/>
      <w:lvlText w:val="•"/>
      <w:lvlJc w:val="left"/>
      <w:pPr>
        <w:ind w:left="7761" w:hanging="266"/>
      </w:pPr>
      <w:rPr>
        <w:rFonts w:hint="default"/>
        <w:lang w:val="es-ES" w:eastAsia="es-ES" w:bidi="es-ES"/>
      </w:rPr>
    </w:lvl>
    <w:lvl w:ilvl="8">
      <w:start w:val="0"/>
      <w:numFmt w:val="bullet"/>
      <w:lvlText w:val="•"/>
      <w:lvlJc w:val="left"/>
      <w:pPr>
        <w:ind w:left="8716" w:hanging="266"/>
      </w:pPr>
      <w:rPr>
        <w:rFonts w:hint="default"/>
        <w:lang w:val="es-ES" w:eastAsia="es-ES" w:bidi="es-ES"/>
      </w:rPr>
    </w:lvl>
  </w:abstractNum>
  <w:abstractNum w:abstractNumId="44">
    <w:multiLevelType w:val="hybridMultilevel"/>
    <w:lvl w:ilvl="0">
      <w:start w:val="11"/>
      <w:numFmt w:val="lowerLetter"/>
      <w:lvlText w:val="%1)"/>
      <w:lvlJc w:val="left"/>
      <w:pPr>
        <w:ind w:left="1074" w:hanging="266"/>
        <w:jc w:val="left"/>
      </w:pPr>
      <w:rPr>
        <w:rFonts w:hint="default" w:ascii="Arial" w:hAnsi="Arial" w:eastAsia="Arial" w:cs="Arial"/>
        <w:spacing w:val="-20"/>
        <w:w w:val="100"/>
        <w:sz w:val="20"/>
        <w:szCs w:val="20"/>
        <w:lang w:val="es-ES" w:eastAsia="es-ES" w:bidi="es-ES"/>
      </w:rPr>
    </w:lvl>
    <w:lvl w:ilvl="1">
      <w:start w:val="0"/>
      <w:numFmt w:val="bullet"/>
      <w:lvlText w:val="•"/>
      <w:lvlJc w:val="left"/>
      <w:pPr>
        <w:ind w:left="2034" w:hanging="266"/>
      </w:pPr>
      <w:rPr>
        <w:rFonts w:hint="default"/>
        <w:lang w:val="es-ES" w:eastAsia="es-ES" w:bidi="es-ES"/>
      </w:rPr>
    </w:lvl>
    <w:lvl w:ilvl="2">
      <w:start w:val="0"/>
      <w:numFmt w:val="bullet"/>
      <w:lvlText w:val="•"/>
      <w:lvlJc w:val="left"/>
      <w:pPr>
        <w:ind w:left="2989" w:hanging="266"/>
      </w:pPr>
      <w:rPr>
        <w:rFonts w:hint="default"/>
        <w:lang w:val="es-ES" w:eastAsia="es-ES" w:bidi="es-ES"/>
      </w:rPr>
    </w:lvl>
    <w:lvl w:ilvl="3">
      <w:start w:val="0"/>
      <w:numFmt w:val="bullet"/>
      <w:lvlText w:val="•"/>
      <w:lvlJc w:val="left"/>
      <w:pPr>
        <w:ind w:left="3943" w:hanging="266"/>
      </w:pPr>
      <w:rPr>
        <w:rFonts w:hint="default"/>
        <w:lang w:val="es-ES" w:eastAsia="es-ES" w:bidi="es-ES"/>
      </w:rPr>
    </w:lvl>
    <w:lvl w:ilvl="4">
      <w:start w:val="0"/>
      <w:numFmt w:val="bullet"/>
      <w:lvlText w:val="•"/>
      <w:lvlJc w:val="left"/>
      <w:pPr>
        <w:ind w:left="4898" w:hanging="266"/>
      </w:pPr>
      <w:rPr>
        <w:rFonts w:hint="default"/>
        <w:lang w:val="es-ES" w:eastAsia="es-ES" w:bidi="es-ES"/>
      </w:rPr>
    </w:lvl>
    <w:lvl w:ilvl="5">
      <w:start w:val="0"/>
      <w:numFmt w:val="bullet"/>
      <w:lvlText w:val="•"/>
      <w:lvlJc w:val="left"/>
      <w:pPr>
        <w:ind w:left="5852" w:hanging="266"/>
      </w:pPr>
      <w:rPr>
        <w:rFonts w:hint="default"/>
        <w:lang w:val="es-ES" w:eastAsia="es-ES" w:bidi="es-ES"/>
      </w:rPr>
    </w:lvl>
    <w:lvl w:ilvl="6">
      <w:start w:val="0"/>
      <w:numFmt w:val="bullet"/>
      <w:lvlText w:val="•"/>
      <w:lvlJc w:val="left"/>
      <w:pPr>
        <w:ind w:left="6807" w:hanging="266"/>
      </w:pPr>
      <w:rPr>
        <w:rFonts w:hint="default"/>
        <w:lang w:val="es-ES" w:eastAsia="es-ES" w:bidi="es-ES"/>
      </w:rPr>
    </w:lvl>
    <w:lvl w:ilvl="7">
      <w:start w:val="0"/>
      <w:numFmt w:val="bullet"/>
      <w:lvlText w:val="•"/>
      <w:lvlJc w:val="left"/>
      <w:pPr>
        <w:ind w:left="7761" w:hanging="266"/>
      </w:pPr>
      <w:rPr>
        <w:rFonts w:hint="default"/>
        <w:lang w:val="es-ES" w:eastAsia="es-ES" w:bidi="es-ES"/>
      </w:rPr>
    </w:lvl>
    <w:lvl w:ilvl="8">
      <w:start w:val="0"/>
      <w:numFmt w:val="bullet"/>
      <w:lvlText w:val="•"/>
      <w:lvlJc w:val="left"/>
      <w:pPr>
        <w:ind w:left="8716" w:hanging="266"/>
      </w:pPr>
      <w:rPr>
        <w:rFonts w:hint="default"/>
        <w:lang w:val="es-ES" w:eastAsia="es-ES" w:bidi="es-ES"/>
      </w:rPr>
    </w:lvl>
  </w:abstractNum>
  <w:abstractNum w:abstractNumId="43">
    <w:multiLevelType w:val="hybridMultilevel"/>
    <w:lvl w:ilvl="0">
      <w:start w:val="1"/>
      <w:numFmt w:val="lowerLetter"/>
      <w:lvlText w:val="%1)"/>
      <w:lvlJc w:val="left"/>
      <w:pPr>
        <w:ind w:left="1074" w:hanging="322"/>
        <w:jc w:val="left"/>
      </w:pPr>
      <w:rPr>
        <w:rFonts w:hint="default" w:ascii="Arial" w:hAnsi="Arial" w:eastAsia="Arial" w:cs="Arial"/>
        <w:spacing w:val="-24"/>
        <w:w w:val="100"/>
        <w:sz w:val="20"/>
        <w:szCs w:val="20"/>
        <w:lang w:val="es-ES" w:eastAsia="es-ES" w:bidi="es-ES"/>
      </w:rPr>
    </w:lvl>
    <w:lvl w:ilvl="1">
      <w:start w:val="0"/>
      <w:numFmt w:val="bullet"/>
      <w:lvlText w:val="•"/>
      <w:lvlJc w:val="left"/>
      <w:pPr>
        <w:ind w:left="2034" w:hanging="322"/>
      </w:pPr>
      <w:rPr>
        <w:rFonts w:hint="default"/>
        <w:lang w:val="es-ES" w:eastAsia="es-ES" w:bidi="es-ES"/>
      </w:rPr>
    </w:lvl>
    <w:lvl w:ilvl="2">
      <w:start w:val="0"/>
      <w:numFmt w:val="bullet"/>
      <w:lvlText w:val="•"/>
      <w:lvlJc w:val="left"/>
      <w:pPr>
        <w:ind w:left="2989" w:hanging="322"/>
      </w:pPr>
      <w:rPr>
        <w:rFonts w:hint="default"/>
        <w:lang w:val="es-ES" w:eastAsia="es-ES" w:bidi="es-ES"/>
      </w:rPr>
    </w:lvl>
    <w:lvl w:ilvl="3">
      <w:start w:val="0"/>
      <w:numFmt w:val="bullet"/>
      <w:lvlText w:val="•"/>
      <w:lvlJc w:val="left"/>
      <w:pPr>
        <w:ind w:left="3943" w:hanging="322"/>
      </w:pPr>
      <w:rPr>
        <w:rFonts w:hint="default"/>
        <w:lang w:val="es-ES" w:eastAsia="es-ES" w:bidi="es-ES"/>
      </w:rPr>
    </w:lvl>
    <w:lvl w:ilvl="4">
      <w:start w:val="0"/>
      <w:numFmt w:val="bullet"/>
      <w:lvlText w:val="•"/>
      <w:lvlJc w:val="left"/>
      <w:pPr>
        <w:ind w:left="4898" w:hanging="322"/>
      </w:pPr>
      <w:rPr>
        <w:rFonts w:hint="default"/>
        <w:lang w:val="es-ES" w:eastAsia="es-ES" w:bidi="es-ES"/>
      </w:rPr>
    </w:lvl>
    <w:lvl w:ilvl="5">
      <w:start w:val="0"/>
      <w:numFmt w:val="bullet"/>
      <w:lvlText w:val="•"/>
      <w:lvlJc w:val="left"/>
      <w:pPr>
        <w:ind w:left="5852" w:hanging="322"/>
      </w:pPr>
      <w:rPr>
        <w:rFonts w:hint="default"/>
        <w:lang w:val="es-ES" w:eastAsia="es-ES" w:bidi="es-ES"/>
      </w:rPr>
    </w:lvl>
    <w:lvl w:ilvl="6">
      <w:start w:val="0"/>
      <w:numFmt w:val="bullet"/>
      <w:lvlText w:val="•"/>
      <w:lvlJc w:val="left"/>
      <w:pPr>
        <w:ind w:left="6807" w:hanging="322"/>
      </w:pPr>
      <w:rPr>
        <w:rFonts w:hint="default"/>
        <w:lang w:val="es-ES" w:eastAsia="es-ES" w:bidi="es-ES"/>
      </w:rPr>
    </w:lvl>
    <w:lvl w:ilvl="7">
      <w:start w:val="0"/>
      <w:numFmt w:val="bullet"/>
      <w:lvlText w:val="•"/>
      <w:lvlJc w:val="left"/>
      <w:pPr>
        <w:ind w:left="7761" w:hanging="322"/>
      </w:pPr>
      <w:rPr>
        <w:rFonts w:hint="default"/>
        <w:lang w:val="es-ES" w:eastAsia="es-ES" w:bidi="es-ES"/>
      </w:rPr>
    </w:lvl>
    <w:lvl w:ilvl="8">
      <w:start w:val="0"/>
      <w:numFmt w:val="bullet"/>
      <w:lvlText w:val="•"/>
      <w:lvlJc w:val="left"/>
      <w:pPr>
        <w:ind w:left="8716" w:hanging="322"/>
      </w:pPr>
      <w:rPr>
        <w:rFonts w:hint="default"/>
        <w:lang w:val="es-ES" w:eastAsia="es-ES" w:bidi="es-ES"/>
      </w:rPr>
    </w:lvl>
  </w:abstractNum>
  <w:abstractNum w:abstractNumId="42">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41">
    <w:multiLevelType w:val="hybridMultilevel"/>
    <w:lvl w:ilvl="0">
      <w:start w:val="1"/>
      <w:numFmt w:val="lowerLetter"/>
      <w:lvlText w:val="%1)"/>
      <w:lvlJc w:val="left"/>
      <w:pPr>
        <w:ind w:left="1074" w:hanging="26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60"/>
      </w:pPr>
      <w:rPr>
        <w:rFonts w:hint="default"/>
        <w:lang w:val="es-ES" w:eastAsia="es-ES" w:bidi="es-ES"/>
      </w:rPr>
    </w:lvl>
    <w:lvl w:ilvl="2">
      <w:start w:val="0"/>
      <w:numFmt w:val="bullet"/>
      <w:lvlText w:val="•"/>
      <w:lvlJc w:val="left"/>
      <w:pPr>
        <w:ind w:left="2989" w:hanging="260"/>
      </w:pPr>
      <w:rPr>
        <w:rFonts w:hint="default"/>
        <w:lang w:val="es-ES" w:eastAsia="es-ES" w:bidi="es-ES"/>
      </w:rPr>
    </w:lvl>
    <w:lvl w:ilvl="3">
      <w:start w:val="0"/>
      <w:numFmt w:val="bullet"/>
      <w:lvlText w:val="•"/>
      <w:lvlJc w:val="left"/>
      <w:pPr>
        <w:ind w:left="3943" w:hanging="260"/>
      </w:pPr>
      <w:rPr>
        <w:rFonts w:hint="default"/>
        <w:lang w:val="es-ES" w:eastAsia="es-ES" w:bidi="es-ES"/>
      </w:rPr>
    </w:lvl>
    <w:lvl w:ilvl="4">
      <w:start w:val="0"/>
      <w:numFmt w:val="bullet"/>
      <w:lvlText w:val="•"/>
      <w:lvlJc w:val="left"/>
      <w:pPr>
        <w:ind w:left="4898" w:hanging="260"/>
      </w:pPr>
      <w:rPr>
        <w:rFonts w:hint="default"/>
        <w:lang w:val="es-ES" w:eastAsia="es-ES" w:bidi="es-ES"/>
      </w:rPr>
    </w:lvl>
    <w:lvl w:ilvl="5">
      <w:start w:val="0"/>
      <w:numFmt w:val="bullet"/>
      <w:lvlText w:val="•"/>
      <w:lvlJc w:val="left"/>
      <w:pPr>
        <w:ind w:left="5852" w:hanging="260"/>
      </w:pPr>
      <w:rPr>
        <w:rFonts w:hint="default"/>
        <w:lang w:val="es-ES" w:eastAsia="es-ES" w:bidi="es-ES"/>
      </w:rPr>
    </w:lvl>
    <w:lvl w:ilvl="6">
      <w:start w:val="0"/>
      <w:numFmt w:val="bullet"/>
      <w:lvlText w:val="•"/>
      <w:lvlJc w:val="left"/>
      <w:pPr>
        <w:ind w:left="6807" w:hanging="260"/>
      </w:pPr>
      <w:rPr>
        <w:rFonts w:hint="default"/>
        <w:lang w:val="es-ES" w:eastAsia="es-ES" w:bidi="es-ES"/>
      </w:rPr>
    </w:lvl>
    <w:lvl w:ilvl="7">
      <w:start w:val="0"/>
      <w:numFmt w:val="bullet"/>
      <w:lvlText w:val="•"/>
      <w:lvlJc w:val="left"/>
      <w:pPr>
        <w:ind w:left="7761" w:hanging="260"/>
      </w:pPr>
      <w:rPr>
        <w:rFonts w:hint="default"/>
        <w:lang w:val="es-ES" w:eastAsia="es-ES" w:bidi="es-ES"/>
      </w:rPr>
    </w:lvl>
    <w:lvl w:ilvl="8">
      <w:start w:val="0"/>
      <w:numFmt w:val="bullet"/>
      <w:lvlText w:val="•"/>
      <w:lvlJc w:val="left"/>
      <w:pPr>
        <w:ind w:left="8716" w:hanging="260"/>
      </w:pPr>
      <w:rPr>
        <w:rFonts w:hint="default"/>
        <w:lang w:val="es-ES" w:eastAsia="es-ES" w:bidi="es-ES"/>
      </w:rPr>
    </w:lvl>
  </w:abstractNum>
  <w:abstractNum w:abstractNumId="40">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39">
    <w:multiLevelType w:val="hybridMultilevel"/>
    <w:lvl w:ilvl="0">
      <w:start w:val="1"/>
      <w:numFmt w:val="decimal"/>
      <w:lvlText w:val="%1."/>
      <w:lvlJc w:val="left"/>
      <w:pPr>
        <w:ind w:left="1074" w:hanging="224"/>
        <w:jc w:val="left"/>
      </w:pPr>
      <w:rPr>
        <w:rFonts w:hint="default" w:ascii="Arial" w:hAnsi="Arial" w:eastAsia="Arial" w:cs="Arial"/>
        <w:spacing w:val="-25"/>
        <w:w w:val="100"/>
        <w:sz w:val="20"/>
        <w:szCs w:val="20"/>
        <w:lang w:val="es-ES" w:eastAsia="es-ES" w:bidi="es-ES"/>
      </w:rPr>
    </w:lvl>
    <w:lvl w:ilvl="1">
      <w:start w:val="0"/>
      <w:numFmt w:val="bullet"/>
      <w:lvlText w:val="•"/>
      <w:lvlJc w:val="left"/>
      <w:pPr>
        <w:ind w:left="2034" w:hanging="224"/>
      </w:pPr>
      <w:rPr>
        <w:rFonts w:hint="default"/>
        <w:lang w:val="es-ES" w:eastAsia="es-ES" w:bidi="es-ES"/>
      </w:rPr>
    </w:lvl>
    <w:lvl w:ilvl="2">
      <w:start w:val="0"/>
      <w:numFmt w:val="bullet"/>
      <w:lvlText w:val="•"/>
      <w:lvlJc w:val="left"/>
      <w:pPr>
        <w:ind w:left="2989" w:hanging="224"/>
      </w:pPr>
      <w:rPr>
        <w:rFonts w:hint="default"/>
        <w:lang w:val="es-ES" w:eastAsia="es-ES" w:bidi="es-ES"/>
      </w:rPr>
    </w:lvl>
    <w:lvl w:ilvl="3">
      <w:start w:val="0"/>
      <w:numFmt w:val="bullet"/>
      <w:lvlText w:val="•"/>
      <w:lvlJc w:val="left"/>
      <w:pPr>
        <w:ind w:left="3943" w:hanging="224"/>
      </w:pPr>
      <w:rPr>
        <w:rFonts w:hint="default"/>
        <w:lang w:val="es-ES" w:eastAsia="es-ES" w:bidi="es-ES"/>
      </w:rPr>
    </w:lvl>
    <w:lvl w:ilvl="4">
      <w:start w:val="0"/>
      <w:numFmt w:val="bullet"/>
      <w:lvlText w:val="•"/>
      <w:lvlJc w:val="left"/>
      <w:pPr>
        <w:ind w:left="4898" w:hanging="224"/>
      </w:pPr>
      <w:rPr>
        <w:rFonts w:hint="default"/>
        <w:lang w:val="es-ES" w:eastAsia="es-ES" w:bidi="es-ES"/>
      </w:rPr>
    </w:lvl>
    <w:lvl w:ilvl="5">
      <w:start w:val="0"/>
      <w:numFmt w:val="bullet"/>
      <w:lvlText w:val="•"/>
      <w:lvlJc w:val="left"/>
      <w:pPr>
        <w:ind w:left="5852" w:hanging="224"/>
      </w:pPr>
      <w:rPr>
        <w:rFonts w:hint="default"/>
        <w:lang w:val="es-ES" w:eastAsia="es-ES" w:bidi="es-ES"/>
      </w:rPr>
    </w:lvl>
    <w:lvl w:ilvl="6">
      <w:start w:val="0"/>
      <w:numFmt w:val="bullet"/>
      <w:lvlText w:val="•"/>
      <w:lvlJc w:val="left"/>
      <w:pPr>
        <w:ind w:left="6807" w:hanging="224"/>
      </w:pPr>
      <w:rPr>
        <w:rFonts w:hint="default"/>
        <w:lang w:val="es-ES" w:eastAsia="es-ES" w:bidi="es-ES"/>
      </w:rPr>
    </w:lvl>
    <w:lvl w:ilvl="7">
      <w:start w:val="0"/>
      <w:numFmt w:val="bullet"/>
      <w:lvlText w:val="•"/>
      <w:lvlJc w:val="left"/>
      <w:pPr>
        <w:ind w:left="7761" w:hanging="224"/>
      </w:pPr>
      <w:rPr>
        <w:rFonts w:hint="default"/>
        <w:lang w:val="es-ES" w:eastAsia="es-ES" w:bidi="es-ES"/>
      </w:rPr>
    </w:lvl>
    <w:lvl w:ilvl="8">
      <w:start w:val="0"/>
      <w:numFmt w:val="bullet"/>
      <w:lvlText w:val="•"/>
      <w:lvlJc w:val="left"/>
      <w:pPr>
        <w:ind w:left="8716" w:hanging="224"/>
      </w:pPr>
      <w:rPr>
        <w:rFonts w:hint="default"/>
        <w:lang w:val="es-ES" w:eastAsia="es-ES" w:bidi="es-ES"/>
      </w:rPr>
    </w:lvl>
  </w:abstractNum>
  <w:abstractNum w:abstractNumId="38">
    <w:multiLevelType w:val="hybridMultilevel"/>
    <w:lvl w:ilvl="0">
      <w:start w:val="1"/>
      <w:numFmt w:val="decimal"/>
      <w:lvlText w:val="%1."/>
      <w:lvlJc w:val="left"/>
      <w:pPr>
        <w:ind w:left="1074" w:hanging="235"/>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5"/>
      </w:pPr>
      <w:rPr>
        <w:rFonts w:hint="default"/>
        <w:lang w:val="es-ES" w:eastAsia="es-ES" w:bidi="es-ES"/>
      </w:rPr>
    </w:lvl>
    <w:lvl w:ilvl="2">
      <w:start w:val="0"/>
      <w:numFmt w:val="bullet"/>
      <w:lvlText w:val="•"/>
      <w:lvlJc w:val="left"/>
      <w:pPr>
        <w:ind w:left="2989" w:hanging="235"/>
      </w:pPr>
      <w:rPr>
        <w:rFonts w:hint="default"/>
        <w:lang w:val="es-ES" w:eastAsia="es-ES" w:bidi="es-ES"/>
      </w:rPr>
    </w:lvl>
    <w:lvl w:ilvl="3">
      <w:start w:val="0"/>
      <w:numFmt w:val="bullet"/>
      <w:lvlText w:val="•"/>
      <w:lvlJc w:val="left"/>
      <w:pPr>
        <w:ind w:left="3943" w:hanging="235"/>
      </w:pPr>
      <w:rPr>
        <w:rFonts w:hint="default"/>
        <w:lang w:val="es-ES" w:eastAsia="es-ES" w:bidi="es-ES"/>
      </w:rPr>
    </w:lvl>
    <w:lvl w:ilvl="4">
      <w:start w:val="0"/>
      <w:numFmt w:val="bullet"/>
      <w:lvlText w:val="•"/>
      <w:lvlJc w:val="left"/>
      <w:pPr>
        <w:ind w:left="4898" w:hanging="235"/>
      </w:pPr>
      <w:rPr>
        <w:rFonts w:hint="default"/>
        <w:lang w:val="es-ES" w:eastAsia="es-ES" w:bidi="es-ES"/>
      </w:rPr>
    </w:lvl>
    <w:lvl w:ilvl="5">
      <w:start w:val="0"/>
      <w:numFmt w:val="bullet"/>
      <w:lvlText w:val="•"/>
      <w:lvlJc w:val="left"/>
      <w:pPr>
        <w:ind w:left="5852" w:hanging="235"/>
      </w:pPr>
      <w:rPr>
        <w:rFonts w:hint="default"/>
        <w:lang w:val="es-ES" w:eastAsia="es-ES" w:bidi="es-ES"/>
      </w:rPr>
    </w:lvl>
    <w:lvl w:ilvl="6">
      <w:start w:val="0"/>
      <w:numFmt w:val="bullet"/>
      <w:lvlText w:val="•"/>
      <w:lvlJc w:val="left"/>
      <w:pPr>
        <w:ind w:left="6807" w:hanging="235"/>
      </w:pPr>
      <w:rPr>
        <w:rFonts w:hint="default"/>
        <w:lang w:val="es-ES" w:eastAsia="es-ES" w:bidi="es-ES"/>
      </w:rPr>
    </w:lvl>
    <w:lvl w:ilvl="7">
      <w:start w:val="0"/>
      <w:numFmt w:val="bullet"/>
      <w:lvlText w:val="•"/>
      <w:lvlJc w:val="left"/>
      <w:pPr>
        <w:ind w:left="7761" w:hanging="235"/>
      </w:pPr>
      <w:rPr>
        <w:rFonts w:hint="default"/>
        <w:lang w:val="es-ES" w:eastAsia="es-ES" w:bidi="es-ES"/>
      </w:rPr>
    </w:lvl>
    <w:lvl w:ilvl="8">
      <w:start w:val="0"/>
      <w:numFmt w:val="bullet"/>
      <w:lvlText w:val="•"/>
      <w:lvlJc w:val="left"/>
      <w:pPr>
        <w:ind w:left="8716" w:hanging="235"/>
      </w:pPr>
      <w:rPr>
        <w:rFonts w:hint="default"/>
        <w:lang w:val="es-ES" w:eastAsia="es-ES" w:bidi="es-ES"/>
      </w:rPr>
    </w:lvl>
  </w:abstractNum>
  <w:abstractNum w:abstractNumId="37">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36">
    <w:multiLevelType w:val="hybridMultilevel"/>
    <w:lvl w:ilvl="0">
      <w:start w:val="1"/>
      <w:numFmt w:val="lowerLetter"/>
      <w:lvlText w:val="%1)"/>
      <w:lvlJc w:val="left"/>
      <w:pPr>
        <w:ind w:left="1074" w:hanging="24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1"/>
      </w:pPr>
      <w:rPr>
        <w:rFonts w:hint="default"/>
        <w:lang w:val="es-ES" w:eastAsia="es-ES" w:bidi="es-ES"/>
      </w:rPr>
    </w:lvl>
    <w:lvl w:ilvl="2">
      <w:start w:val="0"/>
      <w:numFmt w:val="bullet"/>
      <w:lvlText w:val="•"/>
      <w:lvlJc w:val="left"/>
      <w:pPr>
        <w:ind w:left="2989" w:hanging="241"/>
      </w:pPr>
      <w:rPr>
        <w:rFonts w:hint="default"/>
        <w:lang w:val="es-ES" w:eastAsia="es-ES" w:bidi="es-ES"/>
      </w:rPr>
    </w:lvl>
    <w:lvl w:ilvl="3">
      <w:start w:val="0"/>
      <w:numFmt w:val="bullet"/>
      <w:lvlText w:val="•"/>
      <w:lvlJc w:val="left"/>
      <w:pPr>
        <w:ind w:left="3943" w:hanging="241"/>
      </w:pPr>
      <w:rPr>
        <w:rFonts w:hint="default"/>
        <w:lang w:val="es-ES" w:eastAsia="es-ES" w:bidi="es-ES"/>
      </w:rPr>
    </w:lvl>
    <w:lvl w:ilvl="4">
      <w:start w:val="0"/>
      <w:numFmt w:val="bullet"/>
      <w:lvlText w:val="•"/>
      <w:lvlJc w:val="left"/>
      <w:pPr>
        <w:ind w:left="4898" w:hanging="241"/>
      </w:pPr>
      <w:rPr>
        <w:rFonts w:hint="default"/>
        <w:lang w:val="es-ES" w:eastAsia="es-ES" w:bidi="es-ES"/>
      </w:rPr>
    </w:lvl>
    <w:lvl w:ilvl="5">
      <w:start w:val="0"/>
      <w:numFmt w:val="bullet"/>
      <w:lvlText w:val="•"/>
      <w:lvlJc w:val="left"/>
      <w:pPr>
        <w:ind w:left="5852" w:hanging="241"/>
      </w:pPr>
      <w:rPr>
        <w:rFonts w:hint="default"/>
        <w:lang w:val="es-ES" w:eastAsia="es-ES" w:bidi="es-ES"/>
      </w:rPr>
    </w:lvl>
    <w:lvl w:ilvl="6">
      <w:start w:val="0"/>
      <w:numFmt w:val="bullet"/>
      <w:lvlText w:val="•"/>
      <w:lvlJc w:val="left"/>
      <w:pPr>
        <w:ind w:left="6807" w:hanging="241"/>
      </w:pPr>
      <w:rPr>
        <w:rFonts w:hint="default"/>
        <w:lang w:val="es-ES" w:eastAsia="es-ES" w:bidi="es-ES"/>
      </w:rPr>
    </w:lvl>
    <w:lvl w:ilvl="7">
      <w:start w:val="0"/>
      <w:numFmt w:val="bullet"/>
      <w:lvlText w:val="•"/>
      <w:lvlJc w:val="left"/>
      <w:pPr>
        <w:ind w:left="7761" w:hanging="241"/>
      </w:pPr>
      <w:rPr>
        <w:rFonts w:hint="default"/>
        <w:lang w:val="es-ES" w:eastAsia="es-ES" w:bidi="es-ES"/>
      </w:rPr>
    </w:lvl>
    <w:lvl w:ilvl="8">
      <w:start w:val="0"/>
      <w:numFmt w:val="bullet"/>
      <w:lvlText w:val="•"/>
      <w:lvlJc w:val="left"/>
      <w:pPr>
        <w:ind w:left="8716" w:hanging="241"/>
      </w:pPr>
      <w:rPr>
        <w:rFonts w:hint="default"/>
        <w:lang w:val="es-ES" w:eastAsia="es-ES" w:bidi="es-ES"/>
      </w:rPr>
    </w:lvl>
  </w:abstractNum>
  <w:abstractNum w:abstractNumId="35">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34">
    <w:multiLevelType w:val="hybridMultilevel"/>
    <w:lvl w:ilvl="0">
      <w:start w:val="1"/>
      <w:numFmt w:val="lowerLetter"/>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33">
    <w:multiLevelType w:val="hybridMultilevel"/>
    <w:lvl w:ilvl="0">
      <w:start w:val="1"/>
      <w:numFmt w:val="decimal"/>
      <w:lvlText w:val="%1."/>
      <w:lvlJc w:val="left"/>
      <w:pPr>
        <w:ind w:left="1074" w:hanging="23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2"/>
      </w:pPr>
      <w:rPr>
        <w:rFonts w:hint="default"/>
        <w:lang w:val="es-ES" w:eastAsia="es-ES" w:bidi="es-ES"/>
      </w:rPr>
    </w:lvl>
    <w:lvl w:ilvl="2">
      <w:start w:val="0"/>
      <w:numFmt w:val="bullet"/>
      <w:lvlText w:val="•"/>
      <w:lvlJc w:val="left"/>
      <w:pPr>
        <w:ind w:left="2989" w:hanging="232"/>
      </w:pPr>
      <w:rPr>
        <w:rFonts w:hint="default"/>
        <w:lang w:val="es-ES" w:eastAsia="es-ES" w:bidi="es-ES"/>
      </w:rPr>
    </w:lvl>
    <w:lvl w:ilvl="3">
      <w:start w:val="0"/>
      <w:numFmt w:val="bullet"/>
      <w:lvlText w:val="•"/>
      <w:lvlJc w:val="left"/>
      <w:pPr>
        <w:ind w:left="3943" w:hanging="232"/>
      </w:pPr>
      <w:rPr>
        <w:rFonts w:hint="default"/>
        <w:lang w:val="es-ES" w:eastAsia="es-ES" w:bidi="es-ES"/>
      </w:rPr>
    </w:lvl>
    <w:lvl w:ilvl="4">
      <w:start w:val="0"/>
      <w:numFmt w:val="bullet"/>
      <w:lvlText w:val="•"/>
      <w:lvlJc w:val="left"/>
      <w:pPr>
        <w:ind w:left="4898" w:hanging="232"/>
      </w:pPr>
      <w:rPr>
        <w:rFonts w:hint="default"/>
        <w:lang w:val="es-ES" w:eastAsia="es-ES" w:bidi="es-ES"/>
      </w:rPr>
    </w:lvl>
    <w:lvl w:ilvl="5">
      <w:start w:val="0"/>
      <w:numFmt w:val="bullet"/>
      <w:lvlText w:val="•"/>
      <w:lvlJc w:val="left"/>
      <w:pPr>
        <w:ind w:left="5852" w:hanging="232"/>
      </w:pPr>
      <w:rPr>
        <w:rFonts w:hint="default"/>
        <w:lang w:val="es-ES" w:eastAsia="es-ES" w:bidi="es-ES"/>
      </w:rPr>
    </w:lvl>
    <w:lvl w:ilvl="6">
      <w:start w:val="0"/>
      <w:numFmt w:val="bullet"/>
      <w:lvlText w:val="•"/>
      <w:lvlJc w:val="left"/>
      <w:pPr>
        <w:ind w:left="6807" w:hanging="232"/>
      </w:pPr>
      <w:rPr>
        <w:rFonts w:hint="default"/>
        <w:lang w:val="es-ES" w:eastAsia="es-ES" w:bidi="es-ES"/>
      </w:rPr>
    </w:lvl>
    <w:lvl w:ilvl="7">
      <w:start w:val="0"/>
      <w:numFmt w:val="bullet"/>
      <w:lvlText w:val="•"/>
      <w:lvlJc w:val="left"/>
      <w:pPr>
        <w:ind w:left="7761" w:hanging="232"/>
      </w:pPr>
      <w:rPr>
        <w:rFonts w:hint="default"/>
        <w:lang w:val="es-ES" w:eastAsia="es-ES" w:bidi="es-ES"/>
      </w:rPr>
    </w:lvl>
    <w:lvl w:ilvl="8">
      <w:start w:val="0"/>
      <w:numFmt w:val="bullet"/>
      <w:lvlText w:val="•"/>
      <w:lvlJc w:val="left"/>
      <w:pPr>
        <w:ind w:left="8716" w:hanging="232"/>
      </w:pPr>
      <w:rPr>
        <w:rFonts w:hint="default"/>
        <w:lang w:val="es-ES" w:eastAsia="es-ES" w:bidi="es-ES"/>
      </w:rPr>
    </w:lvl>
  </w:abstractNum>
  <w:abstractNum w:abstractNumId="32">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31">
    <w:multiLevelType w:val="hybridMultilevel"/>
    <w:lvl w:ilvl="0">
      <w:start w:val="1"/>
      <w:numFmt w:val="lowerLetter"/>
      <w:lvlText w:val="%1)"/>
      <w:lvlJc w:val="left"/>
      <w:pPr>
        <w:ind w:left="1074" w:hanging="25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8"/>
      </w:pPr>
      <w:rPr>
        <w:rFonts w:hint="default"/>
        <w:lang w:val="es-ES" w:eastAsia="es-ES" w:bidi="es-ES"/>
      </w:rPr>
    </w:lvl>
    <w:lvl w:ilvl="2">
      <w:start w:val="0"/>
      <w:numFmt w:val="bullet"/>
      <w:lvlText w:val="•"/>
      <w:lvlJc w:val="left"/>
      <w:pPr>
        <w:ind w:left="2989" w:hanging="258"/>
      </w:pPr>
      <w:rPr>
        <w:rFonts w:hint="default"/>
        <w:lang w:val="es-ES" w:eastAsia="es-ES" w:bidi="es-ES"/>
      </w:rPr>
    </w:lvl>
    <w:lvl w:ilvl="3">
      <w:start w:val="0"/>
      <w:numFmt w:val="bullet"/>
      <w:lvlText w:val="•"/>
      <w:lvlJc w:val="left"/>
      <w:pPr>
        <w:ind w:left="3943" w:hanging="258"/>
      </w:pPr>
      <w:rPr>
        <w:rFonts w:hint="default"/>
        <w:lang w:val="es-ES" w:eastAsia="es-ES" w:bidi="es-ES"/>
      </w:rPr>
    </w:lvl>
    <w:lvl w:ilvl="4">
      <w:start w:val="0"/>
      <w:numFmt w:val="bullet"/>
      <w:lvlText w:val="•"/>
      <w:lvlJc w:val="left"/>
      <w:pPr>
        <w:ind w:left="4898" w:hanging="258"/>
      </w:pPr>
      <w:rPr>
        <w:rFonts w:hint="default"/>
        <w:lang w:val="es-ES" w:eastAsia="es-ES" w:bidi="es-ES"/>
      </w:rPr>
    </w:lvl>
    <w:lvl w:ilvl="5">
      <w:start w:val="0"/>
      <w:numFmt w:val="bullet"/>
      <w:lvlText w:val="•"/>
      <w:lvlJc w:val="left"/>
      <w:pPr>
        <w:ind w:left="5852" w:hanging="258"/>
      </w:pPr>
      <w:rPr>
        <w:rFonts w:hint="default"/>
        <w:lang w:val="es-ES" w:eastAsia="es-ES" w:bidi="es-ES"/>
      </w:rPr>
    </w:lvl>
    <w:lvl w:ilvl="6">
      <w:start w:val="0"/>
      <w:numFmt w:val="bullet"/>
      <w:lvlText w:val="•"/>
      <w:lvlJc w:val="left"/>
      <w:pPr>
        <w:ind w:left="6807" w:hanging="258"/>
      </w:pPr>
      <w:rPr>
        <w:rFonts w:hint="default"/>
        <w:lang w:val="es-ES" w:eastAsia="es-ES" w:bidi="es-ES"/>
      </w:rPr>
    </w:lvl>
    <w:lvl w:ilvl="7">
      <w:start w:val="0"/>
      <w:numFmt w:val="bullet"/>
      <w:lvlText w:val="•"/>
      <w:lvlJc w:val="left"/>
      <w:pPr>
        <w:ind w:left="7761" w:hanging="258"/>
      </w:pPr>
      <w:rPr>
        <w:rFonts w:hint="default"/>
        <w:lang w:val="es-ES" w:eastAsia="es-ES" w:bidi="es-ES"/>
      </w:rPr>
    </w:lvl>
    <w:lvl w:ilvl="8">
      <w:start w:val="0"/>
      <w:numFmt w:val="bullet"/>
      <w:lvlText w:val="•"/>
      <w:lvlJc w:val="left"/>
      <w:pPr>
        <w:ind w:left="8716" w:hanging="258"/>
      </w:pPr>
      <w:rPr>
        <w:rFonts w:hint="default"/>
        <w:lang w:val="es-ES" w:eastAsia="es-ES" w:bidi="es-ES"/>
      </w:rPr>
    </w:lvl>
  </w:abstractNum>
  <w:abstractNum w:abstractNumId="30">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29">
    <w:multiLevelType w:val="hybridMultilevel"/>
    <w:lvl w:ilvl="0">
      <w:start w:val="1"/>
      <w:numFmt w:val="decimal"/>
      <w:lvlText w:val="%1."/>
      <w:lvlJc w:val="left"/>
      <w:pPr>
        <w:ind w:left="1074" w:hanging="30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301"/>
      </w:pPr>
      <w:rPr>
        <w:rFonts w:hint="default"/>
        <w:lang w:val="es-ES" w:eastAsia="es-ES" w:bidi="es-ES"/>
      </w:rPr>
    </w:lvl>
    <w:lvl w:ilvl="2">
      <w:start w:val="0"/>
      <w:numFmt w:val="bullet"/>
      <w:lvlText w:val="•"/>
      <w:lvlJc w:val="left"/>
      <w:pPr>
        <w:ind w:left="2989" w:hanging="301"/>
      </w:pPr>
      <w:rPr>
        <w:rFonts w:hint="default"/>
        <w:lang w:val="es-ES" w:eastAsia="es-ES" w:bidi="es-ES"/>
      </w:rPr>
    </w:lvl>
    <w:lvl w:ilvl="3">
      <w:start w:val="0"/>
      <w:numFmt w:val="bullet"/>
      <w:lvlText w:val="•"/>
      <w:lvlJc w:val="left"/>
      <w:pPr>
        <w:ind w:left="3943" w:hanging="301"/>
      </w:pPr>
      <w:rPr>
        <w:rFonts w:hint="default"/>
        <w:lang w:val="es-ES" w:eastAsia="es-ES" w:bidi="es-ES"/>
      </w:rPr>
    </w:lvl>
    <w:lvl w:ilvl="4">
      <w:start w:val="0"/>
      <w:numFmt w:val="bullet"/>
      <w:lvlText w:val="•"/>
      <w:lvlJc w:val="left"/>
      <w:pPr>
        <w:ind w:left="4898" w:hanging="301"/>
      </w:pPr>
      <w:rPr>
        <w:rFonts w:hint="default"/>
        <w:lang w:val="es-ES" w:eastAsia="es-ES" w:bidi="es-ES"/>
      </w:rPr>
    </w:lvl>
    <w:lvl w:ilvl="5">
      <w:start w:val="0"/>
      <w:numFmt w:val="bullet"/>
      <w:lvlText w:val="•"/>
      <w:lvlJc w:val="left"/>
      <w:pPr>
        <w:ind w:left="5852" w:hanging="301"/>
      </w:pPr>
      <w:rPr>
        <w:rFonts w:hint="default"/>
        <w:lang w:val="es-ES" w:eastAsia="es-ES" w:bidi="es-ES"/>
      </w:rPr>
    </w:lvl>
    <w:lvl w:ilvl="6">
      <w:start w:val="0"/>
      <w:numFmt w:val="bullet"/>
      <w:lvlText w:val="•"/>
      <w:lvlJc w:val="left"/>
      <w:pPr>
        <w:ind w:left="6807" w:hanging="301"/>
      </w:pPr>
      <w:rPr>
        <w:rFonts w:hint="default"/>
        <w:lang w:val="es-ES" w:eastAsia="es-ES" w:bidi="es-ES"/>
      </w:rPr>
    </w:lvl>
    <w:lvl w:ilvl="7">
      <w:start w:val="0"/>
      <w:numFmt w:val="bullet"/>
      <w:lvlText w:val="•"/>
      <w:lvlJc w:val="left"/>
      <w:pPr>
        <w:ind w:left="7761" w:hanging="301"/>
      </w:pPr>
      <w:rPr>
        <w:rFonts w:hint="default"/>
        <w:lang w:val="es-ES" w:eastAsia="es-ES" w:bidi="es-ES"/>
      </w:rPr>
    </w:lvl>
    <w:lvl w:ilvl="8">
      <w:start w:val="0"/>
      <w:numFmt w:val="bullet"/>
      <w:lvlText w:val="•"/>
      <w:lvlJc w:val="left"/>
      <w:pPr>
        <w:ind w:left="8716" w:hanging="301"/>
      </w:pPr>
      <w:rPr>
        <w:rFonts w:hint="default"/>
        <w:lang w:val="es-ES" w:eastAsia="es-ES" w:bidi="es-ES"/>
      </w:rPr>
    </w:lvl>
  </w:abstractNum>
  <w:abstractNum w:abstractNumId="28">
    <w:multiLevelType w:val="hybridMultilevel"/>
    <w:lvl w:ilvl="0">
      <w:start w:val="1"/>
      <w:numFmt w:val="decimal"/>
      <w:lvlText w:val="%1."/>
      <w:lvlJc w:val="left"/>
      <w:pPr>
        <w:ind w:left="1074" w:hanging="251"/>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51"/>
      </w:pPr>
      <w:rPr>
        <w:rFonts w:hint="default"/>
        <w:lang w:val="es-ES" w:eastAsia="es-ES" w:bidi="es-ES"/>
      </w:rPr>
    </w:lvl>
    <w:lvl w:ilvl="2">
      <w:start w:val="0"/>
      <w:numFmt w:val="bullet"/>
      <w:lvlText w:val="•"/>
      <w:lvlJc w:val="left"/>
      <w:pPr>
        <w:ind w:left="2989" w:hanging="251"/>
      </w:pPr>
      <w:rPr>
        <w:rFonts w:hint="default"/>
        <w:lang w:val="es-ES" w:eastAsia="es-ES" w:bidi="es-ES"/>
      </w:rPr>
    </w:lvl>
    <w:lvl w:ilvl="3">
      <w:start w:val="0"/>
      <w:numFmt w:val="bullet"/>
      <w:lvlText w:val="•"/>
      <w:lvlJc w:val="left"/>
      <w:pPr>
        <w:ind w:left="3943" w:hanging="251"/>
      </w:pPr>
      <w:rPr>
        <w:rFonts w:hint="default"/>
        <w:lang w:val="es-ES" w:eastAsia="es-ES" w:bidi="es-ES"/>
      </w:rPr>
    </w:lvl>
    <w:lvl w:ilvl="4">
      <w:start w:val="0"/>
      <w:numFmt w:val="bullet"/>
      <w:lvlText w:val="•"/>
      <w:lvlJc w:val="left"/>
      <w:pPr>
        <w:ind w:left="4898" w:hanging="251"/>
      </w:pPr>
      <w:rPr>
        <w:rFonts w:hint="default"/>
        <w:lang w:val="es-ES" w:eastAsia="es-ES" w:bidi="es-ES"/>
      </w:rPr>
    </w:lvl>
    <w:lvl w:ilvl="5">
      <w:start w:val="0"/>
      <w:numFmt w:val="bullet"/>
      <w:lvlText w:val="•"/>
      <w:lvlJc w:val="left"/>
      <w:pPr>
        <w:ind w:left="5852" w:hanging="251"/>
      </w:pPr>
      <w:rPr>
        <w:rFonts w:hint="default"/>
        <w:lang w:val="es-ES" w:eastAsia="es-ES" w:bidi="es-ES"/>
      </w:rPr>
    </w:lvl>
    <w:lvl w:ilvl="6">
      <w:start w:val="0"/>
      <w:numFmt w:val="bullet"/>
      <w:lvlText w:val="•"/>
      <w:lvlJc w:val="left"/>
      <w:pPr>
        <w:ind w:left="6807" w:hanging="251"/>
      </w:pPr>
      <w:rPr>
        <w:rFonts w:hint="default"/>
        <w:lang w:val="es-ES" w:eastAsia="es-ES" w:bidi="es-ES"/>
      </w:rPr>
    </w:lvl>
    <w:lvl w:ilvl="7">
      <w:start w:val="0"/>
      <w:numFmt w:val="bullet"/>
      <w:lvlText w:val="•"/>
      <w:lvlJc w:val="left"/>
      <w:pPr>
        <w:ind w:left="7761" w:hanging="251"/>
      </w:pPr>
      <w:rPr>
        <w:rFonts w:hint="default"/>
        <w:lang w:val="es-ES" w:eastAsia="es-ES" w:bidi="es-ES"/>
      </w:rPr>
    </w:lvl>
    <w:lvl w:ilvl="8">
      <w:start w:val="0"/>
      <w:numFmt w:val="bullet"/>
      <w:lvlText w:val="•"/>
      <w:lvlJc w:val="left"/>
      <w:pPr>
        <w:ind w:left="8716" w:hanging="251"/>
      </w:pPr>
      <w:rPr>
        <w:rFonts w:hint="default"/>
        <w:lang w:val="es-ES" w:eastAsia="es-ES" w:bidi="es-ES"/>
      </w:rPr>
    </w:lvl>
  </w:abstractNum>
  <w:abstractNum w:abstractNumId="27">
    <w:multiLevelType w:val="hybridMultilevel"/>
    <w:lvl w:ilvl="0">
      <w:start w:val="1"/>
      <w:numFmt w:val="lowerLetter"/>
      <w:lvlText w:val="%1)"/>
      <w:lvlJc w:val="left"/>
      <w:pPr>
        <w:ind w:left="1074" w:hanging="24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9"/>
      </w:pPr>
      <w:rPr>
        <w:rFonts w:hint="default"/>
        <w:lang w:val="es-ES" w:eastAsia="es-ES" w:bidi="es-ES"/>
      </w:rPr>
    </w:lvl>
    <w:lvl w:ilvl="2">
      <w:start w:val="0"/>
      <w:numFmt w:val="bullet"/>
      <w:lvlText w:val="•"/>
      <w:lvlJc w:val="left"/>
      <w:pPr>
        <w:ind w:left="2989" w:hanging="249"/>
      </w:pPr>
      <w:rPr>
        <w:rFonts w:hint="default"/>
        <w:lang w:val="es-ES" w:eastAsia="es-ES" w:bidi="es-ES"/>
      </w:rPr>
    </w:lvl>
    <w:lvl w:ilvl="3">
      <w:start w:val="0"/>
      <w:numFmt w:val="bullet"/>
      <w:lvlText w:val="•"/>
      <w:lvlJc w:val="left"/>
      <w:pPr>
        <w:ind w:left="3943" w:hanging="249"/>
      </w:pPr>
      <w:rPr>
        <w:rFonts w:hint="default"/>
        <w:lang w:val="es-ES" w:eastAsia="es-ES" w:bidi="es-ES"/>
      </w:rPr>
    </w:lvl>
    <w:lvl w:ilvl="4">
      <w:start w:val="0"/>
      <w:numFmt w:val="bullet"/>
      <w:lvlText w:val="•"/>
      <w:lvlJc w:val="left"/>
      <w:pPr>
        <w:ind w:left="4898" w:hanging="249"/>
      </w:pPr>
      <w:rPr>
        <w:rFonts w:hint="default"/>
        <w:lang w:val="es-ES" w:eastAsia="es-ES" w:bidi="es-ES"/>
      </w:rPr>
    </w:lvl>
    <w:lvl w:ilvl="5">
      <w:start w:val="0"/>
      <w:numFmt w:val="bullet"/>
      <w:lvlText w:val="•"/>
      <w:lvlJc w:val="left"/>
      <w:pPr>
        <w:ind w:left="5852" w:hanging="249"/>
      </w:pPr>
      <w:rPr>
        <w:rFonts w:hint="default"/>
        <w:lang w:val="es-ES" w:eastAsia="es-ES" w:bidi="es-ES"/>
      </w:rPr>
    </w:lvl>
    <w:lvl w:ilvl="6">
      <w:start w:val="0"/>
      <w:numFmt w:val="bullet"/>
      <w:lvlText w:val="•"/>
      <w:lvlJc w:val="left"/>
      <w:pPr>
        <w:ind w:left="6807" w:hanging="249"/>
      </w:pPr>
      <w:rPr>
        <w:rFonts w:hint="default"/>
        <w:lang w:val="es-ES" w:eastAsia="es-ES" w:bidi="es-ES"/>
      </w:rPr>
    </w:lvl>
    <w:lvl w:ilvl="7">
      <w:start w:val="0"/>
      <w:numFmt w:val="bullet"/>
      <w:lvlText w:val="•"/>
      <w:lvlJc w:val="left"/>
      <w:pPr>
        <w:ind w:left="7761" w:hanging="249"/>
      </w:pPr>
      <w:rPr>
        <w:rFonts w:hint="default"/>
        <w:lang w:val="es-ES" w:eastAsia="es-ES" w:bidi="es-ES"/>
      </w:rPr>
    </w:lvl>
    <w:lvl w:ilvl="8">
      <w:start w:val="0"/>
      <w:numFmt w:val="bullet"/>
      <w:lvlText w:val="•"/>
      <w:lvlJc w:val="left"/>
      <w:pPr>
        <w:ind w:left="8716" w:hanging="249"/>
      </w:pPr>
      <w:rPr>
        <w:rFonts w:hint="default"/>
        <w:lang w:val="es-ES" w:eastAsia="es-ES" w:bidi="es-ES"/>
      </w:rPr>
    </w:lvl>
  </w:abstractNum>
  <w:abstractNum w:abstractNumId="26">
    <w:multiLevelType w:val="hybridMultilevel"/>
    <w:lvl w:ilvl="0">
      <w:start w:val="1"/>
      <w:numFmt w:val="lowerLetter"/>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25">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24">
    <w:multiLevelType w:val="hybridMultilevel"/>
    <w:lvl w:ilvl="0">
      <w:start w:val="1"/>
      <w:numFmt w:val="lowerLetter"/>
      <w:lvlText w:val="%1)"/>
      <w:lvlJc w:val="left"/>
      <w:pPr>
        <w:ind w:left="1074" w:hanging="263"/>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63"/>
      </w:pPr>
      <w:rPr>
        <w:rFonts w:hint="default"/>
        <w:lang w:val="es-ES" w:eastAsia="es-ES" w:bidi="es-ES"/>
      </w:rPr>
    </w:lvl>
    <w:lvl w:ilvl="2">
      <w:start w:val="0"/>
      <w:numFmt w:val="bullet"/>
      <w:lvlText w:val="•"/>
      <w:lvlJc w:val="left"/>
      <w:pPr>
        <w:ind w:left="2989" w:hanging="263"/>
      </w:pPr>
      <w:rPr>
        <w:rFonts w:hint="default"/>
        <w:lang w:val="es-ES" w:eastAsia="es-ES" w:bidi="es-ES"/>
      </w:rPr>
    </w:lvl>
    <w:lvl w:ilvl="3">
      <w:start w:val="0"/>
      <w:numFmt w:val="bullet"/>
      <w:lvlText w:val="•"/>
      <w:lvlJc w:val="left"/>
      <w:pPr>
        <w:ind w:left="3943" w:hanging="263"/>
      </w:pPr>
      <w:rPr>
        <w:rFonts w:hint="default"/>
        <w:lang w:val="es-ES" w:eastAsia="es-ES" w:bidi="es-ES"/>
      </w:rPr>
    </w:lvl>
    <w:lvl w:ilvl="4">
      <w:start w:val="0"/>
      <w:numFmt w:val="bullet"/>
      <w:lvlText w:val="•"/>
      <w:lvlJc w:val="left"/>
      <w:pPr>
        <w:ind w:left="4898" w:hanging="263"/>
      </w:pPr>
      <w:rPr>
        <w:rFonts w:hint="default"/>
        <w:lang w:val="es-ES" w:eastAsia="es-ES" w:bidi="es-ES"/>
      </w:rPr>
    </w:lvl>
    <w:lvl w:ilvl="5">
      <w:start w:val="0"/>
      <w:numFmt w:val="bullet"/>
      <w:lvlText w:val="•"/>
      <w:lvlJc w:val="left"/>
      <w:pPr>
        <w:ind w:left="5852" w:hanging="263"/>
      </w:pPr>
      <w:rPr>
        <w:rFonts w:hint="default"/>
        <w:lang w:val="es-ES" w:eastAsia="es-ES" w:bidi="es-ES"/>
      </w:rPr>
    </w:lvl>
    <w:lvl w:ilvl="6">
      <w:start w:val="0"/>
      <w:numFmt w:val="bullet"/>
      <w:lvlText w:val="•"/>
      <w:lvlJc w:val="left"/>
      <w:pPr>
        <w:ind w:left="6807" w:hanging="263"/>
      </w:pPr>
      <w:rPr>
        <w:rFonts w:hint="default"/>
        <w:lang w:val="es-ES" w:eastAsia="es-ES" w:bidi="es-ES"/>
      </w:rPr>
    </w:lvl>
    <w:lvl w:ilvl="7">
      <w:start w:val="0"/>
      <w:numFmt w:val="bullet"/>
      <w:lvlText w:val="•"/>
      <w:lvlJc w:val="left"/>
      <w:pPr>
        <w:ind w:left="7761" w:hanging="263"/>
      </w:pPr>
      <w:rPr>
        <w:rFonts w:hint="default"/>
        <w:lang w:val="es-ES" w:eastAsia="es-ES" w:bidi="es-ES"/>
      </w:rPr>
    </w:lvl>
    <w:lvl w:ilvl="8">
      <w:start w:val="0"/>
      <w:numFmt w:val="bullet"/>
      <w:lvlText w:val="•"/>
      <w:lvlJc w:val="left"/>
      <w:pPr>
        <w:ind w:left="8716" w:hanging="263"/>
      </w:pPr>
      <w:rPr>
        <w:rFonts w:hint="default"/>
        <w:lang w:val="es-ES" w:eastAsia="es-ES" w:bidi="es-ES"/>
      </w:rPr>
    </w:lvl>
  </w:abstractNum>
  <w:abstractNum w:abstractNumId="23">
    <w:multiLevelType w:val="hybridMultilevel"/>
    <w:lvl w:ilvl="0">
      <w:start w:val="1"/>
      <w:numFmt w:val="lowerLetter"/>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22">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21">
    <w:multiLevelType w:val="hybridMultilevel"/>
    <w:lvl w:ilvl="0">
      <w:start w:val="1"/>
      <w:numFmt w:val="lowerLetter"/>
      <w:lvlText w:val="%1)"/>
      <w:lvlJc w:val="left"/>
      <w:pPr>
        <w:ind w:left="1074" w:hanging="24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7"/>
      </w:pPr>
      <w:rPr>
        <w:rFonts w:hint="default"/>
        <w:lang w:val="es-ES" w:eastAsia="es-ES" w:bidi="es-ES"/>
      </w:rPr>
    </w:lvl>
    <w:lvl w:ilvl="2">
      <w:start w:val="0"/>
      <w:numFmt w:val="bullet"/>
      <w:lvlText w:val="•"/>
      <w:lvlJc w:val="left"/>
      <w:pPr>
        <w:ind w:left="2989" w:hanging="247"/>
      </w:pPr>
      <w:rPr>
        <w:rFonts w:hint="default"/>
        <w:lang w:val="es-ES" w:eastAsia="es-ES" w:bidi="es-ES"/>
      </w:rPr>
    </w:lvl>
    <w:lvl w:ilvl="3">
      <w:start w:val="0"/>
      <w:numFmt w:val="bullet"/>
      <w:lvlText w:val="•"/>
      <w:lvlJc w:val="left"/>
      <w:pPr>
        <w:ind w:left="3943" w:hanging="247"/>
      </w:pPr>
      <w:rPr>
        <w:rFonts w:hint="default"/>
        <w:lang w:val="es-ES" w:eastAsia="es-ES" w:bidi="es-ES"/>
      </w:rPr>
    </w:lvl>
    <w:lvl w:ilvl="4">
      <w:start w:val="0"/>
      <w:numFmt w:val="bullet"/>
      <w:lvlText w:val="•"/>
      <w:lvlJc w:val="left"/>
      <w:pPr>
        <w:ind w:left="4898" w:hanging="247"/>
      </w:pPr>
      <w:rPr>
        <w:rFonts w:hint="default"/>
        <w:lang w:val="es-ES" w:eastAsia="es-ES" w:bidi="es-ES"/>
      </w:rPr>
    </w:lvl>
    <w:lvl w:ilvl="5">
      <w:start w:val="0"/>
      <w:numFmt w:val="bullet"/>
      <w:lvlText w:val="•"/>
      <w:lvlJc w:val="left"/>
      <w:pPr>
        <w:ind w:left="5852" w:hanging="247"/>
      </w:pPr>
      <w:rPr>
        <w:rFonts w:hint="default"/>
        <w:lang w:val="es-ES" w:eastAsia="es-ES" w:bidi="es-ES"/>
      </w:rPr>
    </w:lvl>
    <w:lvl w:ilvl="6">
      <w:start w:val="0"/>
      <w:numFmt w:val="bullet"/>
      <w:lvlText w:val="•"/>
      <w:lvlJc w:val="left"/>
      <w:pPr>
        <w:ind w:left="6807" w:hanging="247"/>
      </w:pPr>
      <w:rPr>
        <w:rFonts w:hint="default"/>
        <w:lang w:val="es-ES" w:eastAsia="es-ES" w:bidi="es-ES"/>
      </w:rPr>
    </w:lvl>
    <w:lvl w:ilvl="7">
      <w:start w:val="0"/>
      <w:numFmt w:val="bullet"/>
      <w:lvlText w:val="•"/>
      <w:lvlJc w:val="left"/>
      <w:pPr>
        <w:ind w:left="7761" w:hanging="247"/>
      </w:pPr>
      <w:rPr>
        <w:rFonts w:hint="default"/>
        <w:lang w:val="es-ES" w:eastAsia="es-ES" w:bidi="es-ES"/>
      </w:rPr>
    </w:lvl>
    <w:lvl w:ilvl="8">
      <w:start w:val="0"/>
      <w:numFmt w:val="bullet"/>
      <w:lvlText w:val="•"/>
      <w:lvlJc w:val="left"/>
      <w:pPr>
        <w:ind w:left="8716" w:hanging="247"/>
      </w:pPr>
      <w:rPr>
        <w:rFonts w:hint="default"/>
        <w:lang w:val="es-ES" w:eastAsia="es-ES" w:bidi="es-ES"/>
      </w:rPr>
    </w:lvl>
  </w:abstractNum>
  <w:abstractNum w:abstractNumId="20">
    <w:multiLevelType w:val="hybridMultilevel"/>
    <w:lvl w:ilvl="0">
      <w:start w:val="1"/>
      <w:numFmt w:val="lowerLetter"/>
      <w:lvlText w:val="%1)"/>
      <w:lvlJc w:val="left"/>
      <w:pPr>
        <w:ind w:left="1074" w:hanging="23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9"/>
      </w:pPr>
      <w:rPr>
        <w:rFonts w:hint="default"/>
        <w:lang w:val="es-ES" w:eastAsia="es-ES" w:bidi="es-ES"/>
      </w:rPr>
    </w:lvl>
    <w:lvl w:ilvl="2">
      <w:start w:val="0"/>
      <w:numFmt w:val="bullet"/>
      <w:lvlText w:val="•"/>
      <w:lvlJc w:val="left"/>
      <w:pPr>
        <w:ind w:left="2989" w:hanging="239"/>
      </w:pPr>
      <w:rPr>
        <w:rFonts w:hint="default"/>
        <w:lang w:val="es-ES" w:eastAsia="es-ES" w:bidi="es-ES"/>
      </w:rPr>
    </w:lvl>
    <w:lvl w:ilvl="3">
      <w:start w:val="0"/>
      <w:numFmt w:val="bullet"/>
      <w:lvlText w:val="•"/>
      <w:lvlJc w:val="left"/>
      <w:pPr>
        <w:ind w:left="3943" w:hanging="239"/>
      </w:pPr>
      <w:rPr>
        <w:rFonts w:hint="default"/>
        <w:lang w:val="es-ES" w:eastAsia="es-ES" w:bidi="es-ES"/>
      </w:rPr>
    </w:lvl>
    <w:lvl w:ilvl="4">
      <w:start w:val="0"/>
      <w:numFmt w:val="bullet"/>
      <w:lvlText w:val="•"/>
      <w:lvlJc w:val="left"/>
      <w:pPr>
        <w:ind w:left="4898" w:hanging="239"/>
      </w:pPr>
      <w:rPr>
        <w:rFonts w:hint="default"/>
        <w:lang w:val="es-ES" w:eastAsia="es-ES" w:bidi="es-ES"/>
      </w:rPr>
    </w:lvl>
    <w:lvl w:ilvl="5">
      <w:start w:val="0"/>
      <w:numFmt w:val="bullet"/>
      <w:lvlText w:val="•"/>
      <w:lvlJc w:val="left"/>
      <w:pPr>
        <w:ind w:left="5852" w:hanging="239"/>
      </w:pPr>
      <w:rPr>
        <w:rFonts w:hint="default"/>
        <w:lang w:val="es-ES" w:eastAsia="es-ES" w:bidi="es-ES"/>
      </w:rPr>
    </w:lvl>
    <w:lvl w:ilvl="6">
      <w:start w:val="0"/>
      <w:numFmt w:val="bullet"/>
      <w:lvlText w:val="•"/>
      <w:lvlJc w:val="left"/>
      <w:pPr>
        <w:ind w:left="6807" w:hanging="239"/>
      </w:pPr>
      <w:rPr>
        <w:rFonts w:hint="default"/>
        <w:lang w:val="es-ES" w:eastAsia="es-ES" w:bidi="es-ES"/>
      </w:rPr>
    </w:lvl>
    <w:lvl w:ilvl="7">
      <w:start w:val="0"/>
      <w:numFmt w:val="bullet"/>
      <w:lvlText w:val="•"/>
      <w:lvlJc w:val="left"/>
      <w:pPr>
        <w:ind w:left="7761" w:hanging="239"/>
      </w:pPr>
      <w:rPr>
        <w:rFonts w:hint="default"/>
        <w:lang w:val="es-ES" w:eastAsia="es-ES" w:bidi="es-ES"/>
      </w:rPr>
    </w:lvl>
    <w:lvl w:ilvl="8">
      <w:start w:val="0"/>
      <w:numFmt w:val="bullet"/>
      <w:lvlText w:val="•"/>
      <w:lvlJc w:val="left"/>
      <w:pPr>
        <w:ind w:left="8716" w:hanging="239"/>
      </w:pPr>
      <w:rPr>
        <w:rFonts w:hint="default"/>
        <w:lang w:val="es-ES" w:eastAsia="es-ES" w:bidi="es-ES"/>
      </w:rPr>
    </w:lvl>
  </w:abstractNum>
  <w:abstractNum w:abstractNumId="19">
    <w:multiLevelType w:val="hybridMultilevel"/>
    <w:lvl w:ilvl="0">
      <w:start w:val="1"/>
      <w:numFmt w:val="lowerLetter"/>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18">
    <w:multiLevelType w:val="hybridMultilevel"/>
    <w:lvl w:ilvl="0">
      <w:start w:val="1"/>
      <w:numFmt w:val="decimal"/>
      <w:lvlText w:val="%1."/>
      <w:lvlJc w:val="left"/>
      <w:pPr>
        <w:ind w:left="1636" w:hanging="223"/>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23"/>
      </w:pPr>
      <w:rPr>
        <w:rFonts w:hint="default"/>
        <w:lang w:val="es-ES" w:eastAsia="es-ES" w:bidi="es-ES"/>
      </w:rPr>
    </w:lvl>
    <w:lvl w:ilvl="2">
      <w:start w:val="0"/>
      <w:numFmt w:val="bullet"/>
      <w:lvlText w:val="•"/>
      <w:lvlJc w:val="left"/>
      <w:pPr>
        <w:ind w:left="3437" w:hanging="223"/>
      </w:pPr>
      <w:rPr>
        <w:rFonts w:hint="default"/>
        <w:lang w:val="es-ES" w:eastAsia="es-ES" w:bidi="es-ES"/>
      </w:rPr>
    </w:lvl>
    <w:lvl w:ilvl="3">
      <w:start w:val="0"/>
      <w:numFmt w:val="bullet"/>
      <w:lvlText w:val="•"/>
      <w:lvlJc w:val="left"/>
      <w:pPr>
        <w:ind w:left="4335" w:hanging="223"/>
      </w:pPr>
      <w:rPr>
        <w:rFonts w:hint="default"/>
        <w:lang w:val="es-ES" w:eastAsia="es-ES" w:bidi="es-ES"/>
      </w:rPr>
    </w:lvl>
    <w:lvl w:ilvl="4">
      <w:start w:val="0"/>
      <w:numFmt w:val="bullet"/>
      <w:lvlText w:val="•"/>
      <w:lvlJc w:val="left"/>
      <w:pPr>
        <w:ind w:left="5234" w:hanging="223"/>
      </w:pPr>
      <w:rPr>
        <w:rFonts w:hint="default"/>
        <w:lang w:val="es-ES" w:eastAsia="es-ES" w:bidi="es-ES"/>
      </w:rPr>
    </w:lvl>
    <w:lvl w:ilvl="5">
      <w:start w:val="0"/>
      <w:numFmt w:val="bullet"/>
      <w:lvlText w:val="•"/>
      <w:lvlJc w:val="left"/>
      <w:pPr>
        <w:ind w:left="6132" w:hanging="223"/>
      </w:pPr>
      <w:rPr>
        <w:rFonts w:hint="default"/>
        <w:lang w:val="es-ES" w:eastAsia="es-ES" w:bidi="es-ES"/>
      </w:rPr>
    </w:lvl>
    <w:lvl w:ilvl="6">
      <w:start w:val="0"/>
      <w:numFmt w:val="bullet"/>
      <w:lvlText w:val="•"/>
      <w:lvlJc w:val="left"/>
      <w:pPr>
        <w:ind w:left="7031" w:hanging="223"/>
      </w:pPr>
      <w:rPr>
        <w:rFonts w:hint="default"/>
        <w:lang w:val="es-ES" w:eastAsia="es-ES" w:bidi="es-ES"/>
      </w:rPr>
    </w:lvl>
    <w:lvl w:ilvl="7">
      <w:start w:val="0"/>
      <w:numFmt w:val="bullet"/>
      <w:lvlText w:val="•"/>
      <w:lvlJc w:val="left"/>
      <w:pPr>
        <w:ind w:left="7929" w:hanging="223"/>
      </w:pPr>
      <w:rPr>
        <w:rFonts w:hint="default"/>
        <w:lang w:val="es-ES" w:eastAsia="es-ES" w:bidi="es-ES"/>
      </w:rPr>
    </w:lvl>
    <w:lvl w:ilvl="8">
      <w:start w:val="0"/>
      <w:numFmt w:val="bullet"/>
      <w:lvlText w:val="•"/>
      <w:lvlJc w:val="left"/>
      <w:pPr>
        <w:ind w:left="8828" w:hanging="223"/>
      </w:pPr>
      <w:rPr>
        <w:rFonts w:hint="default"/>
        <w:lang w:val="es-ES" w:eastAsia="es-ES" w:bidi="es-ES"/>
      </w:rPr>
    </w:lvl>
  </w:abstractNum>
  <w:abstractNum w:abstractNumId="17">
    <w:multiLevelType w:val="hybridMultilevel"/>
    <w:lvl w:ilvl="0">
      <w:start w:val="1"/>
      <w:numFmt w:val="decimal"/>
      <w:lvlText w:val="%1."/>
      <w:lvlJc w:val="left"/>
      <w:pPr>
        <w:ind w:left="1074" w:hanging="23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7"/>
      </w:pPr>
      <w:rPr>
        <w:rFonts w:hint="default"/>
        <w:lang w:val="es-ES" w:eastAsia="es-ES" w:bidi="es-ES"/>
      </w:rPr>
    </w:lvl>
    <w:lvl w:ilvl="2">
      <w:start w:val="0"/>
      <w:numFmt w:val="bullet"/>
      <w:lvlText w:val="•"/>
      <w:lvlJc w:val="left"/>
      <w:pPr>
        <w:ind w:left="2989" w:hanging="237"/>
      </w:pPr>
      <w:rPr>
        <w:rFonts w:hint="default"/>
        <w:lang w:val="es-ES" w:eastAsia="es-ES" w:bidi="es-ES"/>
      </w:rPr>
    </w:lvl>
    <w:lvl w:ilvl="3">
      <w:start w:val="0"/>
      <w:numFmt w:val="bullet"/>
      <w:lvlText w:val="•"/>
      <w:lvlJc w:val="left"/>
      <w:pPr>
        <w:ind w:left="3943" w:hanging="237"/>
      </w:pPr>
      <w:rPr>
        <w:rFonts w:hint="default"/>
        <w:lang w:val="es-ES" w:eastAsia="es-ES" w:bidi="es-ES"/>
      </w:rPr>
    </w:lvl>
    <w:lvl w:ilvl="4">
      <w:start w:val="0"/>
      <w:numFmt w:val="bullet"/>
      <w:lvlText w:val="•"/>
      <w:lvlJc w:val="left"/>
      <w:pPr>
        <w:ind w:left="4898" w:hanging="237"/>
      </w:pPr>
      <w:rPr>
        <w:rFonts w:hint="default"/>
        <w:lang w:val="es-ES" w:eastAsia="es-ES" w:bidi="es-ES"/>
      </w:rPr>
    </w:lvl>
    <w:lvl w:ilvl="5">
      <w:start w:val="0"/>
      <w:numFmt w:val="bullet"/>
      <w:lvlText w:val="•"/>
      <w:lvlJc w:val="left"/>
      <w:pPr>
        <w:ind w:left="5852" w:hanging="237"/>
      </w:pPr>
      <w:rPr>
        <w:rFonts w:hint="default"/>
        <w:lang w:val="es-ES" w:eastAsia="es-ES" w:bidi="es-ES"/>
      </w:rPr>
    </w:lvl>
    <w:lvl w:ilvl="6">
      <w:start w:val="0"/>
      <w:numFmt w:val="bullet"/>
      <w:lvlText w:val="•"/>
      <w:lvlJc w:val="left"/>
      <w:pPr>
        <w:ind w:left="6807" w:hanging="237"/>
      </w:pPr>
      <w:rPr>
        <w:rFonts w:hint="default"/>
        <w:lang w:val="es-ES" w:eastAsia="es-ES" w:bidi="es-ES"/>
      </w:rPr>
    </w:lvl>
    <w:lvl w:ilvl="7">
      <w:start w:val="0"/>
      <w:numFmt w:val="bullet"/>
      <w:lvlText w:val="•"/>
      <w:lvlJc w:val="left"/>
      <w:pPr>
        <w:ind w:left="7761" w:hanging="237"/>
      </w:pPr>
      <w:rPr>
        <w:rFonts w:hint="default"/>
        <w:lang w:val="es-ES" w:eastAsia="es-ES" w:bidi="es-ES"/>
      </w:rPr>
    </w:lvl>
    <w:lvl w:ilvl="8">
      <w:start w:val="0"/>
      <w:numFmt w:val="bullet"/>
      <w:lvlText w:val="•"/>
      <w:lvlJc w:val="left"/>
      <w:pPr>
        <w:ind w:left="8716" w:hanging="237"/>
      </w:pPr>
      <w:rPr>
        <w:rFonts w:hint="default"/>
        <w:lang w:val="es-ES" w:eastAsia="es-ES" w:bidi="es-ES"/>
      </w:rPr>
    </w:lvl>
  </w:abstractNum>
  <w:abstractNum w:abstractNumId="16">
    <w:multiLevelType w:val="hybridMultilevel"/>
    <w:lvl w:ilvl="0">
      <w:start w:val="1"/>
      <w:numFmt w:val="decimal"/>
      <w:lvlText w:val="%1."/>
      <w:lvlJc w:val="left"/>
      <w:pPr>
        <w:ind w:left="158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484" w:hanging="168"/>
      </w:pPr>
      <w:rPr>
        <w:rFonts w:hint="default"/>
        <w:lang w:val="es-ES" w:eastAsia="es-ES" w:bidi="es-ES"/>
      </w:rPr>
    </w:lvl>
    <w:lvl w:ilvl="2">
      <w:start w:val="0"/>
      <w:numFmt w:val="bullet"/>
      <w:lvlText w:val="•"/>
      <w:lvlJc w:val="left"/>
      <w:pPr>
        <w:ind w:left="3389" w:hanging="168"/>
      </w:pPr>
      <w:rPr>
        <w:rFonts w:hint="default"/>
        <w:lang w:val="es-ES" w:eastAsia="es-ES" w:bidi="es-ES"/>
      </w:rPr>
    </w:lvl>
    <w:lvl w:ilvl="3">
      <w:start w:val="0"/>
      <w:numFmt w:val="bullet"/>
      <w:lvlText w:val="•"/>
      <w:lvlJc w:val="left"/>
      <w:pPr>
        <w:ind w:left="4293" w:hanging="168"/>
      </w:pPr>
      <w:rPr>
        <w:rFonts w:hint="default"/>
        <w:lang w:val="es-ES" w:eastAsia="es-ES" w:bidi="es-ES"/>
      </w:rPr>
    </w:lvl>
    <w:lvl w:ilvl="4">
      <w:start w:val="0"/>
      <w:numFmt w:val="bullet"/>
      <w:lvlText w:val="•"/>
      <w:lvlJc w:val="left"/>
      <w:pPr>
        <w:ind w:left="5198" w:hanging="168"/>
      </w:pPr>
      <w:rPr>
        <w:rFonts w:hint="default"/>
        <w:lang w:val="es-ES" w:eastAsia="es-ES" w:bidi="es-ES"/>
      </w:rPr>
    </w:lvl>
    <w:lvl w:ilvl="5">
      <w:start w:val="0"/>
      <w:numFmt w:val="bullet"/>
      <w:lvlText w:val="•"/>
      <w:lvlJc w:val="left"/>
      <w:pPr>
        <w:ind w:left="6102" w:hanging="168"/>
      </w:pPr>
      <w:rPr>
        <w:rFonts w:hint="default"/>
        <w:lang w:val="es-ES" w:eastAsia="es-ES" w:bidi="es-ES"/>
      </w:rPr>
    </w:lvl>
    <w:lvl w:ilvl="6">
      <w:start w:val="0"/>
      <w:numFmt w:val="bullet"/>
      <w:lvlText w:val="•"/>
      <w:lvlJc w:val="left"/>
      <w:pPr>
        <w:ind w:left="7007" w:hanging="168"/>
      </w:pPr>
      <w:rPr>
        <w:rFonts w:hint="default"/>
        <w:lang w:val="es-ES" w:eastAsia="es-ES" w:bidi="es-ES"/>
      </w:rPr>
    </w:lvl>
    <w:lvl w:ilvl="7">
      <w:start w:val="0"/>
      <w:numFmt w:val="bullet"/>
      <w:lvlText w:val="•"/>
      <w:lvlJc w:val="left"/>
      <w:pPr>
        <w:ind w:left="7911" w:hanging="168"/>
      </w:pPr>
      <w:rPr>
        <w:rFonts w:hint="default"/>
        <w:lang w:val="es-ES" w:eastAsia="es-ES" w:bidi="es-ES"/>
      </w:rPr>
    </w:lvl>
    <w:lvl w:ilvl="8">
      <w:start w:val="0"/>
      <w:numFmt w:val="bullet"/>
      <w:lvlText w:val="•"/>
      <w:lvlJc w:val="left"/>
      <w:pPr>
        <w:ind w:left="8816" w:hanging="168"/>
      </w:pPr>
      <w:rPr>
        <w:rFonts w:hint="default"/>
        <w:lang w:val="es-ES" w:eastAsia="es-ES" w:bidi="es-ES"/>
      </w:rPr>
    </w:lvl>
  </w:abstractNum>
  <w:abstractNum w:abstractNumId="15">
    <w:multiLevelType w:val="hybridMultilevel"/>
    <w:lvl w:ilvl="0">
      <w:start w:val="1"/>
      <w:numFmt w:val="lowerLetter"/>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14">
    <w:multiLevelType w:val="hybridMultilevel"/>
    <w:lvl w:ilvl="0">
      <w:start w:val="1"/>
      <w:numFmt w:val="decimal"/>
      <w:lvlText w:val="%1."/>
      <w:lvlJc w:val="left"/>
      <w:pPr>
        <w:ind w:left="1074" w:hanging="25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0"/>
      </w:pPr>
      <w:rPr>
        <w:rFonts w:hint="default"/>
        <w:lang w:val="es-ES" w:eastAsia="es-ES" w:bidi="es-ES"/>
      </w:rPr>
    </w:lvl>
    <w:lvl w:ilvl="2">
      <w:start w:val="0"/>
      <w:numFmt w:val="bullet"/>
      <w:lvlText w:val="•"/>
      <w:lvlJc w:val="left"/>
      <w:pPr>
        <w:ind w:left="2989" w:hanging="250"/>
      </w:pPr>
      <w:rPr>
        <w:rFonts w:hint="default"/>
        <w:lang w:val="es-ES" w:eastAsia="es-ES" w:bidi="es-ES"/>
      </w:rPr>
    </w:lvl>
    <w:lvl w:ilvl="3">
      <w:start w:val="0"/>
      <w:numFmt w:val="bullet"/>
      <w:lvlText w:val="•"/>
      <w:lvlJc w:val="left"/>
      <w:pPr>
        <w:ind w:left="3943" w:hanging="250"/>
      </w:pPr>
      <w:rPr>
        <w:rFonts w:hint="default"/>
        <w:lang w:val="es-ES" w:eastAsia="es-ES" w:bidi="es-ES"/>
      </w:rPr>
    </w:lvl>
    <w:lvl w:ilvl="4">
      <w:start w:val="0"/>
      <w:numFmt w:val="bullet"/>
      <w:lvlText w:val="•"/>
      <w:lvlJc w:val="left"/>
      <w:pPr>
        <w:ind w:left="4898" w:hanging="250"/>
      </w:pPr>
      <w:rPr>
        <w:rFonts w:hint="default"/>
        <w:lang w:val="es-ES" w:eastAsia="es-ES" w:bidi="es-ES"/>
      </w:rPr>
    </w:lvl>
    <w:lvl w:ilvl="5">
      <w:start w:val="0"/>
      <w:numFmt w:val="bullet"/>
      <w:lvlText w:val="•"/>
      <w:lvlJc w:val="left"/>
      <w:pPr>
        <w:ind w:left="5852" w:hanging="250"/>
      </w:pPr>
      <w:rPr>
        <w:rFonts w:hint="default"/>
        <w:lang w:val="es-ES" w:eastAsia="es-ES" w:bidi="es-ES"/>
      </w:rPr>
    </w:lvl>
    <w:lvl w:ilvl="6">
      <w:start w:val="0"/>
      <w:numFmt w:val="bullet"/>
      <w:lvlText w:val="•"/>
      <w:lvlJc w:val="left"/>
      <w:pPr>
        <w:ind w:left="6807" w:hanging="250"/>
      </w:pPr>
      <w:rPr>
        <w:rFonts w:hint="default"/>
        <w:lang w:val="es-ES" w:eastAsia="es-ES" w:bidi="es-ES"/>
      </w:rPr>
    </w:lvl>
    <w:lvl w:ilvl="7">
      <w:start w:val="0"/>
      <w:numFmt w:val="bullet"/>
      <w:lvlText w:val="•"/>
      <w:lvlJc w:val="left"/>
      <w:pPr>
        <w:ind w:left="7761" w:hanging="250"/>
      </w:pPr>
      <w:rPr>
        <w:rFonts w:hint="default"/>
        <w:lang w:val="es-ES" w:eastAsia="es-ES" w:bidi="es-ES"/>
      </w:rPr>
    </w:lvl>
    <w:lvl w:ilvl="8">
      <w:start w:val="0"/>
      <w:numFmt w:val="bullet"/>
      <w:lvlText w:val="•"/>
      <w:lvlJc w:val="left"/>
      <w:pPr>
        <w:ind w:left="8716" w:hanging="250"/>
      </w:pPr>
      <w:rPr>
        <w:rFonts w:hint="default"/>
        <w:lang w:val="es-ES" w:eastAsia="es-ES" w:bidi="es-ES"/>
      </w:rPr>
    </w:lvl>
  </w:abstractNum>
  <w:abstractNum w:abstractNumId="13">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12">
    <w:multiLevelType w:val="hybridMultilevel"/>
    <w:lvl w:ilvl="0">
      <w:start w:val="1"/>
      <w:numFmt w:val="lowerLetter"/>
      <w:lvlText w:val="%1)"/>
      <w:lvlJc w:val="left"/>
      <w:pPr>
        <w:ind w:left="1074" w:hanging="242"/>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2"/>
      </w:pPr>
      <w:rPr>
        <w:rFonts w:hint="default"/>
        <w:lang w:val="es-ES" w:eastAsia="es-ES" w:bidi="es-ES"/>
      </w:rPr>
    </w:lvl>
    <w:lvl w:ilvl="2">
      <w:start w:val="0"/>
      <w:numFmt w:val="bullet"/>
      <w:lvlText w:val="•"/>
      <w:lvlJc w:val="left"/>
      <w:pPr>
        <w:ind w:left="2989" w:hanging="242"/>
      </w:pPr>
      <w:rPr>
        <w:rFonts w:hint="default"/>
        <w:lang w:val="es-ES" w:eastAsia="es-ES" w:bidi="es-ES"/>
      </w:rPr>
    </w:lvl>
    <w:lvl w:ilvl="3">
      <w:start w:val="0"/>
      <w:numFmt w:val="bullet"/>
      <w:lvlText w:val="•"/>
      <w:lvlJc w:val="left"/>
      <w:pPr>
        <w:ind w:left="3943" w:hanging="242"/>
      </w:pPr>
      <w:rPr>
        <w:rFonts w:hint="default"/>
        <w:lang w:val="es-ES" w:eastAsia="es-ES" w:bidi="es-ES"/>
      </w:rPr>
    </w:lvl>
    <w:lvl w:ilvl="4">
      <w:start w:val="0"/>
      <w:numFmt w:val="bullet"/>
      <w:lvlText w:val="•"/>
      <w:lvlJc w:val="left"/>
      <w:pPr>
        <w:ind w:left="4898" w:hanging="242"/>
      </w:pPr>
      <w:rPr>
        <w:rFonts w:hint="default"/>
        <w:lang w:val="es-ES" w:eastAsia="es-ES" w:bidi="es-ES"/>
      </w:rPr>
    </w:lvl>
    <w:lvl w:ilvl="5">
      <w:start w:val="0"/>
      <w:numFmt w:val="bullet"/>
      <w:lvlText w:val="•"/>
      <w:lvlJc w:val="left"/>
      <w:pPr>
        <w:ind w:left="5852" w:hanging="242"/>
      </w:pPr>
      <w:rPr>
        <w:rFonts w:hint="default"/>
        <w:lang w:val="es-ES" w:eastAsia="es-ES" w:bidi="es-ES"/>
      </w:rPr>
    </w:lvl>
    <w:lvl w:ilvl="6">
      <w:start w:val="0"/>
      <w:numFmt w:val="bullet"/>
      <w:lvlText w:val="•"/>
      <w:lvlJc w:val="left"/>
      <w:pPr>
        <w:ind w:left="6807" w:hanging="242"/>
      </w:pPr>
      <w:rPr>
        <w:rFonts w:hint="default"/>
        <w:lang w:val="es-ES" w:eastAsia="es-ES" w:bidi="es-ES"/>
      </w:rPr>
    </w:lvl>
    <w:lvl w:ilvl="7">
      <w:start w:val="0"/>
      <w:numFmt w:val="bullet"/>
      <w:lvlText w:val="•"/>
      <w:lvlJc w:val="left"/>
      <w:pPr>
        <w:ind w:left="7761" w:hanging="242"/>
      </w:pPr>
      <w:rPr>
        <w:rFonts w:hint="default"/>
        <w:lang w:val="es-ES" w:eastAsia="es-ES" w:bidi="es-ES"/>
      </w:rPr>
    </w:lvl>
    <w:lvl w:ilvl="8">
      <w:start w:val="0"/>
      <w:numFmt w:val="bullet"/>
      <w:lvlText w:val="•"/>
      <w:lvlJc w:val="left"/>
      <w:pPr>
        <w:ind w:left="8716" w:hanging="242"/>
      </w:pPr>
      <w:rPr>
        <w:rFonts w:hint="default"/>
        <w:lang w:val="es-ES" w:eastAsia="es-ES" w:bidi="es-ES"/>
      </w:rPr>
    </w:lvl>
  </w:abstractNum>
  <w:abstractNum w:abstractNumId="11">
    <w:multiLevelType w:val="hybridMultilevel"/>
    <w:lvl w:ilvl="0">
      <w:start w:val="1"/>
      <w:numFmt w:val="lowerLetter"/>
      <w:lvlText w:val="%1)"/>
      <w:lvlJc w:val="left"/>
      <w:pPr>
        <w:ind w:left="1074" w:hanging="267"/>
        <w:jc w:val="left"/>
      </w:pPr>
      <w:rPr>
        <w:rFonts w:hint="default" w:ascii="Arial" w:hAnsi="Arial" w:eastAsia="Arial" w:cs="Arial"/>
        <w:spacing w:val="-27"/>
        <w:w w:val="100"/>
        <w:sz w:val="20"/>
        <w:szCs w:val="20"/>
        <w:lang w:val="es-ES" w:eastAsia="es-ES" w:bidi="es-ES"/>
      </w:rPr>
    </w:lvl>
    <w:lvl w:ilvl="1">
      <w:start w:val="0"/>
      <w:numFmt w:val="bullet"/>
      <w:lvlText w:val="•"/>
      <w:lvlJc w:val="left"/>
      <w:pPr>
        <w:ind w:left="2034" w:hanging="267"/>
      </w:pPr>
      <w:rPr>
        <w:rFonts w:hint="default"/>
        <w:lang w:val="es-ES" w:eastAsia="es-ES" w:bidi="es-ES"/>
      </w:rPr>
    </w:lvl>
    <w:lvl w:ilvl="2">
      <w:start w:val="0"/>
      <w:numFmt w:val="bullet"/>
      <w:lvlText w:val="•"/>
      <w:lvlJc w:val="left"/>
      <w:pPr>
        <w:ind w:left="2989" w:hanging="267"/>
      </w:pPr>
      <w:rPr>
        <w:rFonts w:hint="default"/>
        <w:lang w:val="es-ES" w:eastAsia="es-ES" w:bidi="es-ES"/>
      </w:rPr>
    </w:lvl>
    <w:lvl w:ilvl="3">
      <w:start w:val="0"/>
      <w:numFmt w:val="bullet"/>
      <w:lvlText w:val="•"/>
      <w:lvlJc w:val="left"/>
      <w:pPr>
        <w:ind w:left="3943" w:hanging="267"/>
      </w:pPr>
      <w:rPr>
        <w:rFonts w:hint="default"/>
        <w:lang w:val="es-ES" w:eastAsia="es-ES" w:bidi="es-ES"/>
      </w:rPr>
    </w:lvl>
    <w:lvl w:ilvl="4">
      <w:start w:val="0"/>
      <w:numFmt w:val="bullet"/>
      <w:lvlText w:val="•"/>
      <w:lvlJc w:val="left"/>
      <w:pPr>
        <w:ind w:left="4898" w:hanging="267"/>
      </w:pPr>
      <w:rPr>
        <w:rFonts w:hint="default"/>
        <w:lang w:val="es-ES" w:eastAsia="es-ES" w:bidi="es-ES"/>
      </w:rPr>
    </w:lvl>
    <w:lvl w:ilvl="5">
      <w:start w:val="0"/>
      <w:numFmt w:val="bullet"/>
      <w:lvlText w:val="•"/>
      <w:lvlJc w:val="left"/>
      <w:pPr>
        <w:ind w:left="5852" w:hanging="267"/>
      </w:pPr>
      <w:rPr>
        <w:rFonts w:hint="default"/>
        <w:lang w:val="es-ES" w:eastAsia="es-ES" w:bidi="es-ES"/>
      </w:rPr>
    </w:lvl>
    <w:lvl w:ilvl="6">
      <w:start w:val="0"/>
      <w:numFmt w:val="bullet"/>
      <w:lvlText w:val="•"/>
      <w:lvlJc w:val="left"/>
      <w:pPr>
        <w:ind w:left="6807" w:hanging="267"/>
      </w:pPr>
      <w:rPr>
        <w:rFonts w:hint="default"/>
        <w:lang w:val="es-ES" w:eastAsia="es-ES" w:bidi="es-ES"/>
      </w:rPr>
    </w:lvl>
    <w:lvl w:ilvl="7">
      <w:start w:val="0"/>
      <w:numFmt w:val="bullet"/>
      <w:lvlText w:val="•"/>
      <w:lvlJc w:val="left"/>
      <w:pPr>
        <w:ind w:left="7761" w:hanging="267"/>
      </w:pPr>
      <w:rPr>
        <w:rFonts w:hint="default"/>
        <w:lang w:val="es-ES" w:eastAsia="es-ES" w:bidi="es-ES"/>
      </w:rPr>
    </w:lvl>
    <w:lvl w:ilvl="8">
      <w:start w:val="0"/>
      <w:numFmt w:val="bullet"/>
      <w:lvlText w:val="•"/>
      <w:lvlJc w:val="left"/>
      <w:pPr>
        <w:ind w:left="8716" w:hanging="267"/>
      </w:pPr>
      <w:rPr>
        <w:rFonts w:hint="default"/>
        <w:lang w:val="es-ES" w:eastAsia="es-ES" w:bidi="es-ES"/>
      </w:rPr>
    </w:lvl>
  </w:abstractNum>
  <w:abstractNum w:abstractNumId="10">
    <w:multiLevelType w:val="hybridMultilevel"/>
    <w:lvl w:ilvl="0">
      <w:start w:val="1"/>
      <w:numFmt w:val="lowerLetter"/>
      <w:lvlText w:val="%1)"/>
      <w:lvlJc w:val="left"/>
      <w:pPr>
        <w:ind w:left="1074" w:hanging="278"/>
        <w:jc w:val="left"/>
      </w:pPr>
      <w:rPr>
        <w:rFonts w:hint="default" w:ascii="Arial" w:hAnsi="Arial" w:eastAsia="Arial" w:cs="Arial"/>
        <w:spacing w:val="-12"/>
        <w:w w:val="100"/>
        <w:sz w:val="20"/>
        <w:szCs w:val="20"/>
        <w:lang w:val="es-ES" w:eastAsia="es-ES" w:bidi="es-ES"/>
      </w:rPr>
    </w:lvl>
    <w:lvl w:ilvl="1">
      <w:start w:val="0"/>
      <w:numFmt w:val="bullet"/>
      <w:lvlText w:val="•"/>
      <w:lvlJc w:val="left"/>
      <w:pPr>
        <w:ind w:left="2034" w:hanging="278"/>
      </w:pPr>
      <w:rPr>
        <w:rFonts w:hint="default"/>
        <w:lang w:val="es-ES" w:eastAsia="es-ES" w:bidi="es-ES"/>
      </w:rPr>
    </w:lvl>
    <w:lvl w:ilvl="2">
      <w:start w:val="0"/>
      <w:numFmt w:val="bullet"/>
      <w:lvlText w:val="•"/>
      <w:lvlJc w:val="left"/>
      <w:pPr>
        <w:ind w:left="2989" w:hanging="278"/>
      </w:pPr>
      <w:rPr>
        <w:rFonts w:hint="default"/>
        <w:lang w:val="es-ES" w:eastAsia="es-ES" w:bidi="es-ES"/>
      </w:rPr>
    </w:lvl>
    <w:lvl w:ilvl="3">
      <w:start w:val="0"/>
      <w:numFmt w:val="bullet"/>
      <w:lvlText w:val="•"/>
      <w:lvlJc w:val="left"/>
      <w:pPr>
        <w:ind w:left="3943" w:hanging="278"/>
      </w:pPr>
      <w:rPr>
        <w:rFonts w:hint="default"/>
        <w:lang w:val="es-ES" w:eastAsia="es-ES" w:bidi="es-ES"/>
      </w:rPr>
    </w:lvl>
    <w:lvl w:ilvl="4">
      <w:start w:val="0"/>
      <w:numFmt w:val="bullet"/>
      <w:lvlText w:val="•"/>
      <w:lvlJc w:val="left"/>
      <w:pPr>
        <w:ind w:left="4898" w:hanging="278"/>
      </w:pPr>
      <w:rPr>
        <w:rFonts w:hint="default"/>
        <w:lang w:val="es-ES" w:eastAsia="es-ES" w:bidi="es-ES"/>
      </w:rPr>
    </w:lvl>
    <w:lvl w:ilvl="5">
      <w:start w:val="0"/>
      <w:numFmt w:val="bullet"/>
      <w:lvlText w:val="•"/>
      <w:lvlJc w:val="left"/>
      <w:pPr>
        <w:ind w:left="5852" w:hanging="278"/>
      </w:pPr>
      <w:rPr>
        <w:rFonts w:hint="default"/>
        <w:lang w:val="es-ES" w:eastAsia="es-ES" w:bidi="es-ES"/>
      </w:rPr>
    </w:lvl>
    <w:lvl w:ilvl="6">
      <w:start w:val="0"/>
      <w:numFmt w:val="bullet"/>
      <w:lvlText w:val="•"/>
      <w:lvlJc w:val="left"/>
      <w:pPr>
        <w:ind w:left="6807" w:hanging="278"/>
      </w:pPr>
      <w:rPr>
        <w:rFonts w:hint="default"/>
        <w:lang w:val="es-ES" w:eastAsia="es-ES" w:bidi="es-ES"/>
      </w:rPr>
    </w:lvl>
    <w:lvl w:ilvl="7">
      <w:start w:val="0"/>
      <w:numFmt w:val="bullet"/>
      <w:lvlText w:val="•"/>
      <w:lvlJc w:val="left"/>
      <w:pPr>
        <w:ind w:left="7761" w:hanging="278"/>
      </w:pPr>
      <w:rPr>
        <w:rFonts w:hint="default"/>
        <w:lang w:val="es-ES" w:eastAsia="es-ES" w:bidi="es-ES"/>
      </w:rPr>
    </w:lvl>
    <w:lvl w:ilvl="8">
      <w:start w:val="0"/>
      <w:numFmt w:val="bullet"/>
      <w:lvlText w:val="•"/>
      <w:lvlJc w:val="left"/>
      <w:pPr>
        <w:ind w:left="8716" w:hanging="278"/>
      </w:pPr>
      <w:rPr>
        <w:rFonts w:hint="default"/>
        <w:lang w:val="es-ES" w:eastAsia="es-ES" w:bidi="es-ES"/>
      </w:rPr>
    </w:lvl>
  </w:abstractNum>
  <w:abstractNum w:abstractNumId="9">
    <w:multiLevelType w:val="hybridMultilevel"/>
    <w:lvl w:ilvl="0">
      <w:start w:val="1"/>
      <w:numFmt w:val="lowerLetter"/>
      <w:lvlText w:val="%1)"/>
      <w:lvlJc w:val="left"/>
      <w:pPr>
        <w:ind w:left="1647" w:hanging="234"/>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538" w:hanging="234"/>
      </w:pPr>
      <w:rPr>
        <w:rFonts w:hint="default"/>
        <w:lang w:val="es-ES" w:eastAsia="es-ES" w:bidi="es-ES"/>
      </w:rPr>
    </w:lvl>
    <w:lvl w:ilvl="2">
      <w:start w:val="0"/>
      <w:numFmt w:val="bullet"/>
      <w:lvlText w:val="•"/>
      <w:lvlJc w:val="left"/>
      <w:pPr>
        <w:ind w:left="3437" w:hanging="234"/>
      </w:pPr>
      <w:rPr>
        <w:rFonts w:hint="default"/>
        <w:lang w:val="es-ES" w:eastAsia="es-ES" w:bidi="es-ES"/>
      </w:rPr>
    </w:lvl>
    <w:lvl w:ilvl="3">
      <w:start w:val="0"/>
      <w:numFmt w:val="bullet"/>
      <w:lvlText w:val="•"/>
      <w:lvlJc w:val="left"/>
      <w:pPr>
        <w:ind w:left="4335" w:hanging="234"/>
      </w:pPr>
      <w:rPr>
        <w:rFonts w:hint="default"/>
        <w:lang w:val="es-ES" w:eastAsia="es-ES" w:bidi="es-ES"/>
      </w:rPr>
    </w:lvl>
    <w:lvl w:ilvl="4">
      <w:start w:val="0"/>
      <w:numFmt w:val="bullet"/>
      <w:lvlText w:val="•"/>
      <w:lvlJc w:val="left"/>
      <w:pPr>
        <w:ind w:left="5234" w:hanging="234"/>
      </w:pPr>
      <w:rPr>
        <w:rFonts w:hint="default"/>
        <w:lang w:val="es-ES" w:eastAsia="es-ES" w:bidi="es-ES"/>
      </w:rPr>
    </w:lvl>
    <w:lvl w:ilvl="5">
      <w:start w:val="0"/>
      <w:numFmt w:val="bullet"/>
      <w:lvlText w:val="•"/>
      <w:lvlJc w:val="left"/>
      <w:pPr>
        <w:ind w:left="6132" w:hanging="234"/>
      </w:pPr>
      <w:rPr>
        <w:rFonts w:hint="default"/>
        <w:lang w:val="es-ES" w:eastAsia="es-ES" w:bidi="es-ES"/>
      </w:rPr>
    </w:lvl>
    <w:lvl w:ilvl="6">
      <w:start w:val="0"/>
      <w:numFmt w:val="bullet"/>
      <w:lvlText w:val="•"/>
      <w:lvlJc w:val="left"/>
      <w:pPr>
        <w:ind w:left="7031" w:hanging="234"/>
      </w:pPr>
      <w:rPr>
        <w:rFonts w:hint="default"/>
        <w:lang w:val="es-ES" w:eastAsia="es-ES" w:bidi="es-ES"/>
      </w:rPr>
    </w:lvl>
    <w:lvl w:ilvl="7">
      <w:start w:val="0"/>
      <w:numFmt w:val="bullet"/>
      <w:lvlText w:val="•"/>
      <w:lvlJc w:val="left"/>
      <w:pPr>
        <w:ind w:left="7929" w:hanging="234"/>
      </w:pPr>
      <w:rPr>
        <w:rFonts w:hint="default"/>
        <w:lang w:val="es-ES" w:eastAsia="es-ES" w:bidi="es-ES"/>
      </w:rPr>
    </w:lvl>
    <w:lvl w:ilvl="8">
      <w:start w:val="0"/>
      <w:numFmt w:val="bullet"/>
      <w:lvlText w:val="•"/>
      <w:lvlJc w:val="left"/>
      <w:pPr>
        <w:ind w:left="8828" w:hanging="234"/>
      </w:pPr>
      <w:rPr>
        <w:rFonts w:hint="default"/>
        <w:lang w:val="es-ES" w:eastAsia="es-ES" w:bidi="es-ES"/>
      </w:rPr>
    </w:lvl>
  </w:abstractNum>
  <w:abstractNum w:abstractNumId="8">
    <w:multiLevelType w:val="hybridMultilevel"/>
    <w:lvl w:ilvl="0">
      <w:start w:val="1"/>
      <w:numFmt w:val="lowerLetter"/>
      <w:lvlText w:val="%1)"/>
      <w:lvlJc w:val="left"/>
      <w:pPr>
        <w:ind w:left="1074" w:hanging="257"/>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57"/>
      </w:pPr>
      <w:rPr>
        <w:rFonts w:hint="default"/>
        <w:lang w:val="es-ES" w:eastAsia="es-ES" w:bidi="es-ES"/>
      </w:rPr>
    </w:lvl>
    <w:lvl w:ilvl="2">
      <w:start w:val="0"/>
      <w:numFmt w:val="bullet"/>
      <w:lvlText w:val="•"/>
      <w:lvlJc w:val="left"/>
      <w:pPr>
        <w:ind w:left="2989" w:hanging="257"/>
      </w:pPr>
      <w:rPr>
        <w:rFonts w:hint="default"/>
        <w:lang w:val="es-ES" w:eastAsia="es-ES" w:bidi="es-ES"/>
      </w:rPr>
    </w:lvl>
    <w:lvl w:ilvl="3">
      <w:start w:val="0"/>
      <w:numFmt w:val="bullet"/>
      <w:lvlText w:val="•"/>
      <w:lvlJc w:val="left"/>
      <w:pPr>
        <w:ind w:left="3943" w:hanging="257"/>
      </w:pPr>
      <w:rPr>
        <w:rFonts w:hint="default"/>
        <w:lang w:val="es-ES" w:eastAsia="es-ES" w:bidi="es-ES"/>
      </w:rPr>
    </w:lvl>
    <w:lvl w:ilvl="4">
      <w:start w:val="0"/>
      <w:numFmt w:val="bullet"/>
      <w:lvlText w:val="•"/>
      <w:lvlJc w:val="left"/>
      <w:pPr>
        <w:ind w:left="4898" w:hanging="257"/>
      </w:pPr>
      <w:rPr>
        <w:rFonts w:hint="default"/>
        <w:lang w:val="es-ES" w:eastAsia="es-ES" w:bidi="es-ES"/>
      </w:rPr>
    </w:lvl>
    <w:lvl w:ilvl="5">
      <w:start w:val="0"/>
      <w:numFmt w:val="bullet"/>
      <w:lvlText w:val="•"/>
      <w:lvlJc w:val="left"/>
      <w:pPr>
        <w:ind w:left="5852" w:hanging="257"/>
      </w:pPr>
      <w:rPr>
        <w:rFonts w:hint="default"/>
        <w:lang w:val="es-ES" w:eastAsia="es-ES" w:bidi="es-ES"/>
      </w:rPr>
    </w:lvl>
    <w:lvl w:ilvl="6">
      <w:start w:val="0"/>
      <w:numFmt w:val="bullet"/>
      <w:lvlText w:val="•"/>
      <w:lvlJc w:val="left"/>
      <w:pPr>
        <w:ind w:left="6807" w:hanging="257"/>
      </w:pPr>
      <w:rPr>
        <w:rFonts w:hint="default"/>
        <w:lang w:val="es-ES" w:eastAsia="es-ES" w:bidi="es-ES"/>
      </w:rPr>
    </w:lvl>
    <w:lvl w:ilvl="7">
      <w:start w:val="0"/>
      <w:numFmt w:val="bullet"/>
      <w:lvlText w:val="•"/>
      <w:lvlJc w:val="left"/>
      <w:pPr>
        <w:ind w:left="7761" w:hanging="257"/>
      </w:pPr>
      <w:rPr>
        <w:rFonts w:hint="default"/>
        <w:lang w:val="es-ES" w:eastAsia="es-ES" w:bidi="es-ES"/>
      </w:rPr>
    </w:lvl>
    <w:lvl w:ilvl="8">
      <w:start w:val="0"/>
      <w:numFmt w:val="bullet"/>
      <w:lvlText w:val="•"/>
      <w:lvlJc w:val="left"/>
      <w:pPr>
        <w:ind w:left="8716" w:hanging="257"/>
      </w:pPr>
      <w:rPr>
        <w:rFonts w:hint="default"/>
        <w:lang w:val="es-ES" w:eastAsia="es-ES" w:bidi="es-ES"/>
      </w:rPr>
    </w:lvl>
  </w:abstractNum>
  <w:abstractNum w:abstractNumId="7">
    <w:multiLevelType w:val="hybridMultilevel"/>
    <w:lvl w:ilvl="0">
      <w:start w:val="1"/>
      <w:numFmt w:val="decimal"/>
      <w:lvlText w:val="%1."/>
      <w:lvlJc w:val="left"/>
      <w:pPr>
        <w:ind w:left="1074" w:hanging="281"/>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81"/>
      </w:pPr>
      <w:rPr>
        <w:rFonts w:hint="default"/>
        <w:lang w:val="es-ES" w:eastAsia="es-ES" w:bidi="es-ES"/>
      </w:rPr>
    </w:lvl>
    <w:lvl w:ilvl="2">
      <w:start w:val="0"/>
      <w:numFmt w:val="bullet"/>
      <w:lvlText w:val="•"/>
      <w:lvlJc w:val="left"/>
      <w:pPr>
        <w:ind w:left="2989" w:hanging="281"/>
      </w:pPr>
      <w:rPr>
        <w:rFonts w:hint="default"/>
        <w:lang w:val="es-ES" w:eastAsia="es-ES" w:bidi="es-ES"/>
      </w:rPr>
    </w:lvl>
    <w:lvl w:ilvl="3">
      <w:start w:val="0"/>
      <w:numFmt w:val="bullet"/>
      <w:lvlText w:val="•"/>
      <w:lvlJc w:val="left"/>
      <w:pPr>
        <w:ind w:left="3943" w:hanging="281"/>
      </w:pPr>
      <w:rPr>
        <w:rFonts w:hint="default"/>
        <w:lang w:val="es-ES" w:eastAsia="es-ES" w:bidi="es-ES"/>
      </w:rPr>
    </w:lvl>
    <w:lvl w:ilvl="4">
      <w:start w:val="0"/>
      <w:numFmt w:val="bullet"/>
      <w:lvlText w:val="•"/>
      <w:lvlJc w:val="left"/>
      <w:pPr>
        <w:ind w:left="4898" w:hanging="281"/>
      </w:pPr>
      <w:rPr>
        <w:rFonts w:hint="default"/>
        <w:lang w:val="es-ES" w:eastAsia="es-ES" w:bidi="es-ES"/>
      </w:rPr>
    </w:lvl>
    <w:lvl w:ilvl="5">
      <w:start w:val="0"/>
      <w:numFmt w:val="bullet"/>
      <w:lvlText w:val="•"/>
      <w:lvlJc w:val="left"/>
      <w:pPr>
        <w:ind w:left="5852" w:hanging="281"/>
      </w:pPr>
      <w:rPr>
        <w:rFonts w:hint="default"/>
        <w:lang w:val="es-ES" w:eastAsia="es-ES" w:bidi="es-ES"/>
      </w:rPr>
    </w:lvl>
    <w:lvl w:ilvl="6">
      <w:start w:val="0"/>
      <w:numFmt w:val="bullet"/>
      <w:lvlText w:val="•"/>
      <w:lvlJc w:val="left"/>
      <w:pPr>
        <w:ind w:left="6807" w:hanging="281"/>
      </w:pPr>
      <w:rPr>
        <w:rFonts w:hint="default"/>
        <w:lang w:val="es-ES" w:eastAsia="es-ES" w:bidi="es-ES"/>
      </w:rPr>
    </w:lvl>
    <w:lvl w:ilvl="7">
      <w:start w:val="0"/>
      <w:numFmt w:val="bullet"/>
      <w:lvlText w:val="•"/>
      <w:lvlJc w:val="left"/>
      <w:pPr>
        <w:ind w:left="7761" w:hanging="281"/>
      </w:pPr>
      <w:rPr>
        <w:rFonts w:hint="default"/>
        <w:lang w:val="es-ES" w:eastAsia="es-ES" w:bidi="es-ES"/>
      </w:rPr>
    </w:lvl>
    <w:lvl w:ilvl="8">
      <w:start w:val="0"/>
      <w:numFmt w:val="bullet"/>
      <w:lvlText w:val="•"/>
      <w:lvlJc w:val="left"/>
      <w:pPr>
        <w:ind w:left="8716" w:hanging="281"/>
      </w:pPr>
      <w:rPr>
        <w:rFonts w:hint="default"/>
        <w:lang w:val="es-ES" w:eastAsia="es-ES" w:bidi="es-ES"/>
      </w:rPr>
    </w:lvl>
  </w:abstractNum>
  <w:abstractNum w:abstractNumId="6">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5">
    <w:multiLevelType w:val="hybridMultilevel"/>
    <w:lvl w:ilvl="0">
      <w:start w:val="1"/>
      <w:numFmt w:val="decimal"/>
      <w:lvlText w:val="%1."/>
      <w:lvlJc w:val="left"/>
      <w:pPr>
        <w:ind w:left="158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484" w:hanging="168"/>
      </w:pPr>
      <w:rPr>
        <w:rFonts w:hint="default"/>
        <w:lang w:val="es-ES" w:eastAsia="es-ES" w:bidi="es-ES"/>
      </w:rPr>
    </w:lvl>
    <w:lvl w:ilvl="2">
      <w:start w:val="0"/>
      <w:numFmt w:val="bullet"/>
      <w:lvlText w:val="•"/>
      <w:lvlJc w:val="left"/>
      <w:pPr>
        <w:ind w:left="3389" w:hanging="168"/>
      </w:pPr>
      <w:rPr>
        <w:rFonts w:hint="default"/>
        <w:lang w:val="es-ES" w:eastAsia="es-ES" w:bidi="es-ES"/>
      </w:rPr>
    </w:lvl>
    <w:lvl w:ilvl="3">
      <w:start w:val="0"/>
      <w:numFmt w:val="bullet"/>
      <w:lvlText w:val="•"/>
      <w:lvlJc w:val="left"/>
      <w:pPr>
        <w:ind w:left="4293" w:hanging="168"/>
      </w:pPr>
      <w:rPr>
        <w:rFonts w:hint="default"/>
        <w:lang w:val="es-ES" w:eastAsia="es-ES" w:bidi="es-ES"/>
      </w:rPr>
    </w:lvl>
    <w:lvl w:ilvl="4">
      <w:start w:val="0"/>
      <w:numFmt w:val="bullet"/>
      <w:lvlText w:val="•"/>
      <w:lvlJc w:val="left"/>
      <w:pPr>
        <w:ind w:left="5198" w:hanging="168"/>
      </w:pPr>
      <w:rPr>
        <w:rFonts w:hint="default"/>
        <w:lang w:val="es-ES" w:eastAsia="es-ES" w:bidi="es-ES"/>
      </w:rPr>
    </w:lvl>
    <w:lvl w:ilvl="5">
      <w:start w:val="0"/>
      <w:numFmt w:val="bullet"/>
      <w:lvlText w:val="•"/>
      <w:lvlJc w:val="left"/>
      <w:pPr>
        <w:ind w:left="6102" w:hanging="168"/>
      </w:pPr>
      <w:rPr>
        <w:rFonts w:hint="default"/>
        <w:lang w:val="es-ES" w:eastAsia="es-ES" w:bidi="es-ES"/>
      </w:rPr>
    </w:lvl>
    <w:lvl w:ilvl="6">
      <w:start w:val="0"/>
      <w:numFmt w:val="bullet"/>
      <w:lvlText w:val="•"/>
      <w:lvlJc w:val="left"/>
      <w:pPr>
        <w:ind w:left="7007" w:hanging="168"/>
      </w:pPr>
      <w:rPr>
        <w:rFonts w:hint="default"/>
        <w:lang w:val="es-ES" w:eastAsia="es-ES" w:bidi="es-ES"/>
      </w:rPr>
    </w:lvl>
    <w:lvl w:ilvl="7">
      <w:start w:val="0"/>
      <w:numFmt w:val="bullet"/>
      <w:lvlText w:val="•"/>
      <w:lvlJc w:val="left"/>
      <w:pPr>
        <w:ind w:left="7911" w:hanging="168"/>
      </w:pPr>
      <w:rPr>
        <w:rFonts w:hint="default"/>
        <w:lang w:val="es-ES" w:eastAsia="es-ES" w:bidi="es-ES"/>
      </w:rPr>
    </w:lvl>
    <w:lvl w:ilvl="8">
      <w:start w:val="0"/>
      <w:numFmt w:val="bullet"/>
      <w:lvlText w:val="•"/>
      <w:lvlJc w:val="left"/>
      <w:pPr>
        <w:ind w:left="8816" w:hanging="168"/>
      </w:pPr>
      <w:rPr>
        <w:rFonts w:hint="default"/>
        <w:lang w:val="es-ES" w:eastAsia="es-ES" w:bidi="es-ES"/>
      </w:rPr>
    </w:lvl>
  </w:abstractNum>
  <w:abstractNum w:abstractNumId="4">
    <w:multiLevelType w:val="hybridMultilevel"/>
    <w:lvl w:ilvl="0">
      <w:start w:val="1"/>
      <w:numFmt w:val="decimal"/>
      <w:lvlText w:val="%1."/>
      <w:lvlJc w:val="left"/>
      <w:pPr>
        <w:ind w:left="1074"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034" w:hanging="168"/>
      </w:pPr>
      <w:rPr>
        <w:rFonts w:hint="default"/>
        <w:lang w:val="es-ES" w:eastAsia="es-ES" w:bidi="es-ES"/>
      </w:rPr>
    </w:lvl>
    <w:lvl w:ilvl="2">
      <w:start w:val="0"/>
      <w:numFmt w:val="bullet"/>
      <w:lvlText w:val="•"/>
      <w:lvlJc w:val="left"/>
      <w:pPr>
        <w:ind w:left="2989" w:hanging="168"/>
      </w:pPr>
      <w:rPr>
        <w:rFonts w:hint="default"/>
        <w:lang w:val="es-ES" w:eastAsia="es-ES" w:bidi="es-ES"/>
      </w:rPr>
    </w:lvl>
    <w:lvl w:ilvl="3">
      <w:start w:val="0"/>
      <w:numFmt w:val="bullet"/>
      <w:lvlText w:val="•"/>
      <w:lvlJc w:val="left"/>
      <w:pPr>
        <w:ind w:left="3943" w:hanging="168"/>
      </w:pPr>
      <w:rPr>
        <w:rFonts w:hint="default"/>
        <w:lang w:val="es-ES" w:eastAsia="es-ES" w:bidi="es-ES"/>
      </w:rPr>
    </w:lvl>
    <w:lvl w:ilvl="4">
      <w:start w:val="0"/>
      <w:numFmt w:val="bullet"/>
      <w:lvlText w:val="•"/>
      <w:lvlJc w:val="left"/>
      <w:pPr>
        <w:ind w:left="4898" w:hanging="168"/>
      </w:pPr>
      <w:rPr>
        <w:rFonts w:hint="default"/>
        <w:lang w:val="es-ES" w:eastAsia="es-ES" w:bidi="es-ES"/>
      </w:rPr>
    </w:lvl>
    <w:lvl w:ilvl="5">
      <w:start w:val="0"/>
      <w:numFmt w:val="bullet"/>
      <w:lvlText w:val="•"/>
      <w:lvlJc w:val="left"/>
      <w:pPr>
        <w:ind w:left="5852" w:hanging="168"/>
      </w:pPr>
      <w:rPr>
        <w:rFonts w:hint="default"/>
        <w:lang w:val="es-ES" w:eastAsia="es-ES" w:bidi="es-ES"/>
      </w:rPr>
    </w:lvl>
    <w:lvl w:ilvl="6">
      <w:start w:val="0"/>
      <w:numFmt w:val="bullet"/>
      <w:lvlText w:val="•"/>
      <w:lvlJc w:val="left"/>
      <w:pPr>
        <w:ind w:left="6807" w:hanging="168"/>
      </w:pPr>
      <w:rPr>
        <w:rFonts w:hint="default"/>
        <w:lang w:val="es-ES" w:eastAsia="es-ES" w:bidi="es-ES"/>
      </w:rPr>
    </w:lvl>
    <w:lvl w:ilvl="7">
      <w:start w:val="0"/>
      <w:numFmt w:val="bullet"/>
      <w:lvlText w:val="•"/>
      <w:lvlJc w:val="left"/>
      <w:pPr>
        <w:ind w:left="7761" w:hanging="168"/>
      </w:pPr>
      <w:rPr>
        <w:rFonts w:hint="default"/>
        <w:lang w:val="es-ES" w:eastAsia="es-ES" w:bidi="es-ES"/>
      </w:rPr>
    </w:lvl>
    <w:lvl w:ilvl="8">
      <w:start w:val="0"/>
      <w:numFmt w:val="bullet"/>
      <w:lvlText w:val="•"/>
      <w:lvlJc w:val="left"/>
      <w:pPr>
        <w:ind w:left="8716" w:hanging="168"/>
      </w:pPr>
      <w:rPr>
        <w:rFonts w:hint="default"/>
        <w:lang w:val="es-ES" w:eastAsia="es-ES" w:bidi="es-ES"/>
      </w:rPr>
    </w:lvl>
  </w:abstractNum>
  <w:abstractNum w:abstractNumId="3">
    <w:multiLevelType w:val="hybridMultilevel"/>
    <w:lvl w:ilvl="0">
      <w:start w:val="1"/>
      <w:numFmt w:val="lowerLetter"/>
      <w:lvlText w:val="%1)"/>
      <w:lvlJc w:val="left"/>
      <w:pPr>
        <w:ind w:left="1074" w:hanging="23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8"/>
      </w:pPr>
      <w:rPr>
        <w:rFonts w:hint="default"/>
        <w:lang w:val="es-ES" w:eastAsia="es-ES" w:bidi="es-ES"/>
      </w:rPr>
    </w:lvl>
    <w:lvl w:ilvl="2">
      <w:start w:val="0"/>
      <w:numFmt w:val="bullet"/>
      <w:lvlText w:val="•"/>
      <w:lvlJc w:val="left"/>
      <w:pPr>
        <w:ind w:left="2989" w:hanging="238"/>
      </w:pPr>
      <w:rPr>
        <w:rFonts w:hint="default"/>
        <w:lang w:val="es-ES" w:eastAsia="es-ES" w:bidi="es-ES"/>
      </w:rPr>
    </w:lvl>
    <w:lvl w:ilvl="3">
      <w:start w:val="0"/>
      <w:numFmt w:val="bullet"/>
      <w:lvlText w:val="•"/>
      <w:lvlJc w:val="left"/>
      <w:pPr>
        <w:ind w:left="3943" w:hanging="238"/>
      </w:pPr>
      <w:rPr>
        <w:rFonts w:hint="default"/>
        <w:lang w:val="es-ES" w:eastAsia="es-ES" w:bidi="es-ES"/>
      </w:rPr>
    </w:lvl>
    <w:lvl w:ilvl="4">
      <w:start w:val="0"/>
      <w:numFmt w:val="bullet"/>
      <w:lvlText w:val="•"/>
      <w:lvlJc w:val="left"/>
      <w:pPr>
        <w:ind w:left="4898" w:hanging="238"/>
      </w:pPr>
      <w:rPr>
        <w:rFonts w:hint="default"/>
        <w:lang w:val="es-ES" w:eastAsia="es-ES" w:bidi="es-ES"/>
      </w:rPr>
    </w:lvl>
    <w:lvl w:ilvl="5">
      <w:start w:val="0"/>
      <w:numFmt w:val="bullet"/>
      <w:lvlText w:val="•"/>
      <w:lvlJc w:val="left"/>
      <w:pPr>
        <w:ind w:left="5852" w:hanging="238"/>
      </w:pPr>
      <w:rPr>
        <w:rFonts w:hint="default"/>
        <w:lang w:val="es-ES" w:eastAsia="es-ES" w:bidi="es-ES"/>
      </w:rPr>
    </w:lvl>
    <w:lvl w:ilvl="6">
      <w:start w:val="0"/>
      <w:numFmt w:val="bullet"/>
      <w:lvlText w:val="•"/>
      <w:lvlJc w:val="left"/>
      <w:pPr>
        <w:ind w:left="6807" w:hanging="238"/>
      </w:pPr>
      <w:rPr>
        <w:rFonts w:hint="default"/>
        <w:lang w:val="es-ES" w:eastAsia="es-ES" w:bidi="es-ES"/>
      </w:rPr>
    </w:lvl>
    <w:lvl w:ilvl="7">
      <w:start w:val="0"/>
      <w:numFmt w:val="bullet"/>
      <w:lvlText w:val="•"/>
      <w:lvlJc w:val="left"/>
      <w:pPr>
        <w:ind w:left="7761" w:hanging="238"/>
      </w:pPr>
      <w:rPr>
        <w:rFonts w:hint="default"/>
        <w:lang w:val="es-ES" w:eastAsia="es-ES" w:bidi="es-ES"/>
      </w:rPr>
    </w:lvl>
    <w:lvl w:ilvl="8">
      <w:start w:val="0"/>
      <w:numFmt w:val="bullet"/>
      <w:lvlText w:val="•"/>
      <w:lvlJc w:val="left"/>
      <w:pPr>
        <w:ind w:left="8716" w:hanging="238"/>
      </w:pPr>
      <w:rPr>
        <w:rFonts w:hint="default"/>
        <w:lang w:val="es-ES" w:eastAsia="es-ES" w:bidi="es-ES"/>
      </w:rPr>
    </w:lvl>
  </w:abstractNum>
  <w:abstractNum w:abstractNumId="2">
    <w:multiLevelType w:val="hybridMultilevel"/>
    <w:lvl w:ilvl="0">
      <w:start w:val="5"/>
      <w:numFmt w:val="decimal"/>
      <w:lvlText w:val="%1"/>
      <w:lvlJc w:val="left"/>
      <w:pPr>
        <w:ind w:left="2018" w:hanging="945"/>
        <w:jc w:val="left"/>
      </w:pPr>
      <w:rPr>
        <w:rFonts w:hint="default"/>
        <w:lang w:val="es-ES" w:eastAsia="es-ES" w:bidi="es-ES"/>
      </w:rPr>
    </w:lvl>
    <w:lvl w:ilvl="1">
      <w:start w:val="350"/>
      <w:numFmt w:val="decimal"/>
      <w:lvlText w:val="%1.%2"/>
      <w:lvlJc w:val="left"/>
      <w:pPr>
        <w:ind w:left="2018" w:hanging="945"/>
        <w:jc w:val="left"/>
      </w:pPr>
      <w:rPr>
        <w:rFonts w:hint="default"/>
        <w:lang w:val="es-ES" w:eastAsia="es-ES" w:bidi="es-ES"/>
      </w:rPr>
    </w:lvl>
    <w:lvl w:ilvl="2">
      <w:start w:val="0"/>
      <w:numFmt w:val="decimalZero"/>
      <w:lvlText w:val="%1.%2.%3"/>
      <w:lvlJc w:val="left"/>
      <w:pPr>
        <w:ind w:left="2018" w:hanging="945"/>
        <w:jc w:val="left"/>
      </w:pPr>
      <w:rPr>
        <w:rFonts w:hint="default" w:ascii="Arial" w:hAnsi="Arial" w:eastAsia="Arial" w:cs="Arial"/>
        <w:spacing w:val="-1"/>
        <w:w w:val="100"/>
        <w:sz w:val="20"/>
        <w:szCs w:val="20"/>
        <w:lang w:val="es-ES" w:eastAsia="es-ES" w:bidi="es-ES"/>
      </w:rPr>
    </w:lvl>
    <w:lvl w:ilvl="3">
      <w:start w:val="1"/>
      <w:numFmt w:val="lowerLetter"/>
      <w:lvlText w:val="%4)"/>
      <w:lvlJc w:val="left"/>
      <w:pPr>
        <w:ind w:left="1074" w:hanging="237"/>
        <w:jc w:val="left"/>
      </w:pPr>
      <w:rPr>
        <w:rFonts w:hint="default" w:ascii="Arial" w:hAnsi="Arial" w:eastAsia="Arial" w:cs="Arial"/>
        <w:spacing w:val="-1"/>
        <w:w w:val="100"/>
        <w:sz w:val="20"/>
        <w:szCs w:val="20"/>
        <w:lang w:val="es-ES" w:eastAsia="es-ES" w:bidi="es-ES"/>
      </w:rPr>
    </w:lvl>
    <w:lvl w:ilvl="4">
      <w:start w:val="0"/>
      <w:numFmt w:val="bullet"/>
      <w:lvlText w:val="•"/>
      <w:lvlJc w:val="left"/>
      <w:pPr>
        <w:ind w:left="4888" w:hanging="237"/>
      </w:pPr>
      <w:rPr>
        <w:rFonts w:hint="default"/>
        <w:lang w:val="es-ES" w:eastAsia="es-ES" w:bidi="es-ES"/>
      </w:rPr>
    </w:lvl>
    <w:lvl w:ilvl="5">
      <w:start w:val="0"/>
      <w:numFmt w:val="bullet"/>
      <w:lvlText w:val="•"/>
      <w:lvlJc w:val="left"/>
      <w:pPr>
        <w:ind w:left="5844" w:hanging="237"/>
      </w:pPr>
      <w:rPr>
        <w:rFonts w:hint="default"/>
        <w:lang w:val="es-ES" w:eastAsia="es-ES" w:bidi="es-ES"/>
      </w:rPr>
    </w:lvl>
    <w:lvl w:ilvl="6">
      <w:start w:val="0"/>
      <w:numFmt w:val="bullet"/>
      <w:lvlText w:val="•"/>
      <w:lvlJc w:val="left"/>
      <w:pPr>
        <w:ind w:left="6800" w:hanging="237"/>
      </w:pPr>
      <w:rPr>
        <w:rFonts w:hint="default"/>
        <w:lang w:val="es-ES" w:eastAsia="es-ES" w:bidi="es-ES"/>
      </w:rPr>
    </w:lvl>
    <w:lvl w:ilvl="7">
      <w:start w:val="0"/>
      <w:numFmt w:val="bullet"/>
      <w:lvlText w:val="•"/>
      <w:lvlJc w:val="left"/>
      <w:pPr>
        <w:ind w:left="7757" w:hanging="237"/>
      </w:pPr>
      <w:rPr>
        <w:rFonts w:hint="default"/>
        <w:lang w:val="es-ES" w:eastAsia="es-ES" w:bidi="es-ES"/>
      </w:rPr>
    </w:lvl>
    <w:lvl w:ilvl="8">
      <w:start w:val="0"/>
      <w:numFmt w:val="bullet"/>
      <w:lvlText w:val="•"/>
      <w:lvlJc w:val="left"/>
      <w:pPr>
        <w:ind w:left="8713" w:hanging="237"/>
      </w:pPr>
      <w:rPr>
        <w:rFonts w:hint="default"/>
        <w:lang w:val="es-ES" w:eastAsia="es-ES" w:bidi="es-ES"/>
      </w:rPr>
    </w:lvl>
  </w:abstractNum>
  <w:abstractNum w:abstractNumId="1">
    <w:multiLevelType w:val="hybridMultilevel"/>
    <w:lvl w:ilvl="0">
      <w:start w:val="1"/>
      <w:numFmt w:val="lowerLetter"/>
      <w:lvlText w:val="%1)"/>
      <w:lvlJc w:val="left"/>
      <w:pPr>
        <w:ind w:left="1074" w:hanging="240"/>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40"/>
      </w:pPr>
      <w:rPr>
        <w:rFonts w:hint="default"/>
        <w:lang w:val="es-ES" w:eastAsia="es-ES" w:bidi="es-ES"/>
      </w:rPr>
    </w:lvl>
    <w:lvl w:ilvl="2">
      <w:start w:val="0"/>
      <w:numFmt w:val="bullet"/>
      <w:lvlText w:val="•"/>
      <w:lvlJc w:val="left"/>
      <w:pPr>
        <w:ind w:left="2989" w:hanging="240"/>
      </w:pPr>
      <w:rPr>
        <w:rFonts w:hint="default"/>
        <w:lang w:val="es-ES" w:eastAsia="es-ES" w:bidi="es-ES"/>
      </w:rPr>
    </w:lvl>
    <w:lvl w:ilvl="3">
      <w:start w:val="0"/>
      <w:numFmt w:val="bullet"/>
      <w:lvlText w:val="•"/>
      <w:lvlJc w:val="left"/>
      <w:pPr>
        <w:ind w:left="3943" w:hanging="240"/>
      </w:pPr>
      <w:rPr>
        <w:rFonts w:hint="default"/>
        <w:lang w:val="es-ES" w:eastAsia="es-ES" w:bidi="es-ES"/>
      </w:rPr>
    </w:lvl>
    <w:lvl w:ilvl="4">
      <w:start w:val="0"/>
      <w:numFmt w:val="bullet"/>
      <w:lvlText w:val="•"/>
      <w:lvlJc w:val="left"/>
      <w:pPr>
        <w:ind w:left="4898" w:hanging="240"/>
      </w:pPr>
      <w:rPr>
        <w:rFonts w:hint="default"/>
        <w:lang w:val="es-ES" w:eastAsia="es-ES" w:bidi="es-ES"/>
      </w:rPr>
    </w:lvl>
    <w:lvl w:ilvl="5">
      <w:start w:val="0"/>
      <w:numFmt w:val="bullet"/>
      <w:lvlText w:val="•"/>
      <w:lvlJc w:val="left"/>
      <w:pPr>
        <w:ind w:left="5852" w:hanging="240"/>
      </w:pPr>
      <w:rPr>
        <w:rFonts w:hint="default"/>
        <w:lang w:val="es-ES" w:eastAsia="es-ES" w:bidi="es-ES"/>
      </w:rPr>
    </w:lvl>
    <w:lvl w:ilvl="6">
      <w:start w:val="0"/>
      <w:numFmt w:val="bullet"/>
      <w:lvlText w:val="•"/>
      <w:lvlJc w:val="left"/>
      <w:pPr>
        <w:ind w:left="6807" w:hanging="240"/>
      </w:pPr>
      <w:rPr>
        <w:rFonts w:hint="default"/>
        <w:lang w:val="es-ES" w:eastAsia="es-ES" w:bidi="es-ES"/>
      </w:rPr>
    </w:lvl>
    <w:lvl w:ilvl="7">
      <w:start w:val="0"/>
      <w:numFmt w:val="bullet"/>
      <w:lvlText w:val="•"/>
      <w:lvlJc w:val="left"/>
      <w:pPr>
        <w:ind w:left="7761" w:hanging="240"/>
      </w:pPr>
      <w:rPr>
        <w:rFonts w:hint="default"/>
        <w:lang w:val="es-ES" w:eastAsia="es-ES" w:bidi="es-ES"/>
      </w:rPr>
    </w:lvl>
    <w:lvl w:ilvl="8">
      <w:start w:val="0"/>
      <w:numFmt w:val="bullet"/>
      <w:lvlText w:val="•"/>
      <w:lvlJc w:val="left"/>
      <w:pPr>
        <w:ind w:left="8716" w:hanging="240"/>
      </w:pPr>
      <w:rPr>
        <w:rFonts w:hint="default"/>
        <w:lang w:val="es-ES" w:eastAsia="es-ES" w:bidi="es-ES"/>
      </w:rPr>
    </w:lvl>
  </w:abstractNum>
  <w:abstractNum w:abstractNumId="0">
    <w:multiLevelType w:val="hybridMultilevel"/>
    <w:lvl w:ilvl="0">
      <w:start w:val="1"/>
      <w:numFmt w:val="decimal"/>
      <w:lvlText w:val="%1."/>
      <w:lvlJc w:val="left"/>
      <w:pPr>
        <w:ind w:left="1074" w:hanging="239"/>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2034" w:hanging="239"/>
      </w:pPr>
      <w:rPr>
        <w:rFonts w:hint="default"/>
        <w:lang w:val="es-ES" w:eastAsia="es-ES" w:bidi="es-ES"/>
      </w:rPr>
    </w:lvl>
    <w:lvl w:ilvl="2">
      <w:start w:val="0"/>
      <w:numFmt w:val="bullet"/>
      <w:lvlText w:val="•"/>
      <w:lvlJc w:val="left"/>
      <w:pPr>
        <w:ind w:left="2989" w:hanging="239"/>
      </w:pPr>
      <w:rPr>
        <w:rFonts w:hint="default"/>
        <w:lang w:val="es-ES" w:eastAsia="es-ES" w:bidi="es-ES"/>
      </w:rPr>
    </w:lvl>
    <w:lvl w:ilvl="3">
      <w:start w:val="0"/>
      <w:numFmt w:val="bullet"/>
      <w:lvlText w:val="•"/>
      <w:lvlJc w:val="left"/>
      <w:pPr>
        <w:ind w:left="3943" w:hanging="239"/>
      </w:pPr>
      <w:rPr>
        <w:rFonts w:hint="default"/>
        <w:lang w:val="es-ES" w:eastAsia="es-ES" w:bidi="es-ES"/>
      </w:rPr>
    </w:lvl>
    <w:lvl w:ilvl="4">
      <w:start w:val="0"/>
      <w:numFmt w:val="bullet"/>
      <w:lvlText w:val="•"/>
      <w:lvlJc w:val="left"/>
      <w:pPr>
        <w:ind w:left="4898" w:hanging="239"/>
      </w:pPr>
      <w:rPr>
        <w:rFonts w:hint="default"/>
        <w:lang w:val="es-ES" w:eastAsia="es-ES" w:bidi="es-ES"/>
      </w:rPr>
    </w:lvl>
    <w:lvl w:ilvl="5">
      <w:start w:val="0"/>
      <w:numFmt w:val="bullet"/>
      <w:lvlText w:val="•"/>
      <w:lvlJc w:val="left"/>
      <w:pPr>
        <w:ind w:left="5852" w:hanging="239"/>
      </w:pPr>
      <w:rPr>
        <w:rFonts w:hint="default"/>
        <w:lang w:val="es-ES" w:eastAsia="es-ES" w:bidi="es-ES"/>
      </w:rPr>
    </w:lvl>
    <w:lvl w:ilvl="6">
      <w:start w:val="0"/>
      <w:numFmt w:val="bullet"/>
      <w:lvlText w:val="•"/>
      <w:lvlJc w:val="left"/>
      <w:pPr>
        <w:ind w:left="6807" w:hanging="239"/>
      </w:pPr>
      <w:rPr>
        <w:rFonts w:hint="default"/>
        <w:lang w:val="es-ES" w:eastAsia="es-ES" w:bidi="es-ES"/>
      </w:rPr>
    </w:lvl>
    <w:lvl w:ilvl="7">
      <w:start w:val="0"/>
      <w:numFmt w:val="bullet"/>
      <w:lvlText w:val="•"/>
      <w:lvlJc w:val="left"/>
      <w:pPr>
        <w:ind w:left="7761" w:hanging="239"/>
      </w:pPr>
      <w:rPr>
        <w:rFonts w:hint="default"/>
        <w:lang w:val="es-ES" w:eastAsia="es-ES" w:bidi="es-ES"/>
      </w:rPr>
    </w:lvl>
    <w:lvl w:ilvl="8">
      <w:start w:val="0"/>
      <w:numFmt w:val="bullet"/>
      <w:lvlText w:val="•"/>
      <w:lvlJc w:val="left"/>
      <w:pPr>
        <w:ind w:left="8716" w:hanging="239"/>
      </w:pPr>
      <w:rPr>
        <w:rFonts w:hint="default"/>
        <w:lang w:val="es-ES" w:eastAsia="es-ES" w:bidi="es-ES"/>
      </w:rPr>
    </w:lvl>
  </w:abstractNum>
  <w:num w:numId="522">
    <w:abstractNumId w:val="521"/>
  </w:num>
  <w:num w:numId="521">
    <w:abstractNumId w:val="520"/>
  </w:num>
  <w:num w:numId="520">
    <w:abstractNumId w:val="519"/>
  </w:num>
  <w:num w:numId="519">
    <w:abstractNumId w:val="518"/>
  </w:num>
  <w:num w:numId="518">
    <w:abstractNumId w:val="517"/>
  </w:num>
  <w:num w:numId="517">
    <w:abstractNumId w:val="516"/>
  </w:num>
  <w:num w:numId="516">
    <w:abstractNumId w:val="515"/>
  </w:num>
  <w:num w:numId="515">
    <w:abstractNumId w:val="514"/>
  </w:num>
  <w:num w:numId="514">
    <w:abstractNumId w:val="513"/>
  </w:num>
  <w:num w:numId="513">
    <w:abstractNumId w:val="512"/>
  </w:num>
  <w:num w:numId="512">
    <w:abstractNumId w:val="511"/>
  </w:num>
  <w:num w:numId="511">
    <w:abstractNumId w:val="510"/>
  </w:num>
  <w:num w:numId="510">
    <w:abstractNumId w:val="509"/>
  </w:num>
  <w:num w:numId="509">
    <w:abstractNumId w:val="508"/>
  </w:num>
  <w:num w:numId="508">
    <w:abstractNumId w:val="507"/>
  </w:num>
  <w:num w:numId="507">
    <w:abstractNumId w:val="506"/>
  </w:num>
  <w:num w:numId="506">
    <w:abstractNumId w:val="505"/>
  </w:num>
  <w:num w:numId="505">
    <w:abstractNumId w:val="504"/>
  </w:num>
  <w:num w:numId="504">
    <w:abstractNumId w:val="503"/>
  </w:num>
  <w:num w:numId="503">
    <w:abstractNumId w:val="502"/>
  </w:num>
  <w:num w:numId="502">
    <w:abstractNumId w:val="501"/>
  </w:num>
  <w:num w:numId="501">
    <w:abstractNumId w:val="500"/>
  </w:num>
  <w:num w:numId="500">
    <w:abstractNumId w:val="499"/>
  </w:num>
  <w:num w:numId="499">
    <w:abstractNumId w:val="498"/>
  </w:num>
  <w:num w:numId="498">
    <w:abstractNumId w:val="497"/>
  </w:num>
  <w:num w:numId="497">
    <w:abstractNumId w:val="496"/>
  </w:num>
  <w:num w:numId="496">
    <w:abstractNumId w:val="495"/>
  </w:num>
  <w:num w:numId="495">
    <w:abstractNumId w:val="494"/>
  </w:num>
  <w:num w:numId="494">
    <w:abstractNumId w:val="493"/>
  </w:num>
  <w:num w:numId="493">
    <w:abstractNumId w:val="492"/>
  </w:num>
  <w:num w:numId="492">
    <w:abstractNumId w:val="491"/>
  </w:num>
  <w:num w:numId="491">
    <w:abstractNumId w:val="490"/>
  </w:num>
  <w:num w:numId="490">
    <w:abstractNumId w:val="489"/>
  </w:num>
  <w:num w:numId="489">
    <w:abstractNumId w:val="488"/>
  </w:num>
  <w:num w:numId="488">
    <w:abstractNumId w:val="487"/>
  </w:num>
  <w:num w:numId="487">
    <w:abstractNumId w:val="486"/>
  </w:num>
  <w:num w:numId="486">
    <w:abstractNumId w:val="485"/>
  </w:num>
  <w:num w:numId="485">
    <w:abstractNumId w:val="484"/>
  </w:num>
  <w:num w:numId="484">
    <w:abstractNumId w:val="483"/>
  </w:num>
  <w:num w:numId="483">
    <w:abstractNumId w:val="482"/>
  </w:num>
  <w:num w:numId="482">
    <w:abstractNumId w:val="481"/>
  </w:num>
  <w:num w:numId="481">
    <w:abstractNumId w:val="480"/>
  </w:num>
  <w:num w:numId="480">
    <w:abstractNumId w:val="479"/>
  </w:num>
  <w:num w:numId="479">
    <w:abstractNumId w:val="478"/>
  </w:num>
  <w:num w:numId="478">
    <w:abstractNumId w:val="477"/>
  </w:num>
  <w:num w:numId="477">
    <w:abstractNumId w:val="476"/>
  </w:num>
  <w:num w:numId="476">
    <w:abstractNumId w:val="475"/>
  </w:num>
  <w:num w:numId="475">
    <w:abstractNumId w:val="474"/>
  </w:num>
  <w:num w:numId="474">
    <w:abstractNumId w:val="473"/>
  </w:num>
  <w:num w:numId="473">
    <w:abstractNumId w:val="472"/>
  </w:num>
  <w:num w:numId="472">
    <w:abstractNumId w:val="471"/>
  </w:num>
  <w:num w:numId="471">
    <w:abstractNumId w:val="470"/>
  </w:num>
  <w:num w:numId="470">
    <w:abstractNumId w:val="469"/>
  </w:num>
  <w:num w:numId="469">
    <w:abstractNumId w:val="468"/>
  </w:num>
  <w:num w:numId="468">
    <w:abstractNumId w:val="467"/>
  </w:num>
  <w:num w:numId="467">
    <w:abstractNumId w:val="466"/>
  </w:num>
  <w:num w:numId="466">
    <w:abstractNumId w:val="465"/>
  </w:num>
  <w:num w:numId="465">
    <w:abstractNumId w:val="464"/>
  </w:num>
  <w:num w:numId="464">
    <w:abstractNumId w:val="463"/>
  </w:num>
  <w:num w:numId="463">
    <w:abstractNumId w:val="462"/>
  </w:num>
  <w:num w:numId="462">
    <w:abstractNumId w:val="461"/>
  </w:num>
  <w:num w:numId="461">
    <w:abstractNumId w:val="460"/>
  </w:num>
  <w:num w:numId="460">
    <w:abstractNumId w:val="459"/>
  </w:num>
  <w:num w:numId="459">
    <w:abstractNumId w:val="458"/>
  </w:num>
  <w:num w:numId="458">
    <w:abstractNumId w:val="457"/>
  </w:num>
  <w:num w:numId="457">
    <w:abstractNumId w:val="456"/>
  </w:num>
  <w:num w:numId="456">
    <w:abstractNumId w:val="455"/>
  </w:num>
  <w:num w:numId="455">
    <w:abstractNumId w:val="454"/>
  </w:num>
  <w:num w:numId="454">
    <w:abstractNumId w:val="453"/>
  </w:num>
  <w:num w:numId="453">
    <w:abstractNumId w:val="452"/>
  </w:num>
  <w:num w:numId="452">
    <w:abstractNumId w:val="451"/>
  </w:num>
  <w:num w:numId="451">
    <w:abstractNumId w:val="450"/>
  </w:num>
  <w:num w:numId="450">
    <w:abstractNumId w:val="449"/>
  </w:num>
  <w:num w:numId="449">
    <w:abstractNumId w:val="448"/>
  </w:num>
  <w:num w:numId="448">
    <w:abstractNumId w:val="447"/>
  </w:num>
  <w:num w:numId="447">
    <w:abstractNumId w:val="446"/>
  </w:num>
  <w:num w:numId="446">
    <w:abstractNumId w:val="445"/>
  </w:num>
  <w:num w:numId="445">
    <w:abstractNumId w:val="444"/>
  </w:num>
  <w:num w:numId="444">
    <w:abstractNumId w:val="443"/>
  </w:num>
  <w:num w:numId="443">
    <w:abstractNumId w:val="442"/>
  </w:num>
  <w:num w:numId="442">
    <w:abstractNumId w:val="441"/>
  </w:num>
  <w:num w:numId="441">
    <w:abstractNumId w:val="440"/>
  </w:num>
  <w:num w:numId="440">
    <w:abstractNumId w:val="439"/>
  </w:num>
  <w:num w:numId="439">
    <w:abstractNumId w:val="438"/>
  </w:num>
  <w:num w:numId="438">
    <w:abstractNumId w:val="437"/>
  </w:num>
  <w:num w:numId="437">
    <w:abstractNumId w:val="436"/>
  </w:num>
  <w:num w:numId="436">
    <w:abstractNumId w:val="435"/>
  </w:num>
  <w:num w:numId="435">
    <w:abstractNumId w:val="434"/>
  </w:num>
  <w:num w:numId="434">
    <w:abstractNumId w:val="433"/>
  </w:num>
  <w:num w:numId="433">
    <w:abstractNumId w:val="432"/>
  </w:num>
  <w:num w:numId="432">
    <w:abstractNumId w:val="431"/>
  </w:num>
  <w:num w:numId="431">
    <w:abstractNumId w:val="430"/>
  </w:num>
  <w:num w:numId="430">
    <w:abstractNumId w:val="429"/>
  </w:num>
  <w:num w:numId="429">
    <w:abstractNumId w:val="428"/>
  </w:num>
  <w:num w:numId="428">
    <w:abstractNumId w:val="427"/>
  </w:num>
  <w:num w:numId="427">
    <w:abstractNumId w:val="426"/>
  </w:num>
  <w:num w:numId="426">
    <w:abstractNumId w:val="425"/>
  </w:num>
  <w:num w:numId="425">
    <w:abstractNumId w:val="424"/>
  </w:num>
  <w:num w:numId="424">
    <w:abstractNumId w:val="423"/>
  </w:num>
  <w:num w:numId="423">
    <w:abstractNumId w:val="422"/>
  </w:num>
  <w:num w:numId="422">
    <w:abstractNumId w:val="421"/>
  </w:num>
  <w:num w:numId="421">
    <w:abstractNumId w:val="420"/>
  </w:num>
  <w:num w:numId="420">
    <w:abstractNumId w:val="419"/>
  </w:num>
  <w:num w:numId="419">
    <w:abstractNumId w:val="418"/>
  </w:num>
  <w:num w:numId="418">
    <w:abstractNumId w:val="417"/>
  </w:num>
  <w:num w:numId="417">
    <w:abstractNumId w:val="416"/>
  </w:num>
  <w:num w:numId="416">
    <w:abstractNumId w:val="415"/>
  </w:num>
  <w:num w:numId="415">
    <w:abstractNumId w:val="414"/>
  </w:num>
  <w:num w:numId="414">
    <w:abstractNumId w:val="413"/>
  </w:num>
  <w:num w:numId="413">
    <w:abstractNumId w:val="412"/>
  </w:num>
  <w:num w:numId="412">
    <w:abstractNumId w:val="411"/>
  </w:num>
  <w:num w:numId="411">
    <w:abstractNumId w:val="410"/>
  </w:num>
  <w:num w:numId="410">
    <w:abstractNumId w:val="409"/>
  </w:num>
  <w:num w:numId="409">
    <w:abstractNumId w:val="408"/>
  </w:num>
  <w:num w:numId="408">
    <w:abstractNumId w:val="407"/>
  </w:num>
  <w:num w:numId="407">
    <w:abstractNumId w:val="406"/>
  </w:num>
  <w:num w:numId="406">
    <w:abstractNumId w:val="405"/>
  </w:num>
  <w:num w:numId="405">
    <w:abstractNumId w:val="404"/>
  </w:num>
  <w:num w:numId="404">
    <w:abstractNumId w:val="403"/>
  </w:num>
  <w:num w:numId="403">
    <w:abstractNumId w:val="402"/>
  </w:num>
  <w:num w:numId="402">
    <w:abstractNumId w:val="401"/>
  </w:num>
  <w:num w:numId="401">
    <w:abstractNumId w:val="400"/>
  </w:num>
  <w:num w:numId="400">
    <w:abstractNumId w:val="399"/>
  </w:num>
  <w:num w:numId="399">
    <w:abstractNumId w:val="398"/>
  </w:num>
  <w:num w:numId="398">
    <w:abstractNumId w:val="397"/>
  </w:num>
  <w:num w:numId="397">
    <w:abstractNumId w:val="396"/>
  </w:num>
  <w:num w:numId="396">
    <w:abstractNumId w:val="395"/>
  </w:num>
  <w:num w:numId="395">
    <w:abstractNumId w:val="394"/>
  </w:num>
  <w:num w:numId="394">
    <w:abstractNumId w:val="393"/>
  </w:num>
  <w:num w:numId="393">
    <w:abstractNumId w:val="392"/>
  </w:num>
  <w:num w:numId="392">
    <w:abstractNumId w:val="391"/>
  </w:num>
  <w:num w:numId="391">
    <w:abstractNumId w:val="390"/>
  </w:num>
  <w:num w:numId="390">
    <w:abstractNumId w:val="389"/>
  </w:num>
  <w:num w:numId="389">
    <w:abstractNumId w:val="388"/>
  </w:num>
  <w:num w:numId="388">
    <w:abstractNumId w:val="387"/>
  </w:num>
  <w:num w:numId="387">
    <w:abstractNumId w:val="386"/>
  </w:num>
  <w:num w:numId="386">
    <w:abstractNumId w:val="385"/>
  </w:num>
  <w:num w:numId="385">
    <w:abstractNumId w:val="384"/>
  </w:num>
  <w:num w:numId="384">
    <w:abstractNumId w:val="383"/>
  </w:num>
  <w:num w:numId="383">
    <w:abstractNumId w:val="382"/>
  </w:num>
  <w:num w:numId="382">
    <w:abstractNumId w:val="381"/>
  </w:num>
  <w:num w:numId="381">
    <w:abstractNumId w:val="380"/>
  </w:num>
  <w:num w:numId="380">
    <w:abstractNumId w:val="379"/>
  </w:num>
  <w:num w:numId="379">
    <w:abstractNumId w:val="378"/>
  </w:num>
  <w:num w:numId="378">
    <w:abstractNumId w:val="377"/>
  </w:num>
  <w:num w:numId="377">
    <w:abstractNumId w:val="376"/>
  </w:num>
  <w:num w:numId="376">
    <w:abstractNumId w:val="375"/>
  </w:num>
  <w:num w:numId="375">
    <w:abstractNumId w:val="374"/>
  </w:num>
  <w:num w:numId="374">
    <w:abstractNumId w:val="373"/>
  </w:num>
  <w:num w:numId="373">
    <w:abstractNumId w:val="372"/>
  </w:num>
  <w:num w:numId="372">
    <w:abstractNumId w:val="371"/>
  </w:num>
  <w:num w:numId="371">
    <w:abstractNumId w:val="370"/>
  </w:num>
  <w:num w:numId="370">
    <w:abstractNumId w:val="369"/>
  </w:num>
  <w:num w:numId="369">
    <w:abstractNumId w:val="368"/>
  </w:num>
  <w:num w:numId="368">
    <w:abstractNumId w:val="367"/>
  </w:num>
  <w:num w:numId="367">
    <w:abstractNumId w:val="366"/>
  </w:num>
  <w:num w:numId="366">
    <w:abstractNumId w:val="365"/>
  </w:num>
  <w:num w:numId="365">
    <w:abstractNumId w:val="364"/>
  </w:num>
  <w:num w:numId="364">
    <w:abstractNumId w:val="363"/>
  </w:num>
  <w:num w:numId="363">
    <w:abstractNumId w:val="362"/>
  </w:num>
  <w:num w:numId="362">
    <w:abstractNumId w:val="361"/>
  </w:num>
  <w:num w:numId="361">
    <w:abstractNumId w:val="360"/>
  </w:num>
  <w:num w:numId="360">
    <w:abstractNumId w:val="359"/>
  </w:num>
  <w:num w:numId="359">
    <w:abstractNumId w:val="358"/>
  </w:num>
  <w:num w:numId="358">
    <w:abstractNumId w:val="357"/>
  </w:num>
  <w:num w:numId="357">
    <w:abstractNumId w:val="356"/>
  </w:num>
  <w:num w:numId="356">
    <w:abstractNumId w:val="355"/>
  </w:num>
  <w:num w:numId="355">
    <w:abstractNumId w:val="354"/>
  </w:num>
  <w:num w:numId="354">
    <w:abstractNumId w:val="353"/>
  </w:num>
  <w:num w:numId="353">
    <w:abstractNumId w:val="352"/>
  </w:num>
  <w:num w:numId="352">
    <w:abstractNumId w:val="351"/>
  </w:num>
  <w:num w:numId="351">
    <w:abstractNumId w:val="350"/>
  </w:num>
  <w:num w:numId="350">
    <w:abstractNumId w:val="349"/>
  </w:num>
  <w:num w:numId="349">
    <w:abstractNumId w:val="348"/>
  </w:num>
  <w:num w:numId="348">
    <w:abstractNumId w:val="347"/>
  </w:num>
  <w:num w:numId="347">
    <w:abstractNumId w:val="346"/>
  </w:num>
  <w:num w:numId="346">
    <w:abstractNumId w:val="345"/>
  </w:num>
  <w:num w:numId="345">
    <w:abstractNumId w:val="344"/>
  </w:num>
  <w:num w:numId="344">
    <w:abstractNumId w:val="343"/>
  </w:num>
  <w:num w:numId="343">
    <w:abstractNumId w:val="342"/>
  </w:num>
  <w:num w:numId="342">
    <w:abstractNumId w:val="341"/>
  </w:num>
  <w:num w:numId="341">
    <w:abstractNumId w:val="340"/>
  </w:num>
  <w:num w:numId="340">
    <w:abstractNumId w:val="339"/>
  </w:num>
  <w:num w:numId="339">
    <w:abstractNumId w:val="338"/>
  </w:num>
  <w:num w:numId="338">
    <w:abstractNumId w:val="337"/>
  </w:num>
  <w:num w:numId="337">
    <w:abstractNumId w:val="336"/>
  </w:num>
  <w:num w:numId="336">
    <w:abstractNumId w:val="335"/>
  </w:num>
  <w:num w:numId="335">
    <w:abstractNumId w:val="334"/>
  </w:num>
  <w:num w:numId="334">
    <w:abstractNumId w:val="333"/>
  </w:num>
  <w:num w:numId="333">
    <w:abstractNumId w:val="332"/>
  </w:num>
  <w:num w:numId="332">
    <w:abstractNumId w:val="331"/>
  </w:num>
  <w:num w:numId="331">
    <w:abstractNumId w:val="330"/>
  </w:num>
  <w:num w:numId="330">
    <w:abstractNumId w:val="329"/>
  </w:num>
  <w:num w:numId="329">
    <w:abstractNumId w:val="328"/>
  </w:num>
  <w:num w:numId="328">
    <w:abstractNumId w:val="327"/>
  </w:num>
  <w:num w:numId="327">
    <w:abstractNumId w:val="326"/>
  </w:num>
  <w:num w:numId="326">
    <w:abstractNumId w:val="325"/>
  </w:num>
  <w:num w:numId="325">
    <w:abstractNumId w:val="324"/>
  </w:num>
  <w:num w:numId="324">
    <w:abstractNumId w:val="323"/>
  </w:num>
  <w:num w:numId="323">
    <w:abstractNumId w:val="322"/>
  </w:num>
  <w:num w:numId="322">
    <w:abstractNumId w:val="321"/>
  </w:num>
  <w:num w:numId="321">
    <w:abstractNumId w:val="320"/>
  </w:num>
  <w:num w:numId="320">
    <w:abstractNumId w:val="319"/>
  </w:num>
  <w:num w:numId="319">
    <w:abstractNumId w:val="318"/>
  </w:num>
  <w:num w:numId="318">
    <w:abstractNumId w:val="317"/>
  </w:num>
  <w:num w:numId="317">
    <w:abstractNumId w:val="316"/>
  </w:num>
  <w:num w:numId="316">
    <w:abstractNumId w:val="315"/>
  </w:num>
  <w:num w:numId="315">
    <w:abstractNumId w:val="314"/>
  </w:num>
  <w:num w:numId="314">
    <w:abstractNumId w:val="313"/>
  </w:num>
  <w:num w:numId="313">
    <w:abstractNumId w:val="312"/>
  </w:num>
  <w:num w:numId="312">
    <w:abstractNumId w:val="311"/>
  </w:num>
  <w:num w:numId="311">
    <w:abstractNumId w:val="310"/>
  </w:num>
  <w:num w:numId="310">
    <w:abstractNumId w:val="309"/>
  </w:num>
  <w:num w:numId="309">
    <w:abstractNumId w:val="308"/>
  </w:num>
  <w:num w:numId="308">
    <w:abstractNumId w:val="307"/>
  </w:num>
  <w:num w:numId="307">
    <w:abstractNumId w:val="306"/>
  </w:num>
  <w:num w:numId="306">
    <w:abstractNumId w:val="305"/>
  </w:num>
  <w:num w:numId="305">
    <w:abstractNumId w:val="304"/>
  </w:num>
  <w:num w:numId="304">
    <w:abstractNumId w:val="303"/>
  </w:num>
  <w:num w:numId="303">
    <w:abstractNumId w:val="302"/>
  </w:num>
  <w:num w:numId="302">
    <w:abstractNumId w:val="301"/>
  </w:num>
  <w:num w:numId="301">
    <w:abstractNumId w:val="300"/>
  </w:num>
  <w:num w:numId="300">
    <w:abstractNumId w:val="299"/>
  </w:num>
  <w:num w:numId="299">
    <w:abstractNumId w:val="298"/>
  </w:num>
  <w:num w:numId="298">
    <w:abstractNumId w:val="297"/>
  </w:num>
  <w:num w:numId="297">
    <w:abstractNumId w:val="296"/>
  </w:num>
  <w:num w:numId="296">
    <w:abstractNumId w:val="295"/>
  </w:num>
  <w:num w:numId="295">
    <w:abstractNumId w:val="294"/>
  </w:num>
  <w:num w:numId="294">
    <w:abstractNumId w:val="293"/>
  </w:num>
  <w:num w:numId="293">
    <w:abstractNumId w:val="292"/>
  </w:num>
  <w:num w:numId="292">
    <w:abstractNumId w:val="291"/>
  </w:num>
  <w:num w:numId="291">
    <w:abstractNumId w:val="290"/>
  </w:num>
  <w:num w:numId="290">
    <w:abstractNumId w:val="289"/>
  </w:num>
  <w:num w:numId="289">
    <w:abstractNumId w:val="288"/>
  </w:num>
  <w:num w:numId="288">
    <w:abstractNumId w:val="287"/>
  </w:num>
  <w:num w:numId="287">
    <w:abstractNumId w:val="286"/>
  </w:num>
  <w:num w:numId="286">
    <w:abstractNumId w:val="285"/>
  </w:num>
  <w:num w:numId="285">
    <w:abstractNumId w:val="284"/>
  </w:num>
  <w:num w:numId="284">
    <w:abstractNumId w:val="283"/>
  </w:num>
  <w:num w:numId="283">
    <w:abstractNumId w:val="282"/>
  </w:num>
  <w:num w:numId="282">
    <w:abstractNumId w:val="281"/>
  </w:num>
  <w:num w:numId="281">
    <w:abstractNumId w:val="280"/>
  </w:num>
  <w:num w:numId="280">
    <w:abstractNumId w:val="279"/>
  </w:num>
  <w:num w:numId="279">
    <w:abstractNumId w:val="278"/>
  </w:num>
  <w:num w:numId="278">
    <w:abstractNumId w:val="277"/>
  </w:num>
  <w:num w:numId="277">
    <w:abstractNumId w:val="276"/>
  </w:num>
  <w:num w:numId="276">
    <w:abstractNumId w:val="275"/>
  </w:num>
  <w:num w:numId="275">
    <w:abstractNumId w:val="274"/>
  </w:num>
  <w:num w:numId="274">
    <w:abstractNumId w:val="273"/>
  </w:num>
  <w:num w:numId="273">
    <w:abstractNumId w:val="272"/>
  </w:num>
  <w:num w:numId="272">
    <w:abstractNumId w:val="271"/>
  </w:num>
  <w:num w:numId="271">
    <w:abstractNumId w:val="270"/>
  </w:num>
  <w:num w:numId="270">
    <w:abstractNumId w:val="269"/>
  </w:num>
  <w:num w:numId="269">
    <w:abstractNumId w:val="268"/>
  </w:num>
  <w:num w:numId="268">
    <w:abstractNumId w:val="267"/>
  </w:num>
  <w:num w:numId="267">
    <w:abstractNumId w:val="266"/>
  </w:num>
  <w:num w:numId="266">
    <w:abstractNumId w:val="265"/>
  </w:num>
  <w:num w:numId="265">
    <w:abstractNumId w:val="264"/>
  </w:num>
  <w:num w:numId="264">
    <w:abstractNumId w:val="263"/>
  </w:num>
  <w:num w:numId="263">
    <w:abstractNumId w:val="262"/>
  </w:num>
  <w:num w:numId="262">
    <w:abstractNumId w:val="261"/>
  </w:num>
  <w:num w:numId="261">
    <w:abstractNumId w:val="260"/>
  </w:num>
  <w:num w:numId="260">
    <w:abstractNumId w:val="259"/>
  </w:num>
  <w:num w:numId="259">
    <w:abstractNumId w:val="258"/>
  </w:num>
  <w:num w:numId="258">
    <w:abstractNumId w:val="257"/>
  </w:num>
  <w:num w:numId="257">
    <w:abstractNumId w:val="256"/>
  </w:num>
  <w:num w:numId="256">
    <w:abstractNumId w:val="255"/>
  </w:num>
  <w:num w:numId="255">
    <w:abstractNumId w:val="254"/>
  </w:num>
  <w:num w:numId="254">
    <w:abstractNumId w:val="253"/>
  </w:num>
  <w:num w:numId="253">
    <w:abstractNumId w:val="252"/>
  </w:num>
  <w:num w:numId="252">
    <w:abstractNumId w:val="251"/>
  </w:num>
  <w:num w:numId="251">
    <w:abstractNumId w:val="250"/>
  </w:num>
  <w:num w:numId="250">
    <w:abstractNumId w:val="249"/>
  </w:num>
  <w:num w:numId="249">
    <w:abstractNumId w:val="248"/>
  </w:num>
  <w:num w:numId="248">
    <w:abstractNumId w:val="247"/>
  </w:num>
  <w:num w:numId="247">
    <w:abstractNumId w:val="246"/>
  </w:num>
  <w:num w:numId="246">
    <w:abstractNumId w:val="245"/>
  </w:num>
  <w:num w:numId="245">
    <w:abstractNumId w:val="244"/>
  </w:num>
  <w:num w:numId="244">
    <w:abstractNumId w:val="243"/>
  </w:num>
  <w:num w:numId="243">
    <w:abstractNumId w:val="242"/>
  </w:num>
  <w:num w:numId="242">
    <w:abstractNumId w:val="241"/>
  </w:num>
  <w:num w:numId="241">
    <w:abstractNumId w:val="240"/>
  </w:num>
  <w:num w:numId="240">
    <w:abstractNumId w:val="239"/>
  </w:num>
  <w:num w:numId="239">
    <w:abstractNumId w:val="238"/>
  </w:num>
  <w:num w:numId="238">
    <w:abstractNumId w:val="237"/>
  </w:num>
  <w:num w:numId="237">
    <w:abstractNumId w:val="236"/>
  </w:num>
  <w:num w:numId="236">
    <w:abstractNumId w:val="235"/>
  </w:num>
  <w:num w:numId="235">
    <w:abstractNumId w:val="234"/>
  </w:num>
  <w:num w:numId="234">
    <w:abstractNumId w:val="233"/>
  </w:num>
  <w:num w:numId="233">
    <w:abstractNumId w:val="232"/>
  </w:num>
  <w:num w:numId="232">
    <w:abstractNumId w:val="231"/>
  </w:num>
  <w:num w:numId="231">
    <w:abstractNumId w:val="230"/>
  </w:num>
  <w:num w:numId="230">
    <w:abstractNumId w:val="229"/>
  </w:num>
  <w:num w:numId="229">
    <w:abstractNumId w:val="228"/>
  </w:num>
  <w:num w:numId="228">
    <w:abstractNumId w:val="227"/>
  </w:num>
  <w:num w:numId="227">
    <w:abstractNumId w:val="226"/>
  </w:num>
  <w:num w:numId="226">
    <w:abstractNumId w:val="225"/>
  </w:num>
  <w:num w:numId="225">
    <w:abstractNumId w:val="224"/>
  </w:num>
  <w:num w:numId="224">
    <w:abstractNumId w:val="223"/>
  </w:num>
  <w:num w:numId="223">
    <w:abstractNumId w:val="222"/>
  </w:num>
  <w:num w:numId="222">
    <w:abstractNumId w:val="221"/>
  </w:num>
  <w:num w:numId="221">
    <w:abstractNumId w:val="220"/>
  </w:num>
  <w:num w:numId="220">
    <w:abstractNumId w:val="219"/>
  </w:num>
  <w:num w:numId="219">
    <w:abstractNumId w:val="218"/>
  </w:num>
  <w:num w:numId="218">
    <w:abstractNumId w:val="217"/>
  </w:num>
  <w:num w:numId="217">
    <w:abstractNumId w:val="216"/>
  </w:num>
  <w:num w:numId="216">
    <w:abstractNumId w:val="215"/>
  </w:num>
  <w:num w:numId="215">
    <w:abstractNumId w:val="214"/>
  </w:num>
  <w:num w:numId="214">
    <w:abstractNumId w:val="213"/>
  </w:num>
  <w:num w:numId="213">
    <w:abstractNumId w:val="212"/>
  </w:num>
  <w:num w:numId="212">
    <w:abstractNumId w:val="211"/>
  </w:num>
  <w:num w:numId="211">
    <w:abstractNumId w:val="210"/>
  </w:num>
  <w:num w:numId="210">
    <w:abstractNumId w:val="209"/>
  </w:num>
  <w:num w:numId="209">
    <w:abstractNumId w:val="208"/>
  </w:num>
  <w:num w:numId="208">
    <w:abstractNumId w:val="207"/>
  </w:num>
  <w:num w:numId="207">
    <w:abstractNumId w:val="206"/>
  </w:num>
  <w:num w:numId="206">
    <w:abstractNumId w:val="205"/>
  </w:num>
  <w:num w:numId="205">
    <w:abstractNumId w:val="204"/>
  </w:num>
  <w:num w:numId="204">
    <w:abstractNumId w:val="203"/>
  </w:num>
  <w:num w:numId="203">
    <w:abstractNumId w:val="202"/>
  </w:num>
  <w:num w:numId="202">
    <w:abstractNumId w:val="201"/>
  </w:num>
  <w:num w:numId="201">
    <w:abstractNumId w:val="200"/>
  </w:num>
  <w:num w:numId="200">
    <w:abstractNumId w:val="199"/>
  </w:num>
  <w:num w:numId="199">
    <w:abstractNumId w:val="198"/>
  </w:num>
  <w:num w:numId="198">
    <w:abstractNumId w:val="197"/>
  </w:num>
  <w:num w:numId="197">
    <w:abstractNumId w:val="196"/>
  </w:num>
  <w:num w:numId="196">
    <w:abstractNumId w:val="195"/>
  </w:num>
  <w:num w:numId="195">
    <w:abstractNumId w:val="194"/>
  </w:num>
  <w:num w:numId="194">
    <w:abstractNumId w:val="193"/>
  </w:num>
  <w:num w:numId="193">
    <w:abstractNumId w:val="192"/>
  </w:num>
  <w:num w:numId="192">
    <w:abstractNumId w:val="191"/>
  </w:num>
  <w:num w:numId="191">
    <w:abstractNumId w:val="190"/>
  </w:num>
  <w:num w:numId="190">
    <w:abstractNumId w:val="189"/>
  </w:num>
  <w:num w:numId="189">
    <w:abstractNumId w:val="188"/>
  </w:num>
  <w:num w:numId="188">
    <w:abstractNumId w:val="187"/>
  </w:num>
  <w:num w:numId="187">
    <w:abstractNumId w:val="186"/>
  </w:num>
  <w:num w:numId="186">
    <w:abstractNumId w:val="185"/>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s-ES" w:bidi="es-ES"/>
    </w:rPr>
  </w:style>
  <w:style w:styleId="BodyText" w:type="paragraph">
    <w:name w:val="Body Text"/>
    <w:basedOn w:val="Normal"/>
    <w:uiPriority w:val="1"/>
    <w:qFormat/>
    <w:pPr>
      <w:spacing w:before="2"/>
      <w:ind w:left="1074" w:firstLine="340"/>
      <w:jc w:val="both"/>
    </w:pPr>
    <w:rPr>
      <w:rFonts w:ascii="Arial" w:hAnsi="Arial" w:eastAsia="Arial" w:cs="Arial"/>
      <w:sz w:val="20"/>
      <w:szCs w:val="20"/>
      <w:lang w:val="es-ES" w:eastAsia="es-ES" w:bidi="es-ES"/>
    </w:rPr>
  </w:style>
  <w:style w:styleId="Heading1" w:type="paragraph">
    <w:name w:val="Heading 1"/>
    <w:basedOn w:val="Normal"/>
    <w:uiPriority w:val="1"/>
    <w:qFormat/>
    <w:pPr>
      <w:spacing w:before="123"/>
      <w:ind w:left="1414" w:right="3127"/>
      <w:jc w:val="center"/>
      <w:outlineLvl w:val="1"/>
    </w:pPr>
    <w:rPr>
      <w:rFonts w:ascii="Arial" w:hAnsi="Arial" w:eastAsia="Arial" w:cs="Arial"/>
      <w:b/>
      <w:bCs/>
      <w:sz w:val="20"/>
      <w:szCs w:val="20"/>
      <w:lang w:val="es-ES" w:eastAsia="es-ES" w:bidi="es-ES"/>
    </w:rPr>
  </w:style>
  <w:style w:styleId="Heading2" w:type="paragraph">
    <w:name w:val="Heading 2"/>
    <w:basedOn w:val="Normal"/>
    <w:uiPriority w:val="1"/>
    <w:qFormat/>
    <w:pPr>
      <w:ind w:left="1414" w:right="3127"/>
      <w:jc w:val="center"/>
      <w:outlineLvl w:val="2"/>
    </w:pPr>
    <w:rPr>
      <w:rFonts w:ascii="Arial" w:hAnsi="Arial" w:eastAsia="Arial" w:cs="Arial"/>
      <w:b/>
      <w:bCs/>
      <w:i/>
      <w:sz w:val="20"/>
      <w:szCs w:val="20"/>
      <w:lang w:val="es-ES" w:eastAsia="es-ES" w:bidi="es-ES"/>
    </w:rPr>
  </w:style>
  <w:style w:styleId="ListParagraph" w:type="paragraph">
    <w:name w:val="List Paragraph"/>
    <w:basedOn w:val="Normal"/>
    <w:uiPriority w:val="1"/>
    <w:qFormat/>
    <w:pPr>
      <w:spacing w:before="2"/>
      <w:ind w:left="1074" w:right="1273" w:firstLine="340"/>
      <w:jc w:val="both"/>
    </w:pPr>
    <w:rPr>
      <w:rFonts w:ascii="Arial" w:hAnsi="Arial" w:eastAsia="Arial" w:cs="Arial"/>
      <w:lang w:val="es-ES" w:eastAsia="es-ES" w:bidi="es-ES"/>
    </w:rPr>
  </w:style>
  <w:style w:styleId="TableParagraph" w:type="paragraph">
    <w:name w:val="Table Paragraph"/>
    <w:basedOn w:val="Normal"/>
    <w:uiPriority w:val="1"/>
    <w:qFormat/>
    <w:pPr/>
    <w:rPr>
      <w:rFonts w:ascii="Arial" w:hAnsi="Arial" w:eastAsia="Arial" w:cs="Arial"/>
      <w:lang w:val="es-ES" w:eastAsia="es-ES" w:bidi="es-E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Agencia Estatal Boletín Oficial del Estado</dc:creator>
  <cp:keywords>BOE-A-2020-1651; BOE; Legislación consolidada; Agencia Estatal Boletín Oficial del Estado</cp:keywords>
  <dc:subject>BOE-A-2020-1651 actualizado a 5 de febrero de 2020</dc:subject>
  <dc:title>Real Decreto-ley 3/2020, de 4 de febrero, de medidas urgentes por el que se incorporan al ordenamiento jurídico español diversas directivas de la Unión Europea en el ámbito de la contratación pública en determinados sectores; de seguros privados; de planes y fondos de pensiones; del ámbito tributario y de litigios fiscales.</dc:title>
  <dcterms:created xsi:type="dcterms:W3CDTF">2020-03-17T09:57:11Z</dcterms:created>
  <dcterms:modified xsi:type="dcterms:W3CDTF">2020-03-17T09:57:11Z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2020-02-05T00:00:00Z</vt:filetime>
  </property>
  <property fmtid="{D5CDD505-2E9C-101B-9397-08002B2CF9AE}" pid="3" name="Creator">
    <vt:lpwstr>AH XSL Formatter V6.5 MR3a for Linux64 : 6.5.6.32017 (2018/02/07 09:59JST)</vt:lpwstr>
  </property>
  <property fmtid="{D5CDD505-2E9C-101B-9397-08002B2CF9AE}" pid="4" name="LastSaved">
    <vt:filetime>2020-03-17T00:00:00Z</vt:filetime>
  </property>
</Properties>
</file>