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53"/>
        <w:ind w:left="2158" w:right="2158" w:firstLine="0"/>
        <w:jc w:val="center"/>
        <w:rPr>
          <w:b/>
          <w:sz w:val="26"/>
        </w:rPr>
      </w:pPr>
      <w:r>
        <w:rPr>
          <w:b/>
          <w:color w:val="231F20"/>
          <w:sz w:val="26"/>
        </w:rPr>
        <w:t>III. Otras Resoluciones</w:t>
      </w:r>
    </w:p>
    <w:p>
      <w:pPr>
        <w:pStyle w:val="BodyText"/>
        <w:spacing w:before="11"/>
        <w:rPr>
          <w:b/>
          <w:sz w:val="24"/>
        </w:rPr>
      </w:pPr>
    </w:p>
    <w:p>
      <w:pPr>
        <w:pStyle w:val="Heading1"/>
      </w:pPr>
      <w:r>
        <w:rPr>
          <w:color w:val="231F20"/>
        </w:rPr>
        <w:t>Consejería de Empleo, Industria y Comercio</w:t>
      </w:r>
    </w:p>
    <w:p>
      <w:pPr>
        <w:pStyle w:val="BodyText"/>
        <w:spacing w:before="6"/>
        <w:rPr>
          <w:b/>
          <w:sz w:val="26"/>
        </w:rPr>
      </w:pPr>
    </w:p>
    <w:p>
      <w:pPr>
        <w:spacing w:line="259" w:lineRule="auto" w:before="0"/>
        <w:ind w:left="871" w:right="302" w:hanging="567"/>
        <w:jc w:val="both"/>
        <w:rPr>
          <w:i/>
          <w:sz w:val="22"/>
        </w:rPr>
      </w:pPr>
      <w:r>
        <w:rPr>
          <w:b/>
          <w:color w:val="231F20"/>
          <w:sz w:val="22"/>
        </w:rPr>
        <w:t>87 </w:t>
      </w:r>
      <w:r>
        <w:rPr>
          <w:i/>
          <w:color w:val="231F20"/>
          <w:sz w:val="22"/>
        </w:rPr>
        <w:t>ORDEN de 20 de diciembre de 2013, por la que se aprueba la modificación de las </w:t>
      </w:r>
      <w:r>
        <w:rPr>
          <w:i/>
          <w:color w:val="231F20"/>
          <w:sz w:val="22"/>
        </w:rPr>
        <w:t>tarifas del servicio urbano de transporte colectivo de viajeros, solicitada para su aplicación en el municipio de Las Palmas de Gran Canaria.</w:t>
      </w:r>
    </w:p>
    <w:p>
      <w:pPr>
        <w:pStyle w:val="BodyText"/>
        <w:spacing w:before="2"/>
        <w:rPr>
          <w:i/>
          <w:sz w:val="24"/>
        </w:rPr>
      </w:pPr>
    </w:p>
    <w:p>
      <w:pPr>
        <w:pStyle w:val="BodyText"/>
        <w:spacing w:line="259" w:lineRule="auto"/>
        <w:ind w:left="304" w:right="301" w:firstLine="283"/>
        <w:jc w:val="both"/>
      </w:pPr>
      <w:r>
        <w:rPr>
          <w:color w:val="231F20"/>
        </w:rPr>
        <w:t>Examinado el expediente tramitado en la Dirección General de Comercio y Consumo para</w:t>
      </w:r>
      <w:r>
        <w:rPr>
          <w:color w:val="231F20"/>
          <w:spacing w:val="-14"/>
        </w:rPr>
        <w:t> </w:t>
      </w:r>
      <w:r>
        <w:rPr>
          <w:color w:val="231F20"/>
        </w:rPr>
        <w:t>resolver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petición</w:t>
      </w:r>
      <w:r>
        <w:rPr>
          <w:color w:val="231F20"/>
          <w:spacing w:val="-14"/>
        </w:rPr>
        <w:t> </w:t>
      </w:r>
      <w:r>
        <w:rPr>
          <w:color w:val="231F20"/>
        </w:rPr>
        <w:t>formulada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Excmo.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Ayuntamiento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Palmas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Gran</w:t>
      </w:r>
      <w:r>
        <w:rPr>
          <w:color w:val="231F20"/>
          <w:spacing w:val="-14"/>
        </w:rPr>
        <w:t> </w:t>
      </w:r>
      <w:r>
        <w:rPr>
          <w:color w:val="231F20"/>
        </w:rPr>
        <w:t>Ca- naria,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modificación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tarifas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servicio</w:t>
      </w:r>
      <w:r>
        <w:rPr>
          <w:color w:val="231F20"/>
          <w:spacing w:val="-10"/>
        </w:rPr>
        <w:t> </w:t>
      </w:r>
      <w:r>
        <w:rPr>
          <w:color w:val="231F20"/>
        </w:rPr>
        <w:t>urbano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transporte</w:t>
      </w:r>
      <w:r>
        <w:rPr>
          <w:color w:val="231F20"/>
          <w:spacing w:val="-9"/>
        </w:rPr>
        <w:t> </w:t>
      </w:r>
      <w:r>
        <w:rPr>
          <w:color w:val="231F20"/>
        </w:rPr>
        <w:t>colectivo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viajeros, para su aplicación en ese</w:t>
      </w:r>
      <w:r>
        <w:rPr>
          <w:color w:val="231F20"/>
          <w:spacing w:val="-18"/>
        </w:rPr>
        <w:t> </w:t>
      </w:r>
      <w:r>
        <w:rPr>
          <w:color w:val="231F20"/>
        </w:rPr>
        <w:t>municipio.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59" w:lineRule="auto"/>
        <w:ind w:left="304" w:right="303" w:firstLine="283"/>
        <w:jc w:val="both"/>
      </w:pPr>
      <w:r>
        <w:rPr>
          <w:color w:val="231F20"/>
        </w:rPr>
        <w:t>Vista la Propuesta del Director General de Comercio y Consumo y teniendo en cuenta los siguientes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3617" w:val="left" w:leader="none"/>
        </w:tabs>
        <w:spacing w:line="240" w:lineRule="auto" w:before="1" w:after="0"/>
        <w:ind w:left="3616" w:right="0" w:hanging="149"/>
        <w:jc w:val="left"/>
        <w:rPr>
          <w:b/>
          <w:sz w:val="18"/>
        </w:rPr>
      </w:pPr>
      <w:r>
        <w:rPr>
          <w:b/>
          <w:color w:val="231F20"/>
          <w:sz w:val="18"/>
        </w:rPr>
        <w:t>ANTECEDENTES</w:t>
      </w:r>
    </w:p>
    <w:p>
      <w:pPr>
        <w:pStyle w:val="BodyText"/>
        <w:spacing w:before="5"/>
        <w:rPr>
          <w:b/>
          <w:sz w:val="26"/>
        </w:rPr>
      </w:pPr>
    </w:p>
    <w:p>
      <w:pPr>
        <w:pStyle w:val="BodyText"/>
        <w:spacing w:line="259" w:lineRule="auto"/>
        <w:ind w:left="304" w:right="302" w:firstLine="283"/>
        <w:jc w:val="both"/>
      </w:pPr>
      <w:r>
        <w:rPr>
          <w:color w:val="231F20"/>
        </w:rPr>
        <w:t>1º) Con fecha 12 de noviembre de 2013, tiene entrada en este Departamento solicitud de</w:t>
      </w:r>
      <w:r>
        <w:rPr>
          <w:color w:val="231F20"/>
          <w:spacing w:val="-4"/>
        </w:rPr>
        <w:t> </w:t>
      </w:r>
      <w:r>
        <w:rPr>
          <w:color w:val="231F20"/>
        </w:rPr>
        <w:t>modificación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tarifas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servicio</w:t>
      </w:r>
      <w:r>
        <w:rPr>
          <w:color w:val="231F20"/>
          <w:spacing w:val="-4"/>
        </w:rPr>
        <w:t> </w:t>
      </w:r>
      <w:r>
        <w:rPr>
          <w:color w:val="231F20"/>
        </w:rPr>
        <w:t>urbano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transporte</w:t>
      </w:r>
      <w:r>
        <w:rPr>
          <w:color w:val="231F20"/>
          <w:spacing w:val="-4"/>
        </w:rPr>
        <w:t> </w:t>
      </w:r>
      <w:r>
        <w:rPr>
          <w:color w:val="231F20"/>
        </w:rPr>
        <w:t>colectivo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viajeros,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instan- cia del Excmo. Ayuntamiento de Las Palmas de Gran Canaria, para su aplicación en ese municipio.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59" w:lineRule="auto"/>
        <w:ind w:left="304" w:right="300" w:firstLine="283"/>
        <w:jc w:val="both"/>
      </w:pPr>
      <w:r>
        <w:rPr>
          <w:color w:val="231F20"/>
        </w:rPr>
        <w:t>2º) El Grupo de </w:t>
      </w:r>
      <w:r>
        <w:rPr>
          <w:color w:val="231F20"/>
          <w:spacing w:val="-3"/>
        </w:rPr>
        <w:t>Trabajo </w:t>
      </w:r>
      <w:r>
        <w:rPr>
          <w:color w:val="231F20"/>
        </w:rPr>
        <w:t>de la Comisión de Precios de Canarias, en sesión celebrada el día</w:t>
      </w:r>
      <w:r>
        <w:rPr>
          <w:color w:val="231F20"/>
          <w:spacing w:val="-14"/>
        </w:rPr>
        <w:t> </w:t>
      </w:r>
      <w:r>
        <w:rPr>
          <w:color w:val="231F20"/>
        </w:rPr>
        <w:t>17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diciembre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2013,</w:t>
      </w:r>
      <w:r>
        <w:rPr>
          <w:color w:val="231F20"/>
          <w:spacing w:val="-14"/>
        </w:rPr>
        <w:t> </w:t>
      </w:r>
      <w:r>
        <w:rPr>
          <w:color w:val="231F20"/>
        </w:rPr>
        <w:t>elaboró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correspondiente</w:t>
      </w:r>
      <w:r>
        <w:rPr>
          <w:color w:val="231F20"/>
          <w:spacing w:val="-14"/>
        </w:rPr>
        <w:t> </w:t>
      </w:r>
      <w:r>
        <w:rPr>
          <w:color w:val="231F20"/>
        </w:rPr>
        <w:t>informe,</w:t>
      </w:r>
      <w:r>
        <w:rPr>
          <w:color w:val="231F20"/>
          <w:spacing w:val="-13"/>
        </w:rPr>
        <w:t> </w:t>
      </w:r>
      <w:r>
        <w:rPr>
          <w:color w:val="231F20"/>
        </w:rPr>
        <w:t>acordándose</w:t>
      </w:r>
      <w:r>
        <w:rPr>
          <w:color w:val="231F20"/>
          <w:spacing w:val="-14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elevación al Pleno de la</w:t>
      </w:r>
      <w:r>
        <w:rPr>
          <w:color w:val="231F20"/>
          <w:spacing w:val="-14"/>
        </w:rPr>
        <w:t> </w:t>
      </w:r>
      <w:r>
        <w:rPr>
          <w:color w:val="231F20"/>
        </w:rPr>
        <w:t>Comisión.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259" w:lineRule="auto"/>
        <w:ind w:left="304" w:right="301" w:firstLine="283"/>
        <w:jc w:val="both"/>
      </w:pPr>
      <w:r>
        <w:rPr>
          <w:color w:val="231F20"/>
        </w:rPr>
        <w:t>3º) A la vista del informe, la Comisión de Precios de Canarias, en sesión plenaria cele- brada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día</w:t>
      </w:r>
      <w:r>
        <w:rPr>
          <w:color w:val="231F20"/>
          <w:spacing w:val="-19"/>
        </w:rPr>
        <w:t> </w:t>
      </w:r>
      <w:r>
        <w:rPr>
          <w:color w:val="231F20"/>
        </w:rPr>
        <w:t>17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diciembre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2013,</w:t>
      </w:r>
      <w:r>
        <w:rPr>
          <w:color w:val="231F20"/>
          <w:spacing w:val="-19"/>
        </w:rPr>
        <w:t> </w:t>
      </w:r>
      <w:r>
        <w:rPr>
          <w:color w:val="231F20"/>
        </w:rPr>
        <w:t>dictaminó</w:t>
      </w:r>
      <w:r>
        <w:rPr>
          <w:color w:val="231F20"/>
          <w:spacing w:val="-19"/>
        </w:rPr>
        <w:t> </w:t>
      </w:r>
      <w:r>
        <w:rPr>
          <w:color w:val="231F20"/>
        </w:rPr>
        <w:t>emitir</w:t>
      </w:r>
      <w:r>
        <w:rPr>
          <w:color w:val="231F20"/>
          <w:spacing w:val="-19"/>
        </w:rPr>
        <w:t> </w:t>
      </w:r>
      <w:r>
        <w:rPr>
          <w:color w:val="231F20"/>
        </w:rPr>
        <w:t>propuesta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aprobar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incremento de las tarifas solicitadas por el interesado, todo ello sobre la base de las consideraciones reflejadas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Acta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sesión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informe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Grupo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Trabajo,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deberán</w:t>
      </w:r>
      <w:r>
        <w:rPr>
          <w:color w:val="231F20"/>
          <w:spacing w:val="-7"/>
        </w:rPr>
        <w:t> </w:t>
      </w:r>
      <w:r>
        <w:rPr>
          <w:color w:val="231F20"/>
        </w:rPr>
        <w:t>ser</w:t>
      </w:r>
      <w:r>
        <w:rPr>
          <w:color w:val="231F20"/>
          <w:spacing w:val="-6"/>
        </w:rPr>
        <w:t> </w:t>
      </w:r>
      <w:r>
        <w:rPr>
          <w:color w:val="231F20"/>
        </w:rPr>
        <w:t>de- bidamente notificados a los</w:t>
      </w:r>
      <w:r>
        <w:rPr>
          <w:color w:val="231F20"/>
          <w:spacing w:val="-15"/>
        </w:rPr>
        <w:t> </w:t>
      </w:r>
      <w:r>
        <w:rPr>
          <w:color w:val="231F20"/>
          <w:spacing w:val="-2"/>
        </w:rPr>
        <w:t>interesados.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2999" w:val="left" w:leader="none"/>
        </w:tabs>
        <w:spacing w:line="240" w:lineRule="auto" w:before="0" w:after="0"/>
        <w:ind w:left="2998" w:right="0" w:hanging="227"/>
        <w:jc w:val="left"/>
        <w:rPr>
          <w:b/>
          <w:sz w:val="18"/>
        </w:rPr>
      </w:pPr>
      <w:r>
        <w:rPr>
          <w:b/>
          <w:color w:val="231F20"/>
          <w:sz w:val="18"/>
        </w:rPr>
        <w:t>CONSIDERACIONES</w:t>
      </w:r>
      <w:r>
        <w:rPr>
          <w:b/>
          <w:color w:val="231F20"/>
          <w:spacing w:val="-3"/>
          <w:sz w:val="18"/>
        </w:rPr>
        <w:t> </w:t>
      </w:r>
      <w:r>
        <w:rPr>
          <w:b/>
          <w:color w:val="231F20"/>
          <w:sz w:val="18"/>
        </w:rPr>
        <w:t>JURÍDICAS</w:t>
      </w:r>
    </w:p>
    <w:p>
      <w:pPr>
        <w:pStyle w:val="BodyText"/>
        <w:spacing w:before="6"/>
        <w:rPr>
          <w:b/>
          <w:sz w:val="26"/>
        </w:rPr>
      </w:pPr>
    </w:p>
    <w:p>
      <w:pPr>
        <w:pStyle w:val="BodyText"/>
        <w:spacing w:line="259" w:lineRule="auto"/>
        <w:ind w:left="304" w:right="301" w:firstLine="283"/>
        <w:jc w:val="both"/>
      </w:pPr>
      <w:r>
        <w:rPr>
          <w:b/>
          <w:color w:val="231F20"/>
        </w:rPr>
        <w:t>Primera.- </w:t>
      </w:r>
      <w:r>
        <w:rPr>
          <w:color w:val="231F20"/>
        </w:rPr>
        <w:t>El expediente ha sido tramitado con sujeción al procedimiento establecido 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Decreto</w:t>
      </w:r>
      <w:r>
        <w:rPr>
          <w:color w:val="231F20"/>
          <w:spacing w:val="-8"/>
        </w:rPr>
        <w:t> </w:t>
      </w:r>
      <w:r>
        <w:rPr>
          <w:color w:val="231F20"/>
        </w:rPr>
        <w:t>64/2000,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25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abril,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regula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procedimiento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implan- tación y modificación de precios de los bienes y servicios autorizados y comunicados de ámbito</w:t>
      </w:r>
      <w:r>
        <w:rPr>
          <w:color w:val="231F20"/>
          <w:spacing w:val="-5"/>
        </w:rPr>
        <w:t> </w:t>
      </w:r>
      <w:r>
        <w:rPr>
          <w:color w:val="231F20"/>
        </w:rPr>
        <w:t>autonómico,</w:t>
      </w:r>
      <w:r>
        <w:rPr>
          <w:color w:val="231F20"/>
          <w:spacing w:val="-5"/>
        </w:rPr>
        <w:t> </w:t>
      </w:r>
      <w:r>
        <w:rPr>
          <w:color w:val="231F20"/>
        </w:rPr>
        <w:t>modificado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Decreto</w:t>
      </w:r>
      <w:r>
        <w:rPr>
          <w:color w:val="231F20"/>
          <w:spacing w:val="-4"/>
        </w:rPr>
        <w:t> </w:t>
      </w:r>
      <w:r>
        <w:rPr>
          <w:color w:val="231F20"/>
          <w:spacing w:val="-3"/>
        </w:rPr>
        <w:t>77/2011,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24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  <w:spacing w:val="-2"/>
        </w:rPr>
        <w:t>marzo.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59" w:lineRule="auto"/>
        <w:ind w:left="304" w:right="300" w:firstLine="283"/>
        <w:jc w:val="both"/>
      </w:pPr>
      <w:r>
        <w:rPr>
          <w:b/>
          <w:color w:val="231F20"/>
        </w:rPr>
        <w:t>Segunda.- </w:t>
      </w:r>
      <w:r>
        <w:rPr>
          <w:color w:val="231F20"/>
        </w:rPr>
        <w:t>La Ley 7/1985, de 2 de abril, reguladora de las Bases del Régimen Local, y el</w:t>
      </w:r>
      <w:r>
        <w:rPr>
          <w:color w:val="231F20"/>
          <w:spacing w:val="-9"/>
        </w:rPr>
        <w:t> </w:t>
      </w:r>
      <w:r>
        <w:rPr>
          <w:color w:val="231F20"/>
        </w:rPr>
        <w:t>Real</w:t>
      </w:r>
      <w:r>
        <w:rPr>
          <w:color w:val="231F20"/>
          <w:spacing w:val="-8"/>
        </w:rPr>
        <w:t> </w:t>
      </w:r>
      <w:r>
        <w:rPr>
          <w:color w:val="231F20"/>
        </w:rPr>
        <w:t>Decreto</w:t>
      </w:r>
      <w:r>
        <w:rPr>
          <w:color w:val="231F20"/>
          <w:spacing w:val="-8"/>
        </w:rPr>
        <w:t> </w:t>
      </w:r>
      <w:r>
        <w:rPr>
          <w:color w:val="231F20"/>
        </w:rPr>
        <w:t>Legislativo</w:t>
      </w:r>
      <w:r>
        <w:rPr>
          <w:color w:val="231F20"/>
          <w:spacing w:val="-8"/>
        </w:rPr>
        <w:t> </w:t>
      </w:r>
      <w:r>
        <w:rPr>
          <w:color w:val="231F20"/>
        </w:rPr>
        <w:t>781/1986,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18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abril,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aprueba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5"/>
        </w:rPr>
        <w:t>Texto</w:t>
      </w:r>
      <w:r>
        <w:rPr>
          <w:color w:val="231F20"/>
          <w:spacing w:val="-8"/>
        </w:rPr>
        <w:t> </w:t>
      </w:r>
      <w:r>
        <w:rPr>
          <w:color w:val="231F20"/>
        </w:rPr>
        <w:t>Refun- dido de las disposiciones legales vigentes en materia de Régimen Local; el Real Decreto 3173/1983,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19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noviembre,</w:t>
      </w:r>
      <w:r>
        <w:rPr>
          <w:color w:val="231F20"/>
          <w:spacing w:val="-4"/>
        </w:rPr>
        <w:t> </w:t>
      </w:r>
      <w:r>
        <w:rPr>
          <w:color w:val="231F20"/>
        </w:rPr>
        <w:t>por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traspasan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Comunidad</w:t>
      </w:r>
      <w:r>
        <w:rPr>
          <w:color w:val="231F20"/>
          <w:spacing w:val="-15"/>
        </w:rPr>
        <w:t> </w:t>
      </w:r>
      <w:r>
        <w:rPr>
          <w:color w:val="231F20"/>
        </w:rPr>
        <w:t>Autónoma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Ca- narias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funciones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servicios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materia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intervención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precios;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Real</w:t>
      </w:r>
      <w:r>
        <w:rPr>
          <w:color w:val="231F20"/>
          <w:spacing w:val="-8"/>
        </w:rPr>
        <w:t> </w:t>
      </w:r>
      <w:r>
        <w:rPr>
          <w:color w:val="231F20"/>
        </w:rPr>
        <w:t>Decreto-Ley 7/1996,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7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junio,</w:t>
      </w:r>
      <w:r>
        <w:rPr>
          <w:color w:val="231F20"/>
          <w:spacing w:val="-8"/>
        </w:rPr>
        <w:t> </w:t>
      </w:r>
      <w:r>
        <w:rPr>
          <w:color w:val="231F20"/>
        </w:rPr>
        <w:t>sobre</w:t>
      </w:r>
      <w:r>
        <w:rPr>
          <w:color w:val="231F20"/>
          <w:spacing w:val="-7"/>
        </w:rPr>
        <w:t> </w:t>
      </w:r>
      <w:r>
        <w:rPr>
          <w:color w:val="231F20"/>
        </w:rPr>
        <w:t>medidas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urgentes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carácter</w:t>
      </w:r>
      <w:r>
        <w:rPr>
          <w:color w:val="231F20"/>
          <w:spacing w:val="-7"/>
        </w:rPr>
        <w:t> </w:t>
      </w:r>
      <w:r>
        <w:rPr>
          <w:color w:val="231F20"/>
        </w:rPr>
        <w:t>fiscal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fomento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liberali- zación de la actividad</w:t>
      </w:r>
      <w:r>
        <w:rPr>
          <w:color w:val="231F20"/>
          <w:spacing w:val="-14"/>
        </w:rPr>
        <w:t> </w:t>
      </w:r>
      <w:r>
        <w:rPr>
          <w:color w:val="231F20"/>
        </w:rPr>
        <w:t>económica.</w:t>
      </w:r>
    </w:p>
    <w:p>
      <w:pPr>
        <w:spacing w:after="0" w:line="259" w:lineRule="auto"/>
        <w:jc w:val="both"/>
        <w:sectPr>
          <w:headerReference w:type="default" r:id="rId5"/>
          <w:footerReference w:type="default" r:id="rId6"/>
          <w:type w:val="continuous"/>
          <w:pgSz w:w="11910" w:h="16840"/>
          <w:pgMar w:header="1126" w:footer="662" w:top="1660" w:bottom="860" w:left="1680" w:right="1680"/>
          <w:pgNumType w:start="59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59" w:lineRule="auto" w:before="60"/>
        <w:ind w:left="304" w:right="301" w:firstLine="283"/>
        <w:jc w:val="both"/>
      </w:pPr>
      <w:r>
        <w:rPr>
          <w:b/>
          <w:color w:val="231F20"/>
          <w:spacing w:val="-5"/>
        </w:rPr>
        <w:t>Tercera.- </w:t>
      </w:r>
      <w:r>
        <w:rPr>
          <w:color w:val="231F20"/>
          <w:spacing w:val="-4"/>
        </w:rPr>
        <w:t>Vistos, </w:t>
      </w:r>
      <w:r>
        <w:rPr>
          <w:color w:val="231F20"/>
        </w:rPr>
        <w:t>además de los preceptos citados, los Decretos </w:t>
      </w:r>
      <w:r>
        <w:rPr>
          <w:color w:val="231F20"/>
          <w:spacing w:val="-3"/>
        </w:rPr>
        <w:t>86/2011, </w:t>
      </w:r>
      <w:r>
        <w:rPr>
          <w:color w:val="231F20"/>
        </w:rPr>
        <w:t>de 8 de ju- lio, por el que se determinan el número, denominación y competencias de las </w:t>
      </w:r>
      <w:r>
        <w:rPr>
          <w:color w:val="231F20"/>
          <w:spacing w:val="-2"/>
        </w:rPr>
        <w:t>Consejerías; </w:t>
      </w:r>
      <w:r>
        <w:rPr>
          <w:color w:val="231F20"/>
          <w:spacing w:val="-3"/>
        </w:rPr>
        <w:t>170/2011,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12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julio,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determina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estructura</w:t>
      </w:r>
      <w:r>
        <w:rPr>
          <w:color w:val="231F20"/>
          <w:spacing w:val="-9"/>
        </w:rPr>
        <w:t> </w:t>
      </w:r>
      <w:r>
        <w:rPr>
          <w:color w:val="231F20"/>
        </w:rPr>
        <w:t>central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periférica,</w:t>
      </w:r>
      <w:r>
        <w:rPr>
          <w:color w:val="231F20"/>
          <w:spacing w:val="-10"/>
        </w:rPr>
        <w:t> </w:t>
      </w:r>
      <w:r>
        <w:rPr>
          <w:color w:val="231F20"/>
        </w:rPr>
        <w:t>así</w:t>
      </w:r>
      <w:r>
        <w:rPr>
          <w:color w:val="231F20"/>
          <w:spacing w:val="-9"/>
        </w:rPr>
        <w:t> </w:t>
      </w:r>
      <w:r>
        <w:rPr>
          <w:color w:val="231F20"/>
        </w:rPr>
        <w:t>como las sedes de las Consejerías del Gobierno de Canarias (modificado por Decreto </w:t>
      </w:r>
      <w:r>
        <w:rPr>
          <w:color w:val="231F20"/>
          <w:spacing w:val="-3"/>
        </w:rPr>
        <w:t>317/2011, </w:t>
      </w:r>
      <w:r>
        <w:rPr>
          <w:color w:val="231F20"/>
        </w:rPr>
        <w:t>de 24 de noviembre y por Decreto 2/2013, de 10 de enero); y el Reglamento </w:t>
      </w:r>
      <w:r>
        <w:rPr>
          <w:color w:val="231F20"/>
          <w:spacing w:val="-3"/>
        </w:rPr>
        <w:t>Orgánico    </w:t>
      </w:r>
      <w:r>
        <w:rPr>
          <w:color w:val="231F20"/>
        </w:rPr>
        <w:t>de la Consejería de Empleo, Industria y Comercio [artículo 13.c)], aprobado por Decreto 98/2013, de 26 de</w:t>
      </w:r>
      <w:r>
        <w:rPr>
          <w:color w:val="231F20"/>
          <w:spacing w:val="-14"/>
        </w:rPr>
        <w:t> </w:t>
      </w:r>
      <w:r>
        <w:rPr>
          <w:color w:val="231F20"/>
        </w:rPr>
        <w:t>septiembre.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ind w:left="641"/>
      </w:pPr>
      <w:r>
        <w:rPr>
          <w:color w:val="231F20"/>
        </w:rPr>
        <w:t>En uso de las competencias que tengo atribuidas,</w:t>
      </w:r>
    </w:p>
    <w:p>
      <w:pPr>
        <w:pStyle w:val="BodyText"/>
        <w:spacing w:before="8"/>
        <w:rPr>
          <w:sz w:val="25"/>
        </w:rPr>
      </w:pPr>
    </w:p>
    <w:p>
      <w:pPr>
        <w:pStyle w:val="Heading1"/>
      </w:pPr>
      <w:r>
        <w:rPr>
          <w:color w:val="231F20"/>
        </w:rPr>
        <w:t>R</w:t>
      </w:r>
      <w:r>
        <w:rPr>
          <w:color w:val="231F20"/>
          <w:spacing w:val="-4"/>
        </w:rPr>
        <w:t> </w:t>
      </w:r>
      <w:r>
        <w:rPr>
          <w:color w:val="231F20"/>
        </w:rPr>
        <w:t>E</w:t>
      </w:r>
      <w:r>
        <w:rPr>
          <w:color w:val="231F20"/>
          <w:spacing w:val="-4"/>
        </w:rPr>
        <w:t> </w:t>
      </w:r>
      <w:r>
        <w:rPr>
          <w:color w:val="231F20"/>
        </w:rPr>
        <w:t>S</w:t>
      </w:r>
      <w:r>
        <w:rPr>
          <w:color w:val="231F20"/>
          <w:spacing w:val="-3"/>
        </w:rPr>
        <w:t> </w:t>
      </w:r>
      <w:r>
        <w:rPr>
          <w:color w:val="231F20"/>
        </w:rPr>
        <w:t>U</w:t>
      </w:r>
      <w:r>
        <w:rPr>
          <w:color w:val="231F20"/>
          <w:spacing w:val="-4"/>
        </w:rPr>
        <w:t> </w:t>
      </w:r>
      <w:r>
        <w:rPr>
          <w:color w:val="231F20"/>
        </w:rPr>
        <w:t>E</w:t>
      </w:r>
      <w:r>
        <w:rPr>
          <w:color w:val="231F20"/>
          <w:spacing w:val="-4"/>
        </w:rPr>
        <w:t> </w:t>
      </w:r>
      <w:r>
        <w:rPr>
          <w:color w:val="231F20"/>
        </w:rPr>
        <w:t>L</w:t>
      </w:r>
      <w:r>
        <w:rPr>
          <w:color w:val="231F20"/>
          <w:spacing w:val="-19"/>
        </w:rPr>
        <w:t> </w:t>
      </w:r>
      <w:r>
        <w:rPr>
          <w:color w:val="231F20"/>
        </w:rPr>
        <w:t>V</w:t>
      </w:r>
      <w:r>
        <w:rPr>
          <w:color w:val="231F20"/>
          <w:spacing w:val="-7"/>
        </w:rPr>
        <w:t> </w:t>
      </w:r>
      <w:r>
        <w:rPr>
          <w:color w:val="231F20"/>
        </w:rPr>
        <w:t>O:</w:t>
      </w:r>
    </w:p>
    <w:p>
      <w:pPr>
        <w:pStyle w:val="BodyText"/>
        <w:spacing w:before="8"/>
        <w:rPr>
          <w:b/>
          <w:sz w:val="25"/>
        </w:rPr>
      </w:pPr>
    </w:p>
    <w:p>
      <w:pPr>
        <w:pStyle w:val="BodyText"/>
        <w:spacing w:line="259" w:lineRule="auto" w:before="1"/>
        <w:ind w:left="304" w:right="301" w:firstLine="283"/>
        <w:jc w:val="both"/>
      </w:pPr>
      <w:r>
        <w:rPr>
          <w:b/>
          <w:color w:val="231F20"/>
          <w:spacing w:val="-3"/>
        </w:rPr>
        <w:t>Primero.- </w:t>
      </w:r>
      <w:r>
        <w:rPr>
          <w:color w:val="231F20"/>
        </w:rPr>
        <w:t>Aprobar la modificación de las tarifas del servicio urbano de transporte co- lectivo de viajeros, para su aplicación en el municipio de Las Palmas de Gran Canaria, </w:t>
      </w:r>
      <w:r>
        <w:rPr>
          <w:color w:val="231F20"/>
          <w:spacing w:val="-2"/>
        </w:rPr>
        <w:t>las </w:t>
      </w:r>
      <w:r>
        <w:rPr>
          <w:color w:val="231F20"/>
        </w:rPr>
        <w:t>cuales quedarán establecidas en las cuantías</w:t>
      </w:r>
      <w:r>
        <w:rPr>
          <w:color w:val="231F20"/>
          <w:spacing w:val="-26"/>
        </w:rPr>
        <w:t> </w:t>
      </w:r>
      <w:r>
        <w:rPr>
          <w:color w:val="231F20"/>
        </w:rPr>
        <w:t>siguientes:</w:t>
      </w:r>
    </w:p>
    <w:p>
      <w:pPr>
        <w:pStyle w:val="BodyText"/>
        <w:spacing w:before="7"/>
        <w:rPr>
          <w:sz w:val="20"/>
        </w:rPr>
      </w:pPr>
    </w:p>
    <w:p>
      <w:pPr>
        <w:tabs>
          <w:tab w:pos="5786" w:val="left" w:leader="none"/>
          <w:tab w:pos="5994" w:val="left" w:leader="none"/>
        </w:tabs>
        <w:spacing w:line="252" w:lineRule="auto" w:before="97"/>
        <w:ind w:left="1427" w:right="1840" w:firstLine="67"/>
        <w:jc w:val="both"/>
        <w:rPr>
          <w:sz w:val="21"/>
        </w:rPr>
      </w:pPr>
      <w:r>
        <w:rPr>
          <w:w w:val="105"/>
          <w:sz w:val="21"/>
          <w:u w:val="single"/>
        </w:rPr>
        <w:t>Tarifa</w:t>
        <w:tab/>
        <w:tab/>
        <w:t>Importe</w:t>
      </w:r>
      <w:r>
        <w:rPr>
          <w:w w:val="105"/>
          <w:sz w:val="21"/>
        </w:rPr>
        <w:t> Pago Directo  de</w:t>
      </w:r>
      <w:r>
        <w:rPr>
          <w:spacing w:val="-6"/>
          <w:w w:val="105"/>
          <w:sz w:val="21"/>
        </w:rPr>
        <w:t> </w:t>
      </w:r>
      <w:r>
        <w:rPr>
          <w:w w:val="105"/>
          <w:sz w:val="21"/>
        </w:rPr>
        <w:t>1</w:t>
      </w:r>
      <w:r>
        <w:rPr>
          <w:spacing w:val="-2"/>
          <w:w w:val="105"/>
          <w:sz w:val="21"/>
        </w:rPr>
        <w:t> </w:t>
      </w:r>
      <w:r>
        <w:rPr>
          <w:w w:val="105"/>
          <w:sz w:val="21"/>
        </w:rPr>
        <w:t>viaje</w:t>
        <w:tab/>
        <w:t>1,40</w:t>
      </w:r>
      <w:r>
        <w:rPr>
          <w:spacing w:val="-9"/>
          <w:w w:val="105"/>
          <w:sz w:val="21"/>
        </w:rPr>
        <w:t> </w:t>
      </w:r>
      <w:r>
        <w:rPr>
          <w:w w:val="105"/>
          <w:sz w:val="21"/>
        </w:rPr>
        <w:t>euros</w:t>
      </w:r>
    </w:p>
    <w:p>
      <w:pPr>
        <w:tabs>
          <w:tab w:pos="5786" w:val="left" w:leader="none"/>
        </w:tabs>
        <w:spacing w:before="122"/>
        <w:ind w:left="1428" w:right="0" w:firstLine="0"/>
        <w:jc w:val="both"/>
        <w:rPr>
          <w:sz w:val="21"/>
        </w:rPr>
      </w:pPr>
      <w:r>
        <w:rPr>
          <w:w w:val="105"/>
          <w:sz w:val="21"/>
        </w:rPr>
        <w:t>Guagua Amarilla  de 1</w:t>
      </w:r>
      <w:r>
        <w:rPr>
          <w:spacing w:val="-14"/>
          <w:w w:val="105"/>
          <w:sz w:val="21"/>
        </w:rPr>
        <w:t> </w:t>
      </w:r>
      <w:r>
        <w:rPr>
          <w:w w:val="105"/>
          <w:sz w:val="21"/>
        </w:rPr>
        <w:t>viaje</w:t>
      </w:r>
      <w:r>
        <w:rPr>
          <w:spacing w:val="-2"/>
          <w:w w:val="105"/>
          <w:sz w:val="21"/>
        </w:rPr>
        <w:t> </w:t>
      </w:r>
      <w:r>
        <w:rPr>
          <w:w w:val="105"/>
          <w:sz w:val="21"/>
        </w:rPr>
        <w:t>(*)</w:t>
        <w:tab/>
        <w:t>1,80</w:t>
      </w:r>
      <w:r>
        <w:rPr>
          <w:spacing w:val="-9"/>
          <w:w w:val="105"/>
          <w:sz w:val="21"/>
        </w:rPr>
        <w:t> </w:t>
      </w:r>
      <w:r>
        <w:rPr>
          <w:w w:val="105"/>
          <w:sz w:val="21"/>
        </w:rPr>
        <w:t>euros</w:t>
      </w:r>
    </w:p>
    <w:p>
      <w:pPr>
        <w:tabs>
          <w:tab w:pos="5786" w:val="left" w:leader="none"/>
        </w:tabs>
        <w:spacing w:before="128"/>
        <w:ind w:left="1428" w:right="0" w:firstLine="0"/>
        <w:jc w:val="both"/>
        <w:rPr>
          <w:sz w:val="21"/>
        </w:rPr>
      </w:pPr>
      <w:r>
        <w:rPr>
          <w:w w:val="105"/>
          <w:sz w:val="21"/>
        </w:rPr>
        <w:t>Bonoguagua de</w:t>
      </w:r>
      <w:r>
        <w:rPr>
          <w:spacing w:val="-7"/>
          <w:w w:val="105"/>
          <w:sz w:val="21"/>
        </w:rPr>
        <w:t> </w:t>
      </w:r>
      <w:r>
        <w:rPr>
          <w:w w:val="105"/>
          <w:sz w:val="21"/>
        </w:rPr>
        <w:t>10</w:t>
      </w:r>
      <w:r>
        <w:rPr>
          <w:spacing w:val="-4"/>
          <w:w w:val="105"/>
          <w:sz w:val="21"/>
        </w:rPr>
        <w:t> </w:t>
      </w:r>
      <w:r>
        <w:rPr>
          <w:w w:val="105"/>
          <w:sz w:val="21"/>
        </w:rPr>
        <w:t>viajes</w:t>
        <w:tab/>
        <w:t>8,50</w:t>
      </w:r>
      <w:r>
        <w:rPr>
          <w:spacing w:val="-4"/>
          <w:w w:val="105"/>
          <w:sz w:val="21"/>
        </w:rPr>
        <w:t> </w:t>
      </w:r>
      <w:r>
        <w:rPr>
          <w:w w:val="105"/>
          <w:sz w:val="21"/>
        </w:rPr>
        <w:t>euros</w:t>
      </w:r>
    </w:p>
    <w:p>
      <w:pPr>
        <w:tabs>
          <w:tab w:pos="5782" w:val="left" w:leader="none"/>
        </w:tabs>
        <w:spacing w:before="133"/>
        <w:ind w:left="1426" w:right="0" w:firstLine="0"/>
        <w:jc w:val="both"/>
        <w:rPr>
          <w:sz w:val="21"/>
        </w:rPr>
      </w:pPr>
      <w:r>
        <w:rPr>
          <w:w w:val="105"/>
          <w:sz w:val="21"/>
        </w:rPr>
        <w:t>Bonoguagua de</w:t>
      </w:r>
      <w:r>
        <w:rPr>
          <w:spacing w:val="-7"/>
          <w:w w:val="105"/>
          <w:sz w:val="21"/>
        </w:rPr>
        <w:t> </w:t>
      </w:r>
      <w:r>
        <w:rPr>
          <w:w w:val="105"/>
          <w:sz w:val="21"/>
        </w:rPr>
        <w:t>2</w:t>
      </w:r>
      <w:r>
        <w:rPr>
          <w:spacing w:val="-3"/>
          <w:w w:val="105"/>
          <w:sz w:val="21"/>
        </w:rPr>
        <w:t> </w:t>
      </w:r>
      <w:r>
        <w:rPr>
          <w:w w:val="105"/>
          <w:sz w:val="21"/>
        </w:rPr>
        <w:t>viajes</w:t>
        <w:tab/>
        <w:t>2,40</w:t>
      </w:r>
      <w:r>
        <w:rPr>
          <w:spacing w:val="-9"/>
          <w:w w:val="105"/>
          <w:sz w:val="21"/>
        </w:rPr>
        <w:t> </w:t>
      </w:r>
      <w:r>
        <w:rPr>
          <w:w w:val="105"/>
          <w:sz w:val="21"/>
        </w:rPr>
        <w:t>euros</w:t>
      </w:r>
    </w:p>
    <w:p>
      <w:pPr>
        <w:tabs>
          <w:tab w:pos="5675" w:val="left" w:leader="none"/>
        </w:tabs>
        <w:spacing w:before="132"/>
        <w:ind w:left="1422" w:right="0" w:firstLine="0"/>
        <w:jc w:val="both"/>
        <w:rPr>
          <w:sz w:val="21"/>
        </w:rPr>
      </w:pPr>
      <w:r>
        <w:rPr>
          <w:w w:val="105"/>
          <w:sz w:val="21"/>
        </w:rPr>
        <w:t>Bono Fácil</w:t>
      </w:r>
      <w:r>
        <w:rPr>
          <w:spacing w:val="-6"/>
          <w:w w:val="105"/>
          <w:sz w:val="21"/>
        </w:rPr>
        <w:t> </w:t>
      </w:r>
      <w:r>
        <w:rPr>
          <w:w w:val="105"/>
          <w:sz w:val="21"/>
        </w:rPr>
        <w:t>de</w:t>
      </w:r>
      <w:r>
        <w:rPr>
          <w:spacing w:val="-2"/>
          <w:w w:val="105"/>
          <w:sz w:val="21"/>
        </w:rPr>
        <w:t> </w:t>
      </w:r>
      <w:r>
        <w:rPr>
          <w:w w:val="105"/>
          <w:sz w:val="21"/>
        </w:rPr>
        <w:t>998</w:t>
        <w:tab/>
        <w:t>42,00</w:t>
      </w:r>
      <w:r>
        <w:rPr>
          <w:spacing w:val="-10"/>
          <w:w w:val="105"/>
          <w:sz w:val="21"/>
        </w:rPr>
        <w:t> </w:t>
      </w:r>
      <w:r>
        <w:rPr>
          <w:w w:val="105"/>
          <w:sz w:val="21"/>
        </w:rPr>
        <w:t>euros</w:t>
      </w:r>
    </w:p>
    <w:p>
      <w:pPr>
        <w:tabs>
          <w:tab w:pos="5683" w:val="left" w:leader="none"/>
        </w:tabs>
        <w:spacing w:before="129"/>
        <w:ind w:left="1416" w:right="0" w:firstLine="0"/>
        <w:jc w:val="both"/>
        <w:rPr>
          <w:sz w:val="21"/>
        </w:rPr>
      </w:pPr>
      <w:r>
        <w:rPr>
          <w:w w:val="105"/>
          <w:sz w:val="21"/>
        </w:rPr>
        <w:t>Bono Estudiante de</w:t>
      </w:r>
      <w:r>
        <w:rPr>
          <w:spacing w:val="-10"/>
          <w:w w:val="105"/>
          <w:sz w:val="21"/>
        </w:rPr>
        <w:t> </w:t>
      </w:r>
      <w:r>
        <w:rPr>
          <w:w w:val="105"/>
          <w:sz w:val="21"/>
        </w:rPr>
        <w:t>160</w:t>
      </w:r>
      <w:r>
        <w:rPr>
          <w:spacing w:val="-3"/>
          <w:w w:val="105"/>
          <w:sz w:val="21"/>
        </w:rPr>
        <w:t> </w:t>
      </w:r>
      <w:r>
        <w:rPr>
          <w:w w:val="105"/>
          <w:sz w:val="21"/>
        </w:rPr>
        <w:t>viajes</w:t>
        <w:tab/>
        <w:t>28,00</w:t>
      </w:r>
      <w:r>
        <w:rPr>
          <w:spacing w:val="-11"/>
          <w:w w:val="105"/>
          <w:sz w:val="21"/>
        </w:rPr>
        <w:t> </w:t>
      </w:r>
      <w:r>
        <w:rPr>
          <w:w w:val="105"/>
          <w:sz w:val="21"/>
        </w:rPr>
        <w:t>euros</w:t>
      </w:r>
    </w:p>
    <w:p>
      <w:pPr>
        <w:tabs>
          <w:tab w:pos="5673" w:val="left" w:leader="none"/>
          <w:tab w:pos="5783" w:val="left" w:leader="none"/>
        </w:tabs>
        <w:spacing w:line="369" w:lineRule="auto" w:before="132"/>
        <w:ind w:left="1420" w:right="1835" w:firstLine="5"/>
        <w:jc w:val="both"/>
        <w:rPr>
          <w:sz w:val="21"/>
        </w:rPr>
      </w:pPr>
      <w:r>
        <w:rPr>
          <w:w w:val="105"/>
          <w:sz w:val="21"/>
        </w:rPr>
        <w:t>Bono Jubilado  de</w:t>
      </w:r>
      <w:r>
        <w:rPr>
          <w:spacing w:val="-12"/>
          <w:w w:val="105"/>
          <w:sz w:val="21"/>
        </w:rPr>
        <w:t> </w:t>
      </w:r>
      <w:r>
        <w:rPr>
          <w:w w:val="105"/>
          <w:sz w:val="21"/>
        </w:rPr>
        <w:t>200</w:t>
      </w:r>
      <w:r>
        <w:rPr>
          <w:spacing w:val="-3"/>
          <w:w w:val="105"/>
          <w:sz w:val="21"/>
        </w:rPr>
        <w:t> </w:t>
      </w:r>
      <w:r>
        <w:rPr>
          <w:w w:val="105"/>
          <w:sz w:val="21"/>
        </w:rPr>
        <w:t>viajes</w:t>
        <w:tab/>
        <w:tab/>
        <w:t>0,00 euros Familia Numerosa General de</w:t>
      </w:r>
      <w:r>
        <w:rPr>
          <w:spacing w:val="-16"/>
          <w:w w:val="105"/>
          <w:sz w:val="21"/>
        </w:rPr>
        <w:t> </w:t>
      </w:r>
      <w:r>
        <w:rPr>
          <w:w w:val="105"/>
          <w:sz w:val="21"/>
        </w:rPr>
        <w:t>142</w:t>
      </w:r>
      <w:r>
        <w:rPr>
          <w:spacing w:val="-3"/>
          <w:w w:val="105"/>
          <w:sz w:val="21"/>
        </w:rPr>
        <w:t> </w:t>
      </w:r>
      <w:r>
        <w:rPr>
          <w:w w:val="105"/>
          <w:sz w:val="21"/>
        </w:rPr>
        <w:t>viajes</w:t>
        <w:tab/>
        <w:t>20,00 euros Familia Numerosa Especial de</w:t>
      </w:r>
      <w:r>
        <w:rPr>
          <w:spacing w:val="-11"/>
          <w:w w:val="105"/>
          <w:sz w:val="21"/>
        </w:rPr>
        <w:t> </w:t>
      </w:r>
      <w:r>
        <w:rPr>
          <w:w w:val="105"/>
          <w:sz w:val="21"/>
        </w:rPr>
        <w:t>160</w:t>
      </w:r>
      <w:r>
        <w:rPr>
          <w:spacing w:val="-2"/>
          <w:w w:val="105"/>
          <w:sz w:val="21"/>
        </w:rPr>
        <w:t> </w:t>
      </w:r>
      <w:r>
        <w:rPr>
          <w:w w:val="105"/>
          <w:sz w:val="21"/>
        </w:rPr>
        <w:t>viajes</w:t>
        <w:tab/>
        <w:t>20,00 euros Tarjeta Solidaria de 120</w:t>
      </w:r>
      <w:r>
        <w:rPr>
          <w:spacing w:val="-12"/>
          <w:w w:val="105"/>
          <w:sz w:val="21"/>
        </w:rPr>
        <w:t> </w:t>
      </w:r>
      <w:r>
        <w:rPr>
          <w:w w:val="105"/>
          <w:sz w:val="21"/>
        </w:rPr>
        <w:t>viajes</w:t>
      </w:r>
      <w:r>
        <w:rPr>
          <w:spacing w:val="-4"/>
          <w:w w:val="105"/>
          <w:sz w:val="21"/>
        </w:rPr>
        <w:t> </w:t>
      </w:r>
      <w:r>
        <w:rPr>
          <w:w w:val="105"/>
          <w:sz w:val="21"/>
        </w:rPr>
        <w:t>(**)</w:t>
        <w:tab/>
        <w:t>20,00</w:t>
      </w:r>
      <w:r>
        <w:rPr>
          <w:spacing w:val="-11"/>
          <w:w w:val="105"/>
          <w:sz w:val="21"/>
        </w:rPr>
        <w:t> </w:t>
      </w:r>
      <w:r>
        <w:rPr>
          <w:w w:val="105"/>
          <w:sz w:val="21"/>
        </w:rPr>
        <w:t>euros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spacing w:line="259" w:lineRule="auto" w:before="60"/>
        <w:ind w:left="304" w:right="302" w:firstLine="348"/>
        <w:jc w:val="both"/>
      </w:pPr>
      <w:r>
        <w:rPr>
          <w:color w:val="231F20"/>
        </w:rPr>
        <w:t>(*) Tarifa de servicio discrecional para personas con movilidad reducida, que no sufre modificación.</w:t>
      </w:r>
    </w:p>
    <w:p>
      <w:pPr>
        <w:pStyle w:val="BodyText"/>
        <w:spacing w:before="2"/>
        <w:ind w:left="587"/>
      </w:pPr>
      <w:r>
        <w:rPr>
          <w:color w:val="231F20"/>
        </w:rPr>
        <w:t>(**) Tarifa especial reducida a personas desempleadas y residentes en el municipio.</w:t>
      </w:r>
    </w:p>
    <w:p>
      <w:pPr>
        <w:pStyle w:val="BodyText"/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59" w:lineRule="auto"/>
        <w:ind w:left="304" w:right="303" w:firstLine="283"/>
        <w:jc w:val="both"/>
      </w:pPr>
      <w:r>
        <w:rPr>
          <w:b/>
          <w:color w:val="231F20"/>
        </w:rPr>
        <w:t>Segundo.- </w:t>
      </w:r>
      <w:r>
        <w:rPr>
          <w:color w:val="231F20"/>
        </w:rPr>
        <w:t>Estas tarifas surtirán efecto a partir del día siguiente al de su publicación en el Boletín Oficial de Canarias.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59" w:lineRule="auto"/>
        <w:ind w:left="304" w:right="300" w:firstLine="283"/>
        <w:jc w:val="both"/>
      </w:pPr>
      <w:r>
        <w:rPr>
          <w:color w:val="231F20"/>
        </w:rPr>
        <w:t>Contra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presente</w:t>
      </w:r>
      <w:r>
        <w:rPr>
          <w:color w:val="231F20"/>
          <w:spacing w:val="-7"/>
        </w:rPr>
        <w:t> </w:t>
      </w:r>
      <w:r>
        <w:rPr>
          <w:color w:val="231F20"/>
        </w:rPr>
        <w:t>acto,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pone</w:t>
      </w:r>
      <w:r>
        <w:rPr>
          <w:color w:val="231F20"/>
          <w:spacing w:val="-7"/>
        </w:rPr>
        <w:t> </w:t>
      </w:r>
      <w:r>
        <w:rPr>
          <w:color w:val="231F20"/>
        </w:rPr>
        <w:t>fin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vía</w:t>
      </w:r>
      <w:r>
        <w:rPr>
          <w:color w:val="231F20"/>
          <w:spacing w:val="-7"/>
        </w:rPr>
        <w:t> </w:t>
      </w:r>
      <w:r>
        <w:rPr>
          <w:color w:val="231F20"/>
        </w:rPr>
        <w:t>administrativa,</w:t>
      </w:r>
      <w:r>
        <w:rPr>
          <w:color w:val="231F20"/>
          <w:spacing w:val="-6"/>
        </w:rPr>
        <w:t> </w:t>
      </w:r>
      <w:r>
        <w:rPr>
          <w:color w:val="231F20"/>
        </w:rPr>
        <w:t>podrá</w:t>
      </w:r>
      <w:r>
        <w:rPr>
          <w:color w:val="231F20"/>
          <w:spacing w:val="-7"/>
        </w:rPr>
        <w:t> </w:t>
      </w:r>
      <w:r>
        <w:rPr>
          <w:color w:val="231F20"/>
        </w:rPr>
        <w:t>interponerse</w:t>
      </w:r>
      <w:r>
        <w:rPr>
          <w:color w:val="231F20"/>
          <w:spacing w:val="-7"/>
        </w:rPr>
        <w:t> </w:t>
      </w:r>
      <w:r>
        <w:rPr>
          <w:color w:val="231F20"/>
        </w:rPr>
        <w:t>recurso potestativo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reposición</w:t>
      </w:r>
      <w:r>
        <w:rPr>
          <w:color w:val="231F20"/>
          <w:spacing w:val="-17"/>
        </w:rPr>
        <w:t> </w:t>
      </w:r>
      <w:r>
        <w:rPr>
          <w:color w:val="231F20"/>
        </w:rPr>
        <w:t>ante</w:t>
      </w:r>
      <w:r>
        <w:rPr>
          <w:color w:val="231F20"/>
          <w:spacing w:val="-17"/>
        </w:rPr>
        <w:t> </w:t>
      </w:r>
      <w:r>
        <w:rPr>
          <w:color w:val="231F20"/>
        </w:rPr>
        <w:t>esta</w:t>
      </w:r>
      <w:r>
        <w:rPr>
          <w:color w:val="231F20"/>
          <w:spacing w:val="-17"/>
        </w:rPr>
        <w:t> </w:t>
      </w:r>
      <w:r>
        <w:rPr>
          <w:color w:val="231F20"/>
        </w:rPr>
        <w:t>Consejería,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plazo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mes,</w:t>
      </w:r>
      <w:r>
        <w:rPr>
          <w:color w:val="231F20"/>
          <w:spacing w:val="-16"/>
        </w:rPr>
        <w:t> </w:t>
      </w:r>
      <w:r>
        <w:rPr>
          <w:color w:val="231F20"/>
        </w:rPr>
        <w:t>contado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partir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  <w:spacing w:val="-2"/>
        </w:rPr>
        <w:t>día </w:t>
      </w:r>
      <w:r>
        <w:rPr>
          <w:color w:val="231F20"/>
        </w:rPr>
        <w:t>siguiente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notificación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publicación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presente</w:t>
      </w:r>
      <w:r>
        <w:rPr>
          <w:color w:val="231F20"/>
          <w:spacing w:val="-8"/>
        </w:rPr>
        <w:t> </w:t>
      </w:r>
      <w:r>
        <w:rPr>
          <w:color w:val="231F20"/>
        </w:rPr>
        <w:t>resolución;</w:t>
      </w:r>
      <w:r>
        <w:rPr>
          <w:color w:val="231F20"/>
          <w:spacing w:val="-8"/>
        </w:rPr>
        <w:t> </w:t>
      </w:r>
      <w:r>
        <w:rPr>
          <w:color w:val="231F20"/>
        </w:rPr>
        <w:t>o,</w:t>
      </w:r>
      <w:r>
        <w:rPr>
          <w:color w:val="231F20"/>
          <w:spacing w:val="-9"/>
        </w:rPr>
        <w:t> </w:t>
      </w:r>
      <w:r>
        <w:rPr>
          <w:color w:val="231F20"/>
        </w:rPr>
        <w:t>directamente,</w:t>
      </w:r>
      <w:r>
        <w:rPr>
          <w:color w:val="231F20"/>
          <w:spacing w:val="-8"/>
        </w:rPr>
        <w:t> </w:t>
      </w:r>
      <w:r>
        <w:rPr>
          <w:color w:val="231F20"/>
        </w:rPr>
        <w:t>recurso contencioso-administrativo,</w:t>
      </w:r>
      <w:r>
        <w:rPr>
          <w:color w:val="231F20"/>
          <w:spacing w:val="-16"/>
        </w:rPr>
        <w:t> </w:t>
      </w:r>
      <w:r>
        <w:rPr>
          <w:color w:val="231F20"/>
        </w:rPr>
        <w:t>ante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Sala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Contencioso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Tribunal</w:t>
      </w:r>
      <w:r>
        <w:rPr>
          <w:color w:val="231F20"/>
          <w:spacing w:val="-16"/>
        </w:rPr>
        <w:t> </w:t>
      </w:r>
      <w:r>
        <w:rPr>
          <w:color w:val="231F20"/>
        </w:rPr>
        <w:t>Superior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Justicia de Canarias en Las Palmas, en el plazo de dos meses, contados a partir del día siguiente al de</w:t>
      </w:r>
      <w:r>
        <w:rPr>
          <w:color w:val="231F20"/>
          <w:spacing w:val="-9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notificación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9"/>
        </w:rPr>
        <w:t> </w:t>
      </w:r>
      <w:r>
        <w:rPr>
          <w:color w:val="231F20"/>
        </w:rPr>
        <w:t>publicación.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caso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presentar</w:t>
      </w:r>
      <w:r>
        <w:rPr>
          <w:color w:val="231F20"/>
          <w:spacing w:val="-9"/>
        </w:rPr>
        <w:t> </w:t>
      </w:r>
      <w:r>
        <w:rPr>
          <w:color w:val="231F20"/>
        </w:rPr>
        <w:t>recurso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reposición,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podrá</w:t>
      </w:r>
    </w:p>
    <w:p>
      <w:pPr>
        <w:spacing w:after="0" w:line="259" w:lineRule="auto"/>
        <w:jc w:val="both"/>
        <w:sectPr>
          <w:pgSz w:w="11910" w:h="16840"/>
          <w:pgMar w:header="1126" w:footer="662" w:top="1660" w:bottom="860" w:left="168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59" w:lineRule="auto" w:before="60"/>
        <w:ind w:left="304" w:right="300"/>
        <w:jc w:val="both"/>
      </w:pPr>
      <w:r>
        <w:rPr>
          <w:color w:val="231F20"/>
        </w:rPr>
        <w:t>interponer recurso contencioso-administrativo, hasta la resolución expresa del recurso de reposición o se produzca la desestimación presunta del mismo, y todo ello sin perjuicio de cualquier otro que pudiera interponerse.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ind w:right="3018"/>
        <w:jc w:val="right"/>
      </w:pPr>
      <w:r>
        <w:rPr>
          <w:color w:val="231F20"/>
        </w:rPr>
        <w:t>Las Palmas de Gran Canaria, a 20 de diciembre de 2013.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259" w:lineRule="auto"/>
        <w:ind w:left="3104" w:right="2625" w:hanging="133"/>
      </w:pPr>
      <w:r>
        <w:rPr>
          <w:color w:val="231F20"/>
        </w:rPr>
        <w:t>LA CONSEJERA DE EMPLEO, INDUSTRIA Y COMERCIO,</w:t>
      </w:r>
    </w:p>
    <w:p>
      <w:pPr>
        <w:pStyle w:val="BodyText"/>
        <w:spacing w:before="3"/>
        <w:ind w:right="3100"/>
        <w:jc w:val="right"/>
      </w:pPr>
      <w:r>
        <w:rPr>
          <w:color w:val="231F20"/>
        </w:rPr>
        <w:t>Francisca Luengo Orol.</w:t>
      </w:r>
    </w:p>
    <w:sectPr>
      <w:pgSz w:w="11910" w:h="16840"/>
      <w:pgMar w:header="1126" w:footer="662" w:top="1660" w:bottom="860" w:left="168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83.544586pt;margin-top:797.801819pt;width:56.05pt;height:9.8pt;mso-position-horizontal-relative:page;mso-position-vertical-relative:page;z-index:-251773952" type="#_x0000_t202" filled="false" stroked="false">
          <v:textbox inset="0,0,0,0">
            <w:txbxContent>
              <w:p>
                <w:pPr>
                  <w:spacing w:before="14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sz w:val="14"/>
                  </w:rPr>
                  <w:t>boc-a-2014-006-87</w:t>
                </w:r>
              </w:p>
            </w:txbxContent>
          </v:textbox>
          <w10:wrap type="none"/>
        </v:shape>
      </w:pict>
    </w:r>
    <w:r>
      <w:rPr/>
      <w:pict>
        <v:shape style="position:absolute;margin-left:55.692902pt;margin-top:798.848938pt;width:87.95pt;height:9pt;mso-position-horizontal-relative:page;mso-position-vertical-relative:page;z-index:-251772928" type="#_x0000_t202" filled="false" stroked="false">
          <v:textbox inset="0,0,0,0">
            <w:txbxContent>
              <w:p>
                <w:pPr>
                  <w:spacing w:line="155" w:lineRule="exact" w:before="0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231F20"/>
                    <w:sz w:val="14"/>
                  </w:rPr>
                  <w:t>https://sede.gobcan.es/cpji/boc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1780096" from="56.692902pt,56.693214pt" to="538.582902pt,56.693214pt" stroked="true" strokeweight=".75pt" strokecolor="#231f20">
          <v:stroke dashstyle="solid"/>
          <w10:wrap type="none"/>
        </v:line>
      </w:pict>
    </w:r>
    <w:r>
      <w:rPr/>
      <w:drawing>
        <wp:anchor distT="0" distB="0" distL="0" distR="0" allowOverlap="1" layoutInCell="1" locked="0" behindDoc="1" simplePos="0" relativeHeight="251537408">
          <wp:simplePos x="0" y="0"/>
          <wp:positionH relativeFrom="page">
            <wp:posOffset>725265</wp:posOffset>
          </wp:positionH>
          <wp:positionV relativeFrom="page">
            <wp:posOffset>748431</wp:posOffset>
          </wp:positionV>
          <wp:extent cx="272478" cy="215900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72478" cy="215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251778048" from="56.692902pt,77.953018pt" to="538.582902pt,77.953018pt" stroked="true" strokeweight=".75pt" strokecolor="#231f20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86.874001pt;margin-top:65.043716pt;width:127pt;height:11pt;mso-position-horizontal-relative:page;mso-position-vertical-relative:page;z-index:-251777024" type="#_x0000_t202" filled="false" stroked="false">
          <v:textbox inset="0,0,0,0">
            <w:txbxContent>
              <w:p>
                <w:pPr>
                  <w:spacing w:line="194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231F20"/>
                    <w:sz w:val="18"/>
                  </w:rPr>
                  <w:t>Boletín Oficial de Canarias núm. 6</w:t>
                </w:r>
              </w:p>
            </w:txbxContent>
          </v:textbox>
          <w10:wrap type="none"/>
        </v:shape>
      </w:pict>
    </w:r>
    <w:r>
      <w:rPr/>
      <w:pict>
        <v:shape style="position:absolute;margin-left:287.887787pt;margin-top:65.043716pt;width:19.5pt;height:11pt;mso-position-horizontal-relative:page;mso-position-vertical-relative:page;z-index:-251776000" type="#_x0000_t202" filled="false" stroked="false">
          <v:textbox inset="0,0,0,0">
            <w:txbxContent>
              <w:p>
                <w:pPr>
                  <w:spacing w:line="194" w:lineRule="exact" w:before="0"/>
                  <w:ind w:left="6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590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434.904388pt;margin-top:65.043716pt;width:104.75pt;height:11pt;mso-position-horizontal-relative:page;mso-position-vertical-relative:page;z-index:-251774976" type="#_x0000_t202" filled="false" stroked="false">
          <v:textbox inset="0,0,0,0">
            <w:txbxContent>
              <w:p>
                <w:pPr>
                  <w:spacing w:line="194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231F20"/>
                    <w:sz w:val="18"/>
                  </w:rPr>
                  <w:t>Viernes 10 de enero de 2014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."/>
      <w:lvlJc w:val="left"/>
      <w:pPr>
        <w:ind w:left="3616" w:hanging="148"/>
        <w:jc w:val="right"/>
      </w:pPr>
      <w:rPr>
        <w:rFonts w:hint="default" w:ascii="Times New Roman" w:hAnsi="Times New Roman" w:eastAsia="Times New Roman" w:cs="Times New Roman"/>
        <w:b/>
        <w:bCs/>
        <w:color w:val="231F20"/>
        <w:spacing w:val="-1"/>
        <w:w w:val="100"/>
        <w:sz w:val="18"/>
        <w:szCs w:val="18"/>
      </w:rPr>
    </w:lvl>
    <w:lvl w:ilvl="1">
      <w:start w:val="0"/>
      <w:numFmt w:val="bullet"/>
      <w:lvlText w:val="•"/>
      <w:lvlJc w:val="left"/>
      <w:pPr>
        <w:ind w:left="4112" w:hanging="14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605" w:hanging="14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5097" w:hanging="14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590" w:hanging="14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082" w:hanging="14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575" w:hanging="14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067" w:hanging="14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7560" w:hanging="148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</w:rPr>
  </w:style>
  <w:style w:styleId="Heading1" w:type="paragraph">
    <w:name w:val="Heading 1"/>
    <w:basedOn w:val="Normal"/>
    <w:uiPriority w:val="1"/>
    <w:qFormat/>
    <w:pPr>
      <w:ind w:left="2158" w:right="2159"/>
      <w:jc w:val="center"/>
      <w:outlineLvl w:val="1"/>
    </w:pPr>
    <w:rPr>
      <w:rFonts w:ascii="Times New Roman" w:hAnsi="Times New Roman" w:eastAsia="Times New Roman" w:cs="Times New Roma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2998" w:hanging="227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2020-02-19T22:49:38Z</dcterms:created>
  <dcterms:modified xsi:type="dcterms:W3CDTF">2020-02-19T22:49:38Z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2017-11-28T00:00:00Z</vt:filetime>
  </property>
  <property fmtid="{D5CDD505-2E9C-101B-9397-08002B2CF9AE}" pid="3" name="LastSaved">
    <vt:filetime>2020-02-19T00:00:00Z</vt:filetime>
  </property>
</Properties>
</file>