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322" w:rsidRPr="008C6DC4" w:rsidRDefault="000A3322" w:rsidP="008C6DC4">
      <w:pPr>
        <w:spacing w:before="240" w:after="240"/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</w:pPr>
      <w:bookmarkStart w:id="0" w:name="_Toc536790018"/>
      <w:r w:rsidRPr="008C6DC4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INFORMACIÓN ESTADÍSTICA AÑO 20</w:t>
      </w:r>
      <w:r w:rsidR="002F7383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2</w:t>
      </w:r>
      <w:r w:rsidR="005E1C4B">
        <w:rPr>
          <w:rFonts w:ascii="Helvetica" w:eastAsia="MS Mincho" w:hAnsi="Helvetica" w:cs="Times New Roman"/>
          <w:color w:val="1F2A48"/>
          <w:sz w:val="36"/>
          <w:szCs w:val="36"/>
          <w:lang w:val="es-ES_tradnl" w:eastAsia="es-ES"/>
        </w:rPr>
        <w:t>2</w:t>
      </w:r>
    </w:p>
    <w:p w:rsidR="00D12E8B" w:rsidRPr="008C6DC4" w:rsidRDefault="00D12E8B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Nivel de cobertura del servicio</w:t>
      </w:r>
      <w:bookmarkEnd w:id="0"/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202</w:t>
      </w:r>
      <w:r w:rsidR="005E1C4B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</w:t>
      </w:r>
    </w:p>
    <w:tbl>
      <w:tblPr>
        <w:tblW w:w="63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566"/>
        <w:gridCol w:w="1387"/>
        <w:gridCol w:w="1087"/>
        <w:gridCol w:w="1058"/>
        <w:gridCol w:w="1222"/>
      </w:tblGrid>
      <w:tr w:rsidR="00BF1509" w:rsidRPr="00BF1509" w:rsidTr="00BF1509">
        <w:trPr>
          <w:trHeight w:val="315"/>
        </w:trPr>
        <w:tc>
          <w:tcPr>
            <w:tcW w:w="632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Nivel de Cobertura del Servicio 2022</w:t>
            </w:r>
          </w:p>
        </w:tc>
      </w:tr>
      <w:tr w:rsidR="00BF1509" w:rsidRPr="00BF1509" w:rsidTr="00BF1509">
        <w:trPr>
          <w:trHeight w:val="315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Periodicidad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Laborables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Sábados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Festivos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Total mes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Enero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101,40%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104,10%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103,00%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101,86%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Febrero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104,10%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104,00%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104,30%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104,12%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Marzo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102,40%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103,80%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104,00%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102,67%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Abril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102,10%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104,10%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104,00%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102,51%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Mayo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102,10%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103,40%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104,00%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102,43%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Junio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101,90%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103,60%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103,30%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102,16%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Julio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101,40%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103,70%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102,50%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101,74%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Agosto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101,95%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101,70%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103,40%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103,50%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Septiembre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100,88%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100,40%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102,30%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104,00%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Octubre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101,05%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100,30%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102,80%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103,90%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Noviembre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101,55%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101,12%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103,68%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103,59%</w:t>
            </w:r>
          </w:p>
        </w:tc>
      </w:tr>
      <w:tr w:rsidR="00BF1509" w:rsidRPr="00BF1509" w:rsidTr="00BF1509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  <w:t>Diciembre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101,74%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101,42%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103,70%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102,47%</w:t>
            </w:r>
          </w:p>
        </w:tc>
      </w:tr>
      <w:tr w:rsidR="00BF1509" w:rsidRPr="00BF1509" w:rsidTr="00BF1509">
        <w:trPr>
          <w:trHeight w:val="315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509" w:rsidRPr="00BF1509" w:rsidRDefault="00BF1509" w:rsidP="00BF150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BF1509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101,93%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102,91%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103,36%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1509" w:rsidRPr="00BF1509" w:rsidRDefault="00BF1509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102,89%</w:t>
            </w:r>
          </w:p>
        </w:tc>
      </w:tr>
    </w:tbl>
    <w:p w:rsidR="00D12E8B" w:rsidRDefault="00D12E8B">
      <w:pPr>
        <w:rPr>
          <w:lang w:val="es-ES_tradnl"/>
        </w:rPr>
      </w:pPr>
    </w:p>
    <w:p w:rsidR="002F7383" w:rsidRDefault="00BF1509">
      <w:pPr>
        <w:rPr>
          <w:lang w:val="es-ES_tradnl"/>
        </w:rPr>
      </w:pPr>
      <w:r w:rsidRPr="00BF1509">
        <w:rPr>
          <w:noProof/>
          <w:lang w:eastAsia="es-ES"/>
        </w:rPr>
        <w:drawing>
          <wp:inline distT="0" distB="0" distL="0" distR="0">
            <wp:extent cx="5057775" cy="3152775"/>
            <wp:effectExtent l="19050" t="0" r="9525" b="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D12E8B" w:rsidRDefault="00D12E8B">
      <w:pPr>
        <w:rPr>
          <w:lang w:val="es-ES_tradnl"/>
        </w:rPr>
      </w:pPr>
    </w:p>
    <w:p w:rsidR="00FC2B1C" w:rsidRDefault="00FC2B1C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bookmarkStart w:id="1" w:name="_Toc536790030"/>
    </w:p>
    <w:p w:rsidR="004F6340" w:rsidRPr="008C6DC4" w:rsidRDefault="00682B88" w:rsidP="008C6DC4">
      <w:pPr>
        <w:spacing w:before="240" w:after="240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Evolución</w:t>
      </w:r>
      <w:r w:rsidR="004F6340" w:rsidRPr="008C6DC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de viajeros</w:t>
      </w:r>
      <w:bookmarkEnd w:id="1"/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20</w:t>
      </w:r>
      <w:r w:rsidR="00BF1509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22</w:t>
      </w:r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- 202</w:t>
      </w:r>
      <w:r w:rsidR="00BF1509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1</w:t>
      </w:r>
    </w:p>
    <w:p w:rsidR="002567A1" w:rsidRPr="00341CE7" w:rsidRDefault="002567A1"/>
    <w:tbl>
      <w:tblPr>
        <w:tblW w:w="61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78"/>
        <w:gridCol w:w="1480"/>
        <w:gridCol w:w="1201"/>
        <w:gridCol w:w="1480"/>
        <w:gridCol w:w="1201"/>
      </w:tblGrid>
      <w:tr w:rsidR="00FC2B1C" w:rsidRPr="00BF1509" w:rsidTr="00FC2B1C">
        <w:trPr>
          <w:trHeight w:val="1215"/>
        </w:trPr>
        <w:tc>
          <w:tcPr>
            <w:tcW w:w="80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</w:tcPr>
          <w:p w:rsidR="00FC2B1C" w:rsidRDefault="00FC2B1C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  <w:p w:rsidR="00FC2B1C" w:rsidRDefault="00FC2B1C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  <w:p w:rsidR="00FC2B1C" w:rsidRPr="00BF1509" w:rsidRDefault="00FC2B1C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Mes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C2B1C" w:rsidRPr="00BF1509" w:rsidRDefault="00FC2B1C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2021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C2B1C" w:rsidRPr="00BF1509" w:rsidRDefault="00FC2B1C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Incremento</w:t>
            </w: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2021-2020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C2B1C" w:rsidRPr="00BF1509" w:rsidRDefault="00FC2B1C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2022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vAlign w:val="center"/>
            <w:hideMark/>
          </w:tcPr>
          <w:p w:rsidR="00FC2B1C" w:rsidRPr="00BF1509" w:rsidRDefault="00FC2B1C" w:rsidP="00BF150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Incremento</w:t>
            </w: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2022-2021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Enero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2.128.169   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-37,58%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2.482.698   </w:t>
            </w:r>
          </w:p>
        </w:tc>
        <w:tc>
          <w:tcPr>
            <w:tcW w:w="12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16,66%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Febrero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2.073.113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-36,37%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2.634.245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27,07%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Marzo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2.536.360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45,14%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2.974.820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17,29%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Abril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2.413.845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511,94%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2.763.939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14,50%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Mayo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2.592.215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200,99%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3.015.321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16,32%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Junio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2.576.299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46,21%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2.884.089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11,95%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Julio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2.500.024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15,14%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2.722.807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8,91%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Agosto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2.288.229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12,77%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2.651.175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15,86%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Septiembre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2.680.297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29,67%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3.049.518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13,78%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Octubre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2.761.694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14,28%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3.369.571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22,01%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Noviembre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2.827.641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13,38%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3.453.065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22,12%</w:t>
            </w:r>
          </w:p>
        </w:tc>
      </w:tr>
      <w:tr w:rsidR="00FC2B1C" w:rsidRPr="00BF1509" w:rsidTr="00FC2B1C">
        <w:trPr>
          <w:trHeight w:val="315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color w:val="000000"/>
                <w:lang w:eastAsia="es-ES"/>
              </w:rPr>
              <w:t>Diciembre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2.625.208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10,73%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3.224.175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color w:val="000000"/>
                <w:lang w:eastAsia="es-ES"/>
              </w:rPr>
              <w:t>22,82%</w:t>
            </w:r>
          </w:p>
        </w:tc>
      </w:tr>
      <w:tr w:rsidR="00FC2B1C" w:rsidRPr="00BF1509" w:rsidTr="00FC2B1C">
        <w:trPr>
          <w:trHeight w:val="234"/>
        </w:trPr>
        <w:tc>
          <w:tcPr>
            <w:tcW w:w="805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FC2B1C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Total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  30.003.094   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20,10%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       35.225.423   </w:t>
            </w:r>
          </w:p>
        </w:tc>
        <w:tc>
          <w:tcPr>
            <w:tcW w:w="12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FC2B1C" w:rsidRPr="00BF1509" w:rsidRDefault="00FC2B1C" w:rsidP="00BF15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F150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17,41%</w:t>
            </w:r>
          </w:p>
        </w:tc>
      </w:tr>
    </w:tbl>
    <w:p w:rsidR="005E1C4B" w:rsidRDefault="005E1C4B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9F1E97" w:rsidRDefault="009F1E97" w:rsidP="002F7383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:rsidR="00E150A0" w:rsidRPr="002F7383" w:rsidRDefault="00EE205C" w:rsidP="002F7383"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 xml:space="preserve">Índice de satisfacción del cliente </w:t>
      </w:r>
      <w:r w:rsidR="00812CA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2011- </w:t>
      </w:r>
      <w:r w:rsidRPr="00EE205C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</w:t>
      </w:r>
      <w:r w:rsidR="000357D1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</w:t>
      </w:r>
      <w:r w:rsidR="002F7383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1</w:t>
      </w:r>
      <w:r w:rsidR="00E150A0">
        <w:rPr>
          <w:rFonts w:ascii="Helvetica" w:eastAsia="MS Mincho" w:hAnsi="Helvetica" w:cs="Times New Roman"/>
          <w:sz w:val="24"/>
          <w:szCs w:val="24"/>
          <w:lang w:eastAsia="es-ES"/>
        </w:rPr>
        <w:t>.</w:t>
      </w:r>
    </w:p>
    <w:p w:rsidR="00625227" w:rsidRDefault="00EE205C" w:rsidP="00E72B04">
      <w:pPr>
        <w:jc w:val="both"/>
        <w:rPr>
          <w:rFonts w:ascii="Helvetica" w:eastAsia="MS Mincho" w:hAnsi="Helvetica" w:cs="Times New Roman"/>
          <w:b/>
          <w:sz w:val="24"/>
          <w:szCs w:val="24"/>
          <w:u w:val="single"/>
          <w:lang w:eastAsia="es-ES"/>
        </w:rPr>
      </w:pP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>En la última encuesta realizada</w:t>
      </w:r>
      <w:r w:rsid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 en 20</w:t>
      </w:r>
      <w:r w:rsidR="002F7383">
        <w:rPr>
          <w:rFonts w:ascii="Helvetica" w:eastAsia="MS Mincho" w:hAnsi="Helvetica" w:cs="Times New Roman"/>
          <w:sz w:val="24"/>
          <w:szCs w:val="24"/>
          <w:lang w:eastAsia="es-ES"/>
        </w:rPr>
        <w:t>21</w:t>
      </w: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, Guaguas Municipales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S.A. </w:t>
      </w:r>
      <w:r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obtuvo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 xml:space="preserve">una puntuación de 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>8,91</w:t>
      </w:r>
      <w:r w:rsidR="00625227" w:rsidRPr="00E150A0">
        <w:rPr>
          <w:sz w:val="24"/>
          <w:szCs w:val="24"/>
        </w:rPr>
        <w:t xml:space="preserve"> </w:t>
      </w:r>
      <w:r w:rsidR="00E72B04" w:rsidRPr="00E150A0">
        <w:rPr>
          <w:rFonts w:ascii="Helvetica" w:eastAsia="MS Mincho" w:hAnsi="Helvetica" w:cs="Times New Roman"/>
          <w:sz w:val="24"/>
          <w:szCs w:val="24"/>
          <w:lang w:eastAsia="es-ES"/>
        </w:rPr>
        <w:t>sobre 10 en el índice de satisfacción del cliente</w:t>
      </w:r>
      <w:r w:rsidR="00557046">
        <w:rPr>
          <w:rFonts w:ascii="Helvetica" w:eastAsia="MS Mincho" w:hAnsi="Helvetica" w:cs="Times New Roman"/>
          <w:sz w:val="24"/>
          <w:szCs w:val="24"/>
          <w:lang w:eastAsia="es-ES"/>
        </w:rPr>
        <w:t>, superando en casi de un punto el resultado anterior (7,96).</w:t>
      </w:r>
      <w:r w:rsidR="005E1C4B">
        <w:rPr>
          <w:rFonts w:ascii="Helvetica" w:eastAsia="MS Mincho" w:hAnsi="Helvetica" w:cs="Times New Roman"/>
          <w:sz w:val="24"/>
          <w:szCs w:val="24"/>
          <w:lang w:eastAsia="es-ES"/>
        </w:rPr>
        <w:t xml:space="preserve"> </w:t>
      </w:r>
      <w:r w:rsidR="005E1C4B" w:rsidRPr="006338EC">
        <w:rPr>
          <w:rFonts w:ascii="Helvetica" w:eastAsia="MS Mincho" w:hAnsi="Helvetica" w:cs="Times New Roman"/>
          <w:b/>
          <w:sz w:val="24"/>
          <w:szCs w:val="24"/>
          <w:u w:val="single"/>
          <w:lang w:eastAsia="es-ES"/>
        </w:rPr>
        <w:t>No se han realizado más encuestas hasta la fecha.</w:t>
      </w:r>
    </w:p>
    <w:p w:rsidR="006338EC" w:rsidRPr="006338EC" w:rsidRDefault="006338EC" w:rsidP="00E72B04">
      <w:pPr>
        <w:jc w:val="both"/>
        <w:rPr>
          <w:rFonts w:ascii="Helvetica" w:eastAsia="MS Mincho" w:hAnsi="Helvetica" w:cs="Times New Roman"/>
          <w:b/>
          <w:sz w:val="24"/>
          <w:szCs w:val="24"/>
          <w:u w:val="single"/>
          <w:lang w:eastAsia="es-ES"/>
        </w:rPr>
      </w:pPr>
      <w:r>
        <w:rPr>
          <w:rFonts w:ascii="Helvetica" w:eastAsia="MS Mincho" w:hAnsi="Helvetica" w:cs="Times New Roman"/>
          <w:b/>
          <w:sz w:val="24"/>
          <w:szCs w:val="24"/>
          <w:u w:val="single"/>
          <w:lang w:eastAsia="es-ES"/>
        </w:rPr>
        <w:t>En 2023 no se dispone de más datos hasta la realización de una nueva encuesta de movilidad</w:t>
      </w:r>
    </w:p>
    <w:p w:rsidR="00557046" w:rsidRDefault="00557046" w:rsidP="00E72B04">
      <w:pPr>
        <w:jc w:val="both"/>
        <w:rPr>
          <w:rFonts w:ascii="Helvetica" w:eastAsia="MS Mincho" w:hAnsi="Helvetica" w:cs="Times New Roman"/>
          <w:sz w:val="24"/>
          <w:szCs w:val="24"/>
          <w:lang w:eastAsia="es-ES"/>
        </w:rPr>
      </w:pPr>
    </w:p>
    <w:tbl>
      <w:tblPr>
        <w:tblW w:w="240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279"/>
        <w:gridCol w:w="1121"/>
      </w:tblGrid>
      <w:tr w:rsidR="006338EC" w:rsidRPr="006338EC" w:rsidTr="006338EC">
        <w:trPr>
          <w:trHeight w:val="315"/>
        </w:trPr>
        <w:tc>
          <w:tcPr>
            <w:tcW w:w="24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Año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ISC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2011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7,33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2013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7,29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2015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7,47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2017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7,76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2018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7,92</w:t>
            </w:r>
          </w:p>
        </w:tc>
      </w:tr>
      <w:tr w:rsidR="006338EC" w:rsidRPr="006338EC" w:rsidTr="006338EC">
        <w:trPr>
          <w:trHeight w:val="300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2019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7,96</w:t>
            </w:r>
          </w:p>
        </w:tc>
      </w:tr>
      <w:tr w:rsidR="006338EC" w:rsidRPr="006338EC" w:rsidTr="006338EC">
        <w:trPr>
          <w:trHeight w:val="315"/>
        </w:trPr>
        <w:tc>
          <w:tcPr>
            <w:tcW w:w="127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2021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338EC" w:rsidRPr="006338EC" w:rsidRDefault="006338EC" w:rsidP="006338E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338EC">
              <w:rPr>
                <w:rFonts w:ascii="Calibri" w:eastAsia="Times New Roman" w:hAnsi="Calibri" w:cs="Calibri"/>
                <w:color w:val="000000"/>
                <w:lang w:eastAsia="es-ES"/>
              </w:rPr>
              <w:t>8,21</w:t>
            </w:r>
          </w:p>
        </w:tc>
      </w:tr>
    </w:tbl>
    <w:p w:rsidR="00557046" w:rsidRDefault="00557046" w:rsidP="00E72B04">
      <w:pPr>
        <w:jc w:val="both"/>
      </w:pPr>
    </w:p>
    <w:p w:rsidR="006338EC" w:rsidRDefault="006338EC" w:rsidP="00E72B04">
      <w:pPr>
        <w:jc w:val="both"/>
      </w:pPr>
      <w:r w:rsidRPr="006338EC">
        <w:rPr>
          <w:noProof/>
          <w:lang w:eastAsia="es-ES"/>
        </w:rPr>
        <w:drawing>
          <wp:inline distT="0" distB="0" distL="0" distR="0">
            <wp:extent cx="5400040" cy="2621289"/>
            <wp:effectExtent l="19050" t="0" r="10160" b="7611"/>
            <wp:docPr id="6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766457" w:rsidRDefault="00766457" w:rsidP="00E72B04">
      <w:pPr>
        <w:jc w:val="both"/>
      </w:pPr>
    </w:p>
    <w:p w:rsidR="00766457" w:rsidRDefault="00766457" w:rsidP="00E72B04">
      <w:pPr>
        <w:jc w:val="both"/>
      </w:pPr>
    </w:p>
    <w:sectPr w:rsidR="00766457" w:rsidSect="00581F65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3894" w:rsidRDefault="00EE3894" w:rsidP="00D12E8B">
      <w:pPr>
        <w:spacing w:after="0" w:line="240" w:lineRule="auto"/>
      </w:pPr>
      <w:r>
        <w:separator/>
      </w:r>
    </w:p>
  </w:endnote>
  <w:endnote w:type="continuationSeparator" w:id="0">
    <w:p w:rsidR="00EE3894" w:rsidRDefault="00EE3894" w:rsidP="00D1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894" w:rsidRDefault="00EE3894">
    <w:pPr>
      <w:pStyle w:val="Piedepgina"/>
    </w:pPr>
    <w:r w:rsidRPr="00D12E8B">
      <w:rPr>
        <w:noProof/>
        <w:lang w:eastAsia="es-ES"/>
      </w:rPr>
      <w:drawing>
        <wp:inline distT="0" distB="0" distL="0" distR="0">
          <wp:extent cx="5067300" cy="351948"/>
          <wp:effectExtent l="19050" t="0" r="0" b="0"/>
          <wp:docPr id="79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6176" cy="3553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3894" w:rsidRDefault="00EE3894" w:rsidP="00D12E8B">
      <w:pPr>
        <w:spacing w:after="0" w:line="240" w:lineRule="auto"/>
      </w:pPr>
      <w:r>
        <w:separator/>
      </w:r>
    </w:p>
  </w:footnote>
  <w:footnote w:type="continuationSeparator" w:id="0">
    <w:p w:rsidR="00EE3894" w:rsidRDefault="00EE3894" w:rsidP="00D1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3894" w:rsidRDefault="00EE3894">
    <w:pPr>
      <w:pStyle w:val="Encabezado"/>
    </w:pPr>
    <w:r w:rsidRPr="00D12E8B"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-546735</wp:posOffset>
          </wp:positionH>
          <wp:positionV relativeFrom="paragraph">
            <wp:posOffset>-154305</wp:posOffset>
          </wp:positionV>
          <wp:extent cx="1943100" cy="504825"/>
          <wp:effectExtent l="19050" t="0" r="0" b="0"/>
          <wp:wrapSquare wrapText="bothSides"/>
          <wp:docPr id="5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100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2E8B"/>
    <w:rsid w:val="000111A0"/>
    <w:rsid w:val="000357D1"/>
    <w:rsid w:val="00051E41"/>
    <w:rsid w:val="00086651"/>
    <w:rsid w:val="000A3322"/>
    <w:rsid w:val="000E7079"/>
    <w:rsid w:val="001E7921"/>
    <w:rsid w:val="001F39C1"/>
    <w:rsid w:val="00224844"/>
    <w:rsid w:val="002567A1"/>
    <w:rsid w:val="0027391D"/>
    <w:rsid w:val="002F5235"/>
    <w:rsid w:val="002F7383"/>
    <w:rsid w:val="00312F99"/>
    <w:rsid w:val="00320DCB"/>
    <w:rsid w:val="00341CE7"/>
    <w:rsid w:val="0036691F"/>
    <w:rsid w:val="00372CAA"/>
    <w:rsid w:val="003A71CE"/>
    <w:rsid w:val="003B4050"/>
    <w:rsid w:val="00423B4F"/>
    <w:rsid w:val="004338F2"/>
    <w:rsid w:val="00462403"/>
    <w:rsid w:val="004D6F17"/>
    <w:rsid w:val="004F6340"/>
    <w:rsid w:val="00512D92"/>
    <w:rsid w:val="005228BA"/>
    <w:rsid w:val="00553F41"/>
    <w:rsid w:val="00557046"/>
    <w:rsid w:val="00581F65"/>
    <w:rsid w:val="005B690D"/>
    <w:rsid w:val="005D72B3"/>
    <w:rsid w:val="005E1C4B"/>
    <w:rsid w:val="0060359F"/>
    <w:rsid w:val="00625227"/>
    <w:rsid w:val="006338EC"/>
    <w:rsid w:val="006764C6"/>
    <w:rsid w:val="00682B88"/>
    <w:rsid w:val="006A73A4"/>
    <w:rsid w:val="006C3F80"/>
    <w:rsid w:val="00707C1B"/>
    <w:rsid w:val="007104EB"/>
    <w:rsid w:val="00727EF1"/>
    <w:rsid w:val="007314B3"/>
    <w:rsid w:val="00766457"/>
    <w:rsid w:val="00784D22"/>
    <w:rsid w:val="00812CA1"/>
    <w:rsid w:val="008728D8"/>
    <w:rsid w:val="008C6DC4"/>
    <w:rsid w:val="008E10B9"/>
    <w:rsid w:val="009F1E97"/>
    <w:rsid w:val="00A70CA4"/>
    <w:rsid w:val="00BF1509"/>
    <w:rsid w:val="00C33983"/>
    <w:rsid w:val="00C61531"/>
    <w:rsid w:val="00CA5E4F"/>
    <w:rsid w:val="00D12E8B"/>
    <w:rsid w:val="00D54B67"/>
    <w:rsid w:val="00DC7705"/>
    <w:rsid w:val="00DE524F"/>
    <w:rsid w:val="00DF15F8"/>
    <w:rsid w:val="00DF1DFE"/>
    <w:rsid w:val="00E150A0"/>
    <w:rsid w:val="00E72113"/>
    <w:rsid w:val="00E72B04"/>
    <w:rsid w:val="00EE205C"/>
    <w:rsid w:val="00EE3894"/>
    <w:rsid w:val="00EF5003"/>
    <w:rsid w:val="00F4621F"/>
    <w:rsid w:val="00F75353"/>
    <w:rsid w:val="00F77AF3"/>
    <w:rsid w:val="00F82F69"/>
    <w:rsid w:val="00FC2B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B1C"/>
  </w:style>
  <w:style w:type="paragraph" w:styleId="Ttulo1">
    <w:name w:val="heading 1"/>
    <w:basedOn w:val="Normal"/>
    <w:next w:val="Normal"/>
    <w:link w:val="Ttulo1Car"/>
    <w:uiPriority w:val="9"/>
    <w:qFormat/>
    <w:rsid w:val="00D12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2E8B"/>
  </w:style>
  <w:style w:type="paragraph" w:styleId="Piedepgina">
    <w:name w:val="footer"/>
    <w:basedOn w:val="Normal"/>
    <w:link w:val="PiedepginaCar"/>
    <w:uiPriority w:val="99"/>
    <w:semiHidden/>
    <w:unhideWhenUsed/>
    <w:rsid w:val="00D12E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2E8B"/>
  </w:style>
  <w:style w:type="paragraph" w:styleId="Textodeglobo">
    <w:name w:val="Balloon Text"/>
    <w:basedOn w:val="Normal"/>
    <w:link w:val="TextodegloboCar"/>
    <w:uiPriority w:val="99"/>
    <w:semiHidden/>
    <w:unhideWhenUsed/>
    <w:rsid w:val="00D12E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2E8B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2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9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47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0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5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2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3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infraestructuras\INDICADORES%20Y%20ESTUDIOS\COORDINACI&#211;N,%20INNOVACI&#211;N%20E%20INFRAESTRUCTURAS\Cuadro%20Operativo\Cuadros%20Operativos%20a&#241;os%20anteriores\Cuadro%20Operativo%20GMSA%202022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192.168.2.222\transparencia\TRANSPARENCIA%202024\Remisi&#243;n%20de%20informaci&#243;n%20al%20Comisionado\Informaci&#243;n%20para%20el%20portal\12.%20ESTAD&#205;STICA\ISC%20Gr&#225;fic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chart>
    <c:title>
      <c:tx>
        <c:rich>
          <a:bodyPr/>
          <a:lstStyle/>
          <a:p>
            <a:pPr>
              <a:defRPr/>
            </a:pPr>
            <a:r>
              <a:rPr lang="es-ES" sz="1400"/>
              <a:t>Nivel de cobertura del servicio 2022</a:t>
            </a:r>
          </a:p>
        </c:rich>
      </c:tx>
      <c:layout/>
      <c:overlay val="1"/>
    </c:title>
    <c:plotArea>
      <c:layout>
        <c:manualLayout>
          <c:layoutTarget val="inner"/>
          <c:xMode val="edge"/>
          <c:yMode val="edge"/>
          <c:x val="0.14506161306107923"/>
          <c:y val="0.15974213193139436"/>
          <c:w val="0.64342541928021801"/>
          <c:h val="0.57397150129647778"/>
        </c:manualLayout>
      </c:layout>
      <c:lineChart>
        <c:grouping val="standard"/>
        <c:ser>
          <c:idx val="0"/>
          <c:order val="0"/>
          <c:tx>
            <c:v>Laborables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6'!$C$3:$C$14</c:f>
              <c:numCache>
                <c:formatCode>0.00%</c:formatCode>
                <c:ptCount val="12"/>
                <c:pt idx="0">
                  <c:v>1.014</c:v>
                </c:pt>
                <c:pt idx="1">
                  <c:v>1.0409999999999995</c:v>
                </c:pt>
                <c:pt idx="2">
                  <c:v>1.024</c:v>
                </c:pt>
                <c:pt idx="3">
                  <c:v>1.0209999999999995</c:v>
                </c:pt>
                <c:pt idx="4">
                  <c:v>1.0209999999999995</c:v>
                </c:pt>
                <c:pt idx="5">
                  <c:v>1.0189999999999995</c:v>
                </c:pt>
                <c:pt idx="6">
                  <c:v>1.014</c:v>
                </c:pt>
                <c:pt idx="7">
                  <c:v>1.0194999999999996</c:v>
                </c:pt>
                <c:pt idx="8">
                  <c:v>1.0087999999999995</c:v>
                </c:pt>
                <c:pt idx="9">
                  <c:v>1.0105</c:v>
                </c:pt>
                <c:pt idx="10">
                  <c:v>1.0154999999999996</c:v>
                </c:pt>
                <c:pt idx="11">
                  <c:v>1.0173999999999996</c:v>
                </c:pt>
              </c:numCache>
            </c:numRef>
          </c:val>
        </c:ser>
        <c:ser>
          <c:idx val="1"/>
          <c:order val="1"/>
          <c:tx>
            <c:v>Sábados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6'!$D$3:$D$14</c:f>
              <c:numCache>
                <c:formatCode>0.00%</c:formatCode>
                <c:ptCount val="12"/>
                <c:pt idx="0">
                  <c:v>1.0409999999999995</c:v>
                </c:pt>
                <c:pt idx="1">
                  <c:v>1.04</c:v>
                </c:pt>
                <c:pt idx="2">
                  <c:v>1.038</c:v>
                </c:pt>
                <c:pt idx="3">
                  <c:v>1.0409999999999995</c:v>
                </c:pt>
                <c:pt idx="4">
                  <c:v>1.034</c:v>
                </c:pt>
                <c:pt idx="5">
                  <c:v>1.036</c:v>
                </c:pt>
                <c:pt idx="6">
                  <c:v>1.0369999999999995</c:v>
                </c:pt>
                <c:pt idx="7">
                  <c:v>1.0169999999999995</c:v>
                </c:pt>
                <c:pt idx="8">
                  <c:v>1.004</c:v>
                </c:pt>
                <c:pt idx="9">
                  <c:v>1.0029999999999994</c:v>
                </c:pt>
                <c:pt idx="10">
                  <c:v>1.0111999999999997</c:v>
                </c:pt>
                <c:pt idx="11">
                  <c:v>1.0142</c:v>
                </c:pt>
              </c:numCache>
            </c:numRef>
          </c:val>
        </c:ser>
        <c:ser>
          <c:idx val="2"/>
          <c:order val="2"/>
          <c:tx>
            <c:v>Festivos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6'!$E$3:$E$14</c:f>
              <c:numCache>
                <c:formatCode>0.00%</c:formatCode>
                <c:ptCount val="12"/>
                <c:pt idx="0">
                  <c:v>1.03</c:v>
                </c:pt>
                <c:pt idx="1">
                  <c:v>1.0429999999999995</c:v>
                </c:pt>
                <c:pt idx="2">
                  <c:v>1.04</c:v>
                </c:pt>
                <c:pt idx="3">
                  <c:v>1.04</c:v>
                </c:pt>
                <c:pt idx="4">
                  <c:v>1.04</c:v>
                </c:pt>
                <c:pt idx="5">
                  <c:v>1.0329999999999995</c:v>
                </c:pt>
                <c:pt idx="6">
                  <c:v>1.0249999999999995</c:v>
                </c:pt>
                <c:pt idx="7">
                  <c:v>1.034</c:v>
                </c:pt>
                <c:pt idx="8">
                  <c:v>1.0229999999999995</c:v>
                </c:pt>
                <c:pt idx="9">
                  <c:v>1.028</c:v>
                </c:pt>
                <c:pt idx="10">
                  <c:v>1.0367999999999995</c:v>
                </c:pt>
                <c:pt idx="11">
                  <c:v>1.0369999999999995</c:v>
                </c:pt>
              </c:numCache>
            </c:numRef>
          </c:val>
        </c:ser>
        <c:ser>
          <c:idx val="3"/>
          <c:order val="3"/>
          <c:tx>
            <c:v>Total mes</c:v>
          </c:tx>
          <c:marker>
            <c:symbol val="none"/>
          </c:marker>
          <c:cat>
            <c:strRef>
              <c:f>'Ind 6'!$B$3:$B$14</c:f>
              <c:strCache>
                <c:ptCount val="12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</c:strCache>
            </c:strRef>
          </c:cat>
          <c:val>
            <c:numRef>
              <c:f>'Ind 6'!$F$3:$F$14</c:f>
              <c:numCache>
                <c:formatCode>0.00%</c:formatCode>
                <c:ptCount val="12"/>
                <c:pt idx="0">
                  <c:v>1.0185999999999995</c:v>
                </c:pt>
                <c:pt idx="1">
                  <c:v>1.0411999999999995</c:v>
                </c:pt>
                <c:pt idx="2">
                  <c:v>1.0266999999999995</c:v>
                </c:pt>
                <c:pt idx="3">
                  <c:v>1.0250999999999995</c:v>
                </c:pt>
                <c:pt idx="4">
                  <c:v>1.0243</c:v>
                </c:pt>
                <c:pt idx="5">
                  <c:v>1.0215999999999996</c:v>
                </c:pt>
                <c:pt idx="6">
                  <c:v>1.0173999999999996</c:v>
                </c:pt>
                <c:pt idx="7">
                  <c:v>1.0349999999999995</c:v>
                </c:pt>
                <c:pt idx="8">
                  <c:v>1.04</c:v>
                </c:pt>
                <c:pt idx="9">
                  <c:v>1.0389999999999995</c:v>
                </c:pt>
                <c:pt idx="10">
                  <c:v>1.0358999999999996</c:v>
                </c:pt>
                <c:pt idx="11">
                  <c:v>1.0246999999999995</c:v>
                </c:pt>
              </c:numCache>
            </c:numRef>
          </c:val>
        </c:ser>
        <c:marker val="1"/>
        <c:axId val="123812096"/>
        <c:axId val="123850752"/>
      </c:lineChart>
      <c:catAx>
        <c:axId val="123812096"/>
        <c:scaling>
          <c:orientation val="minMax"/>
        </c:scaling>
        <c:axPos val="b"/>
        <c:tickLblPos val="nextTo"/>
        <c:crossAx val="123850752"/>
        <c:crosses val="autoZero"/>
        <c:auto val="1"/>
        <c:lblAlgn val="ctr"/>
        <c:lblOffset val="100"/>
      </c:catAx>
      <c:valAx>
        <c:axId val="123850752"/>
        <c:scaling>
          <c:orientation val="minMax"/>
        </c:scaling>
        <c:axPos val="l"/>
        <c:majorGridlines/>
        <c:numFmt formatCode="0.00%" sourceLinked="1"/>
        <c:tickLblPos val="nextTo"/>
        <c:crossAx val="123812096"/>
        <c:crosses val="autoZero"/>
        <c:crossBetween val="between"/>
      </c:valAx>
    </c:plotArea>
    <c:legend>
      <c:legendPos val="r"/>
      <c:layout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s-ES"/>
  <c:style val="39"/>
  <c:chart>
    <c:title>
      <c:tx>
        <c:rich>
          <a:bodyPr/>
          <a:lstStyle/>
          <a:p>
            <a:pPr>
              <a:defRPr/>
            </a:pPr>
            <a:r>
              <a:rPr lang="en-US"/>
              <a:t>ISC</a:t>
            </a:r>
          </a:p>
        </c:rich>
      </c:tx>
      <c:layout>
        <c:manualLayout>
          <c:xMode val="edge"/>
          <c:yMode val="edge"/>
          <c:x val="0.36422922134733182"/>
          <c:y val="6.9444444444444503E-2"/>
        </c:manualLayout>
      </c:layout>
    </c:title>
    <c:view3D>
      <c:perspective val="30"/>
    </c:view3D>
    <c:plotArea>
      <c:layout/>
      <c:bar3DChart>
        <c:barDir val="col"/>
        <c:grouping val="standard"/>
        <c:ser>
          <c:idx val="0"/>
          <c:order val="0"/>
          <c:tx>
            <c:v>ISC</c:v>
          </c:tx>
          <c:cat>
            <c:numRef>
              <c:f>Hoja1!$A$3:$A$9</c:f>
              <c:numCache>
                <c:formatCode>General</c:formatCode>
                <c:ptCount val="7"/>
                <c:pt idx="0">
                  <c:v>2011</c:v>
                </c:pt>
                <c:pt idx="1">
                  <c:v>2013</c:v>
                </c:pt>
                <c:pt idx="2">
                  <c:v>2015</c:v>
                </c:pt>
                <c:pt idx="3">
                  <c:v>2017</c:v>
                </c:pt>
                <c:pt idx="4">
                  <c:v>2018</c:v>
                </c:pt>
                <c:pt idx="5">
                  <c:v>2019</c:v>
                </c:pt>
                <c:pt idx="6">
                  <c:v>2021</c:v>
                </c:pt>
              </c:numCache>
            </c:numRef>
          </c:cat>
          <c:val>
            <c:numRef>
              <c:f>Hoja1!$B$3:$B$9</c:f>
              <c:numCache>
                <c:formatCode>General</c:formatCode>
                <c:ptCount val="7"/>
                <c:pt idx="0">
                  <c:v>7.33</c:v>
                </c:pt>
                <c:pt idx="1">
                  <c:v>7.29</c:v>
                </c:pt>
                <c:pt idx="2">
                  <c:v>7.4700000000000006</c:v>
                </c:pt>
                <c:pt idx="3">
                  <c:v>7.76</c:v>
                </c:pt>
                <c:pt idx="4">
                  <c:v>7.92</c:v>
                </c:pt>
                <c:pt idx="5">
                  <c:v>7.96</c:v>
                </c:pt>
                <c:pt idx="6">
                  <c:v>8.2100000000000009</c:v>
                </c:pt>
              </c:numCache>
            </c:numRef>
          </c:val>
        </c:ser>
        <c:shape val="cylinder"/>
        <c:axId val="91121920"/>
        <c:axId val="91127808"/>
        <c:axId val="116895744"/>
      </c:bar3DChart>
      <c:catAx>
        <c:axId val="91121920"/>
        <c:scaling>
          <c:orientation val="minMax"/>
        </c:scaling>
        <c:axPos val="b"/>
        <c:numFmt formatCode="General" sourceLinked="1"/>
        <c:tickLblPos val="nextTo"/>
        <c:crossAx val="91127808"/>
        <c:crosses val="autoZero"/>
        <c:auto val="1"/>
        <c:lblAlgn val="ctr"/>
        <c:lblOffset val="100"/>
      </c:catAx>
      <c:valAx>
        <c:axId val="91127808"/>
        <c:scaling>
          <c:orientation val="minMax"/>
        </c:scaling>
        <c:axPos val="l"/>
        <c:majorGridlines/>
        <c:numFmt formatCode="General" sourceLinked="1"/>
        <c:tickLblPos val="nextTo"/>
        <c:crossAx val="91121920"/>
        <c:crosses val="autoZero"/>
        <c:crossBetween val="between"/>
      </c:valAx>
      <c:serAx>
        <c:axId val="116895744"/>
        <c:scaling>
          <c:orientation val="minMax"/>
        </c:scaling>
        <c:axPos val="b"/>
        <c:tickLblPos val="nextTo"/>
        <c:crossAx val="91127808"/>
        <c:crosses val="autoZero"/>
      </c:serAx>
    </c:plotArea>
    <c:legend>
      <c:legendPos val="r"/>
      <c:layout/>
    </c:legend>
    <c:plotVisOnly val="1"/>
  </c:chart>
  <c:externalData r:id="rId1"/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331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6</cp:revision>
  <cp:lastPrinted>2021-09-03T11:18:00Z</cp:lastPrinted>
  <dcterms:created xsi:type="dcterms:W3CDTF">2023-05-25T12:39:00Z</dcterms:created>
  <dcterms:modified xsi:type="dcterms:W3CDTF">2024-01-19T08:37:00Z</dcterms:modified>
</cp:coreProperties>
</file>