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EDB648" w14:textId="77777777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 xml:space="preserve">Resumen de contratos menores: número, importe global y porcentaje que representan respecto de la totalidad de los contratos formalizados </w:t>
      </w:r>
    </w:p>
    <w:p w14:paraId="2776CF69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13FFAE2A" w14:textId="77777777" w:rsidR="009948C4" w:rsidRDefault="00000000">
      <w:pPr>
        <w:spacing w:after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 presentan a continuación los datos de proporción de contratos menores frente al total de la contratación formalizada, que incluye: contratos formalizados publicados en PLACE, contratos específicos (Sistemas Dinámicos de Adquisición) y contratos menores. </w:t>
      </w:r>
    </w:p>
    <w:p w14:paraId="52C92B84" w14:textId="77777777" w:rsidR="009948C4" w:rsidRDefault="00000000">
      <w:pPr>
        <w:spacing w:after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El dato se ofrece tanto en número de contratos formalizados, como en el valor económico licitado. </w:t>
      </w:r>
    </w:p>
    <w:p w14:paraId="0A9751E1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6A2CDFEE" w14:textId="77777777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2025</w:t>
      </w:r>
    </w:p>
    <w:tbl>
      <w:tblPr>
        <w:tblW w:w="1029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96"/>
        <w:gridCol w:w="1221"/>
        <w:gridCol w:w="2079"/>
      </w:tblGrid>
      <w:tr w:rsidR="009948C4" w14:paraId="0F01B190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979A55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30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0885CD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2025</w:t>
            </w:r>
          </w:p>
        </w:tc>
      </w:tr>
      <w:tr w:rsidR="009948C4" w14:paraId="04257600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059B9B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2F6F4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CD2587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7BE22FFA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2C9C31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70D48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94FE06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23.529.154,62 € </w:t>
            </w:r>
          </w:p>
        </w:tc>
      </w:tr>
      <w:tr w:rsidR="009948C4" w14:paraId="60D11482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577724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827A8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585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A2FD03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2.401.015,51 € </w:t>
            </w:r>
          </w:p>
        </w:tc>
      </w:tr>
      <w:tr w:rsidR="009948C4" w14:paraId="505CE16E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0CB6D0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CE1F82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237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B7ED2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1.658.960,32 € </w:t>
            </w:r>
          </w:p>
        </w:tc>
      </w:tr>
      <w:tr w:rsidR="009948C4" w14:paraId="77042545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11A12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91E799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848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6EC83A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        27.589.130,45 € </w:t>
            </w:r>
          </w:p>
        </w:tc>
      </w:tr>
      <w:tr w:rsidR="009948C4" w14:paraId="6E8760A2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16BDDA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22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7E42B8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27,95%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D23D52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6,01%</w:t>
            </w:r>
          </w:p>
        </w:tc>
      </w:tr>
    </w:tbl>
    <w:p w14:paraId="5A930BC7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5637C4E8" w14:textId="77777777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2024</w:t>
      </w:r>
    </w:p>
    <w:tbl>
      <w:tblPr>
        <w:tblW w:w="1034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41"/>
        <w:gridCol w:w="1276"/>
        <w:gridCol w:w="2126"/>
      </w:tblGrid>
      <w:tr w:rsidR="009948C4" w14:paraId="1687E905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89DC89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DE4EF6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</w:tr>
      <w:tr w:rsidR="009948C4" w14:paraId="7A66D27B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31A63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18434C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DA93D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6EFA2A1B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A5B30A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D2784C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5DEA81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8.128.994,94 € </w:t>
            </w:r>
          </w:p>
        </w:tc>
      </w:tr>
      <w:tr w:rsidR="009948C4" w14:paraId="49F148F6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2E4672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147F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692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42FD03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2.705.429,02 € </w:t>
            </w:r>
          </w:p>
        </w:tc>
      </w:tr>
      <w:tr w:rsidR="009948C4" w14:paraId="2349C7BB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88DC49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77AAF8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550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E6CCC1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2.568.525,74 € </w:t>
            </w:r>
          </w:p>
        </w:tc>
      </w:tr>
      <w:tr w:rsidR="009948C4" w14:paraId="32287FC1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800C93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F53B9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1.265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EB9E65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13.402.949,70 € </w:t>
            </w:r>
          </w:p>
        </w:tc>
      </w:tr>
      <w:tr w:rsidR="009948C4" w14:paraId="40F991A3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9DAA4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05A30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43,48%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4B9755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19,16%</w:t>
            </w:r>
          </w:p>
        </w:tc>
      </w:tr>
    </w:tbl>
    <w:p w14:paraId="4154FA7F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741AC3A2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5D077597" w14:textId="77777777" w:rsidR="003A21B6" w:rsidRDefault="003A21B6">
      <w:pPr>
        <w:suppressAutoHyphens w:val="0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 w:hint="eastAsia"/>
          <w:color w:val="1F2A48"/>
          <w:sz w:val="28"/>
          <w:szCs w:val="28"/>
        </w:rPr>
        <w:br w:type="page"/>
      </w:r>
    </w:p>
    <w:p w14:paraId="66ADE162" w14:textId="41225443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lastRenderedPageBreak/>
        <w:t>2023</w:t>
      </w:r>
    </w:p>
    <w:tbl>
      <w:tblPr>
        <w:tblW w:w="1029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41"/>
        <w:gridCol w:w="1276"/>
        <w:gridCol w:w="2077"/>
      </w:tblGrid>
      <w:tr w:rsidR="009948C4" w14:paraId="62F51B19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AC69BC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35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6111CF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9948C4" w14:paraId="2CCA01C6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1D734F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DD86C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8740B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0386B9E5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B2CE3D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9ED4AC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51B482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21.717.632,38 €</w:t>
            </w:r>
          </w:p>
        </w:tc>
      </w:tr>
      <w:tr w:rsidR="009948C4" w14:paraId="41507DA3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96316C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F2F505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633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AE932A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2.686.394,14 € </w:t>
            </w:r>
          </w:p>
        </w:tc>
      </w:tr>
      <w:tr w:rsidR="009948C4" w14:paraId="43D25FF8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F0A5B7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122C9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422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4608F5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1.968.327,25 € </w:t>
            </w:r>
          </w:p>
        </w:tc>
      </w:tr>
      <w:tr w:rsidR="009948C4" w14:paraId="5C337067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B87313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2392C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1.071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C25494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26.372.353,77 € </w:t>
            </w:r>
          </w:p>
        </w:tc>
      </w:tr>
      <w:tr w:rsidR="009948C4" w14:paraId="0663424D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6C19ED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2B724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39,40%</w:t>
            </w:r>
          </w:p>
        </w:tc>
        <w:tc>
          <w:tcPr>
            <w:tcW w:w="207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CB5407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7,46%</w:t>
            </w:r>
          </w:p>
        </w:tc>
      </w:tr>
    </w:tbl>
    <w:p w14:paraId="28F32877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13642251" w14:textId="77777777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2022</w:t>
      </w:r>
    </w:p>
    <w:tbl>
      <w:tblPr>
        <w:tblW w:w="1034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56"/>
        <w:gridCol w:w="1261"/>
        <w:gridCol w:w="2126"/>
      </w:tblGrid>
      <w:tr w:rsidR="009948C4" w14:paraId="2C6B96C9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85430A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38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69804B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2022</w:t>
            </w:r>
          </w:p>
        </w:tc>
      </w:tr>
      <w:tr w:rsidR="009948C4" w14:paraId="11312430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84792F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29C396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411E38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7461C211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45F0BF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31A8C8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24A885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25.337.972,20 € </w:t>
            </w:r>
          </w:p>
        </w:tc>
      </w:tr>
      <w:tr w:rsidR="009948C4" w14:paraId="565E01C3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EF884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70C0FD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561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A86602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1.522.991,50 € </w:t>
            </w:r>
          </w:p>
        </w:tc>
      </w:tr>
      <w:tr w:rsidR="009948C4" w14:paraId="6F0C0BC4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768807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4D6DD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7C2109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1.002.964,56 € </w:t>
            </w:r>
          </w:p>
        </w:tc>
      </w:tr>
      <w:tr w:rsidR="009948C4" w14:paraId="11DBD008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2C5292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878E5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764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F2921A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        27.863.928,26 € </w:t>
            </w:r>
          </w:p>
        </w:tc>
      </w:tr>
      <w:tr w:rsidR="009948C4" w14:paraId="1CEBB9A8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C87B8E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2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38B659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22,77%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86446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3,60%</w:t>
            </w:r>
          </w:p>
        </w:tc>
      </w:tr>
    </w:tbl>
    <w:p w14:paraId="1A3E2EE9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5E9A620E" w14:textId="77777777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2021</w:t>
      </w:r>
    </w:p>
    <w:tbl>
      <w:tblPr>
        <w:tblW w:w="1057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41"/>
        <w:gridCol w:w="1276"/>
        <w:gridCol w:w="2361"/>
      </w:tblGrid>
      <w:tr w:rsidR="009948C4" w14:paraId="6FE85DEB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0A2E1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63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656BE1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9948C4" w14:paraId="3AB8B28A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67EFA4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1366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6FEBE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4663ADFF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A61A85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54379C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E6269B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4.874.870,90 € </w:t>
            </w:r>
          </w:p>
        </w:tc>
      </w:tr>
      <w:tr w:rsidR="009948C4" w14:paraId="2A5690C6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16F77C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2146D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499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A6494A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572.604,54 € </w:t>
            </w:r>
          </w:p>
        </w:tc>
      </w:tr>
      <w:tr w:rsidR="009948C4" w14:paraId="3A9FCD2B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FCC8BB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AD8EBD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98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49DC92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          641.892,05 € </w:t>
            </w:r>
          </w:p>
        </w:tc>
      </w:tr>
      <w:tr w:rsidR="009948C4" w14:paraId="587DF8F2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8EB554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CF0EAA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623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725D9B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                6.089.367,49 € </w:t>
            </w:r>
          </w:p>
        </w:tc>
      </w:tr>
      <w:tr w:rsidR="009948C4" w14:paraId="65E8429E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C43C7E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2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1B325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15,73%</w:t>
            </w:r>
          </w:p>
        </w:tc>
        <w:tc>
          <w:tcPr>
            <w:tcW w:w="23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527892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10,54%</w:t>
            </w:r>
          </w:p>
        </w:tc>
      </w:tr>
    </w:tbl>
    <w:p w14:paraId="1A508F7A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1F9CFA43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141D596C" w14:textId="77777777" w:rsidR="003A21B6" w:rsidRDefault="003A21B6">
      <w:pPr>
        <w:suppressAutoHyphens w:val="0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 w:hint="eastAsia"/>
          <w:color w:val="1F2A48"/>
          <w:sz w:val="28"/>
          <w:szCs w:val="28"/>
        </w:rPr>
        <w:br w:type="page"/>
      </w:r>
    </w:p>
    <w:p w14:paraId="12A1F052" w14:textId="0237073D" w:rsidR="009948C4" w:rsidRDefault="00000000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lastRenderedPageBreak/>
        <w:t>2020</w:t>
      </w:r>
    </w:p>
    <w:tbl>
      <w:tblPr>
        <w:tblW w:w="1043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56"/>
        <w:gridCol w:w="1300"/>
        <w:gridCol w:w="2180"/>
      </w:tblGrid>
      <w:tr w:rsidR="009948C4" w14:paraId="40C8D48D" w14:textId="77777777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69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8D349B" w14:textId="77777777" w:rsidR="009948C4" w:rsidRDefault="00000000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RESUMEN DE CONTRATOS MENORES: NÚMERO, IMPORTE GLOBAL Y PORCENTAJE QUE REPRESENTAN RESPECTO DE LA TOTALIDAD DE LOS CONTRATOS FORMALIZADOS</w:t>
            </w:r>
          </w:p>
        </w:tc>
        <w:tc>
          <w:tcPr>
            <w:tcW w:w="348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80EB3" w14:textId="77777777" w:rsidR="009948C4" w:rsidRDefault="00000000">
            <w:pPr>
              <w:suppressAutoHyphens w:val="0"/>
              <w:jc w:val="center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  <w:t>2020</w:t>
            </w:r>
          </w:p>
        </w:tc>
      </w:tr>
      <w:tr w:rsidR="009948C4" w14:paraId="01AC22E6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9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8EF1CC" w14:textId="77777777" w:rsidR="009948C4" w:rsidRDefault="009948C4">
            <w:pPr>
              <w:suppressAutoHyphens w:val="0"/>
              <w:textAlignment w:val="auto"/>
              <w:rPr>
                <w:rFonts w:ascii="Helvetica" w:eastAsia="Times New Roman" w:hAnsi="Helvetic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DF116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Número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AA69DE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Cuantía económica</w:t>
            </w:r>
          </w:p>
        </w:tc>
      </w:tr>
      <w:tr w:rsidR="009948C4" w14:paraId="277CC914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C37C57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(sin contratos menores ni contratos específicos)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85FB94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113721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22.649.153,54 € </w:t>
            </w:r>
          </w:p>
        </w:tc>
      </w:tr>
      <w:tr w:rsidR="009948C4" w14:paraId="7C8E0AB7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3AC0CE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específicos (SDA)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03960C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271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A023E6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410.696,76 €</w:t>
            </w:r>
          </w:p>
        </w:tc>
      </w:tr>
      <w:tr w:rsidR="009948C4" w14:paraId="688D2A5A" w14:textId="77777777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3DF85A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Contratos menores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6D87DD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111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01E3CE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          806.458,46 € </w:t>
            </w:r>
          </w:p>
        </w:tc>
      </w:tr>
      <w:tr w:rsidR="009948C4" w14:paraId="774B1ABC" w14:textId="77777777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9EBAB5" w14:textId="77777777" w:rsidR="009948C4" w:rsidRDefault="00000000">
            <w:pPr>
              <w:suppressAutoHyphens w:val="0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  <w:proofErr w:type="gram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de contratos formalizados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6D5679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401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DE75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B1396" w14:textId="77777777" w:rsidR="009948C4" w:rsidRDefault="00000000">
            <w:pPr>
              <w:suppressAutoHyphens w:val="0"/>
              <w:jc w:val="right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    23.866.308,76 € </w:t>
            </w:r>
          </w:p>
        </w:tc>
      </w:tr>
      <w:tr w:rsidR="009948C4" w14:paraId="01B76679" w14:textId="77777777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69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4D95CF" w14:textId="77777777" w:rsidR="009948C4" w:rsidRDefault="00000000">
            <w:pPr>
              <w:suppressAutoHyphens w:val="0"/>
              <w:textAlignment w:val="auto"/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Proporción de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contratos menores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sobre todos los contratos formalizados</w:t>
            </w:r>
          </w:p>
        </w:tc>
        <w:tc>
          <w:tcPr>
            <w:tcW w:w="13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78F540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27,68%</w:t>
            </w:r>
          </w:p>
        </w:tc>
        <w:tc>
          <w:tcPr>
            <w:tcW w:w="218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FFEEB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563EE" w14:textId="77777777" w:rsidR="009948C4" w:rsidRDefault="00000000">
            <w:pPr>
              <w:suppressAutoHyphens w:val="0"/>
              <w:jc w:val="center"/>
              <w:textAlignment w:val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3,38%</w:t>
            </w:r>
          </w:p>
        </w:tc>
      </w:tr>
    </w:tbl>
    <w:p w14:paraId="73E2EE98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63E837BA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5EAECABD" w14:textId="77777777" w:rsidR="009948C4" w:rsidRDefault="009948C4">
      <w:pPr>
        <w:spacing w:after="120"/>
        <w:jc w:val="both"/>
        <w:rPr>
          <w:rFonts w:ascii="Helvetica" w:hAnsi="Helvetica" w:hint="eastAsia"/>
          <w:color w:val="1F2A48"/>
          <w:sz w:val="28"/>
          <w:szCs w:val="28"/>
        </w:rPr>
      </w:pPr>
    </w:p>
    <w:p w14:paraId="72A48B46" w14:textId="77777777" w:rsidR="009948C4" w:rsidRDefault="009948C4">
      <w:pPr>
        <w:spacing w:after="120"/>
        <w:jc w:val="both"/>
        <w:rPr>
          <w:rFonts w:ascii="Helvetica" w:hAnsi="Helvetica" w:hint="eastAsia"/>
          <w:bCs/>
          <w:sz w:val="22"/>
          <w:szCs w:val="22"/>
        </w:rPr>
      </w:pPr>
    </w:p>
    <w:sectPr w:rsidR="009948C4">
      <w:headerReference w:type="default" r:id="rId6"/>
      <w:footerReference w:type="default" r:id="rId7"/>
      <w:pgSz w:w="11901" w:h="16817"/>
      <w:pgMar w:top="1985" w:right="851" w:bottom="851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47F4F" w14:textId="77777777" w:rsidR="00A2107C" w:rsidRDefault="00A2107C">
      <w:r>
        <w:separator/>
      </w:r>
    </w:p>
  </w:endnote>
  <w:endnote w:type="continuationSeparator" w:id="0">
    <w:p w14:paraId="3AB7EAA1" w14:textId="77777777" w:rsidR="00A2107C" w:rsidRDefault="00A2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2C4E8" w14:textId="77777777" w:rsidR="00000000" w:rsidRDefault="00000000">
    <w:pPr>
      <w:pStyle w:val="Piedepgina"/>
    </w:pPr>
    <w:r>
      <w:rPr>
        <w:noProof/>
      </w:rPr>
      <w:drawing>
        <wp:inline distT="0" distB="0" distL="0" distR="0" wp14:anchorId="34186A73" wp14:editId="27B88629">
          <wp:extent cx="6478267" cy="474345"/>
          <wp:effectExtent l="0" t="0" r="0" b="1905"/>
          <wp:docPr id="1424211091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B3CF81" w14:textId="77777777" w:rsidR="00A2107C" w:rsidRDefault="00A2107C">
      <w:r>
        <w:rPr>
          <w:color w:val="000000"/>
        </w:rPr>
        <w:separator/>
      </w:r>
    </w:p>
  </w:footnote>
  <w:footnote w:type="continuationSeparator" w:id="0">
    <w:p w14:paraId="6FF89E3F" w14:textId="77777777" w:rsidR="00A2107C" w:rsidRDefault="00A210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1E387" w14:textId="77777777" w:rsidR="00000000" w:rsidRDefault="00000000">
    <w:pPr>
      <w:pStyle w:val="Encabezado"/>
    </w:pPr>
    <w:r>
      <w:rPr>
        <w:noProof/>
      </w:rPr>
      <w:drawing>
        <wp:inline distT="0" distB="0" distL="0" distR="0" wp14:anchorId="75F02474" wp14:editId="18B35D8B">
          <wp:extent cx="1984376" cy="577845"/>
          <wp:effectExtent l="0" t="0" r="0" b="0"/>
          <wp:docPr id="1039898972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9948C4"/>
    <w:rsid w:val="001B17DF"/>
    <w:rsid w:val="00320377"/>
    <w:rsid w:val="003A21B6"/>
    <w:rsid w:val="009948C4"/>
    <w:rsid w:val="00A21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EDD68"/>
  <w15:docId w15:val="{CDAF7A14-C1A6-4604-9C96-768BEDC2E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</w:style>
  <w:style w:type="paragraph" w:styleId="Textodeglobo">
    <w:name w:val="Balloon Text"/>
    <w:basedOn w:val="Normal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pPr>
      <w:suppressAutoHyphens/>
      <w:spacing w:before="240" w:after="240" w:line="276" w:lineRule="auto"/>
    </w:pPr>
    <w:rPr>
      <w:rFonts w:ascii="Helvetica" w:hAnsi="Helvetica"/>
      <w:color w:val="808080"/>
    </w:rPr>
  </w:style>
  <w:style w:type="paragraph" w:styleId="Prrafodelista">
    <w:name w:val="List Paragraph"/>
    <w:basedOn w:val="Normal"/>
    <w:pPr>
      <w:ind w:left="720"/>
    </w:pPr>
  </w:style>
  <w:style w:type="character" w:styleId="Hipervnculo">
    <w:name w:val="Hyperlink"/>
    <w:basedOn w:val="Fuentedeprrafopredeter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540</Words>
  <Characters>2971</Characters>
  <Application>Microsoft Office Word</Application>
  <DocSecurity>0</DocSecurity>
  <Lines>24</Lines>
  <Paragraphs>7</Paragraphs>
  <ScaleCrop>false</ScaleCrop>
  <Company/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2</cp:revision>
  <cp:lastPrinted>2026-04-21T11:48:00Z</cp:lastPrinted>
  <dcterms:created xsi:type="dcterms:W3CDTF">2026-06-08T10:57:00Z</dcterms:created>
  <dcterms:modified xsi:type="dcterms:W3CDTF">2026-06-08T10:57:00Z</dcterms:modified>
</cp:coreProperties>
</file>