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charts/colors1.xml" ContentType="application/vnd.ms-office.chartcolorsty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harts/style1.xml" ContentType="application/vnd.ms-office.chartsty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1509" w:rsidRPr="00E231F3" w:rsidRDefault="000A3322" w:rsidP="00A94712">
      <w:pPr>
        <w:spacing w:after="240"/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</w:pPr>
      <w:bookmarkStart w:id="0" w:name="_Toc536790018"/>
      <w:r w:rsidRPr="008C6DC4"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  <w:t>INFORMACIÓN ESTADÍSTICA AÑO 20</w:t>
      </w:r>
      <w:r w:rsidR="002F7383"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  <w:t>2</w:t>
      </w:r>
      <w:bookmarkStart w:id="1" w:name="_Toc536790030"/>
      <w:bookmarkEnd w:id="0"/>
      <w:r w:rsidR="00A46714"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  <w:t>5</w:t>
      </w:r>
    </w:p>
    <w:p w:rsidR="006338EC" w:rsidRPr="008C6DC4" w:rsidRDefault="00BF1509" w:rsidP="00BF1509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8C6DC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Nivel de cobertura del servicio</w:t>
      </w:r>
      <w:r w:rsidR="00F22269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202</w:t>
      </w:r>
      <w:r w:rsidR="00A4671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5</w:t>
      </w:r>
    </w:p>
    <w:p w:rsidR="00BF1509" w:rsidRDefault="00A46714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A46714">
        <w:rPr>
          <w:szCs w:val="28"/>
        </w:rPr>
        <w:drawing>
          <wp:inline distT="0" distB="0" distL="0" distR="0">
            <wp:extent cx="3971925" cy="2867025"/>
            <wp:effectExtent l="19050" t="0" r="9525" b="0"/>
            <wp:docPr id="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1925" cy="2867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6714" w:rsidRDefault="00A46714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A4671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drawing>
          <wp:inline distT="0" distB="0" distL="0" distR="0">
            <wp:extent cx="4572000" cy="2743200"/>
            <wp:effectExtent l="19050" t="0" r="19050" b="0"/>
            <wp:docPr id="4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F22269" w:rsidRDefault="00F22269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F22269" w:rsidRDefault="00F22269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FC2B1C" w:rsidRDefault="00FC2B1C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FC2B1C" w:rsidRDefault="00FC2B1C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bookmarkEnd w:id="1"/>
    <w:p w:rsidR="00A708D7" w:rsidRDefault="00A708D7" w:rsidP="002F738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FC2B1C" w:rsidRDefault="00FC2B1C" w:rsidP="00FC2B1C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Evolución</w:t>
      </w:r>
      <w:r w:rsidRPr="008C6DC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de viajeros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 w:rsidR="006217B2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202</w:t>
      </w:r>
      <w:r w:rsidR="0031375C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4</w:t>
      </w:r>
      <w:r w:rsidR="006217B2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–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202</w:t>
      </w:r>
      <w:r w:rsidR="0031375C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5</w:t>
      </w:r>
    </w:p>
    <w:p w:rsidR="006217B2" w:rsidRPr="008C6DC4" w:rsidRDefault="00A46714" w:rsidP="00FC2B1C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sz w:val="24"/>
          <w:szCs w:val="24"/>
          <w:lang w:eastAsia="es-ES"/>
        </w:rPr>
        <w:t>El incremento de viajeros en 2025 con respecto a 2024 fue del 14,29%</w:t>
      </w:r>
    </w:p>
    <w:tbl>
      <w:tblPr>
        <w:tblW w:w="5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00"/>
        <w:gridCol w:w="1360"/>
        <w:gridCol w:w="1360"/>
        <w:gridCol w:w="1201"/>
      </w:tblGrid>
      <w:tr w:rsidR="00A46714" w:rsidRPr="00A46714" w:rsidTr="00A46714">
        <w:trPr>
          <w:trHeight w:val="300"/>
        </w:trPr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Mes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2024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2025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Incremento</w:t>
            </w:r>
          </w:p>
        </w:tc>
      </w:tr>
      <w:tr w:rsidR="00A46714" w:rsidRPr="00A46714" w:rsidTr="00A46714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Enero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4.616.199 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4.681.746   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1,42%</w:t>
            </w:r>
          </w:p>
        </w:tc>
      </w:tr>
      <w:tr w:rsidR="00A46714" w:rsidRPr="00A46714" w:rsidTr="00A46714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Febrero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4.569.697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4.591.616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0,48%</w:t>
            </w:r>
          </w:p>
        </w:tc>
      </w:tr>
      <w:tr w:rsidR="00A46714" w:rsidRPr="00A46714" w:rsidTr="00A46714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Marzo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4.411.414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4.747.109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7,61%</w:t>
            </w:r>
          </w:p>
        </w:tc>
      </w:tr>
      <w:tr w:rsidR="00A46714" w:rsidRPr="00A46714" w:rsidTr="00A46714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Abril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4.812.789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4.598.025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-4,46%</w:t>
            </w:r>
          </w:p>
        </w:tc>
      </w:tr>
      <w:tr w:rsidR="00A46714" w:rsidRPr="00A46714" w:rsidTr="00A46714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Mayo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4.693.382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4.797.263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2,21%</w:t>
            </w:r>
          </w:p>
        </w:tc>
      </w:tr>
      <w:tr w:rsidR="00A46714" w:rsidRPr="00A46714" w:rsidTr="00A46714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Junio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4.286.471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4.582.397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6,90%</w:t>
            </w:r>
          </w:p>
        </w:tc>
      </w:tr>
      <w:tr w:rsidR="00A46714" w:rsidRPr="00A46714" w:rsidTr="00A46714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Julio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4.432.424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4.632.075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4,50%</w:t>
            </w:r>
          </w:p>
        </w:tc>
      </w:tr>
      <w:tr w:rsidR="00A46714" w:rsidRPr="00A46714" w:rsidTr="00A46714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Agosto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4.128.357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4.157.238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0,70%</w:t>
            </w:r>
          </w:p>
        </w:tc>
      </w:tr>
      <w:tr w:rsidR="00A46714" w:rsidRPr="00A46714" w:rsidTr="00A46714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Septiembre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4.502.054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4.793.894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6,48%</w:t>
            </w:r>
          </w:p>
        </w:tc>
      </w:tr>
      <w:tr w:rsidR="00A46714" w:rsidRPr="00A46714" w:rsidTr="00A46714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Octubre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5.132.853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5.387.540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4,96%</w:t>
            </w:r>
          </w:p>
        </w:tc>
      </w:tr>
      <w:tr w:rsidR="00A46714" w:rsidRPr="00A46714" w:rsidTr="00A46714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Noviembre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4.697.384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4.921.275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4,77%</w:t>
            </w:r>
          </w:p>
        </w:tc>
      </w:tr>
      <w:tr w:rsidR="00A46714" w:rsidRPr="00A46714" w:rsidTr="00A46714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Diciembre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4.549.481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4.699.697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color w:val="000000"/>
                <w:lang w:eastAsia="es-ES"/>
              </w:rPr>
              <w:t>3,30%</w:t>
            </w:r>
          </w:p>
        </w:tc>
      </w:tr>
      <w:tr w:rsidR="00A46714" w:rsidRPr="00A46714" w:rsidTr="00A46714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    54.832.505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    56.589.875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46714" w:rsidRPr="00A46714" w:rsidRDefault="00A46714" w:rsidP="00A467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A46714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14,29%</w:t>
            </w:r>
          </w:p>
        </w:tc>
      </w:tr>
    </w:tbl>
    <w:p w:rsidR="006217B2" w:rsidRPr="001D53C2" w:rsidRDefault="006217B2" w:rsidP="002F7383">
      <w:pPr>
        <w:rPr>
          <w:rFonts w:ascii="Helvetica" w:eastAsia="MS Mincho" w:hAnsi="Helvetica" w:cs="Times New Roman"/>
          <w:color w:val="1F2A48"/>
          <w:sz w:val="44"/>
          <w:szCs w:val="44"/>
          <w:lang w:val="es-ES_tradnl" w:eastAsia="es-ES"/>
        </w:rPr>
      </w:pPr>
    </w:p>
    <w:p w:rsidR="00E150A0" w:rsidRPr="002F7383" w:rsidRDefault="00EE205C" w:rsidP="002F7383">
      <w:r w:rsidRPr="00EE205C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Índice de satisfacción del cliente </w:t>
      </w:r>
      <w:r w:rsidR="00812CA1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2011- </w:t>
      </w:r>
      <w:r w:rsidRPr="00EE205C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</w:t>
      </w:r>
      <w:r w:rsidR="000357D1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</w:t>
      </w:r>
      <w:r w:rsidR="00A4671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5</w:t>
      </w:r>
    </w:p>
    <w:p w:rsidR="006F3E13" w:rsidRPr="006F3E13" w:rsidRDefault="00770F03" w:rsidP="00E72B04">
      <w:pPr>
        <w:jc w:val="both"/>
        <w:rPr>
          <w:rFonts w:ascii="Helvetica" w:eastAsia="MS Mincho" w:hAnsi="Helvetica" w:cs="Times New Roman"/>
          <w:sz w:val="24"/>
          <w:szCs w:val="24"/>
          <w:lang w:eastAsia="es-ES"/>
        </w:rPr>
      </w:pPr>
      <w:r w:rsidRPr="00770F03">
        <w:rPr>
          <w:noProof/>
          <w:shd w:val="clear" w:color="auto" w:fill="FFC000"/>
          <w:lang w:eastAsia="es-E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1901190</wp:posOffset>
            </wp:positionH>
            <wp:positionV relativeFrom="paragraph">
              <wp:posOffset>836930</wp:posOffset>
            </wp:positionV>
            <wp:extent cx="3495675" cy="2266950"/>
            <wp:effectExtent l="0" t="0" r="0" b="0"/>
            <wp:wrapSquare wrapText="bothSides"/>
            <wp:docPr id="1964183993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anchor>
        </w:drawing>
      </w:r>
      <w:r w:rsidR="00EE205C" w:rsidRPr="00E150A0">
        <w:rPr>
          <w:rFonts w:ascii="Helvetica" w:eastAsia="MS Mincho" w:hAnsi="Helvetica" w:cs="Times New Roman"/>
          <w:sz w:val="24"/>
          <w:szCs w:val="24"/>
          <w:lang w:eastAsia="es-ES"/>
        </w:rPr>
        <w:t>En la última encuesta realizada</w:t>
      </w:r>
      <w:r w:rsid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 en 20</w:t>
      </w:r>
      <w:r w:rsidR="002F7383">
        <w:rPr>
          <w:rFonts w:ascii="Helvetica" w:eastAsia="MS Mincho" w:hAnsi="Helvetica" w:cs="Times New Roman"/>
          <w:sz w:val="24"/>
          <w:szCs w:val="24"/>
          <w:lang w:eastAsia="es-ES"/>
        </w:rPr>
        <w:t>2</w:t>
      </w:r>
      <w:r w:rsidR="006F3E13">
        <w:rPr>
          <w:rFonts w:ascii="Helvetica" w:eastAsia="MS Mincho" w:hAnsi="Helvetica" w:cs="Times New Roman"/>
          <w:sz w:val="24"/>
          <w:szCs w:val="24"/>
          <w:lang w:eastAsia="es-ES"/>
        </w:rPr>
        <w:t>5</w:t>
      </w:r>
      <w:r w:rsidR="00EE205C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, Guaguas Municipales 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S.A. </w:t>
      </w:r>
      <w:r w:rsidR="00EE205C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obtuvo 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una puntuación de </w:t>
      </w:r>
      <w:r>
        <w:rPr>
          <w:rFonts w:ascii="Helvetica" w:eastAsia="MS Mincho" w:hAnsi="Helvetica" w:cs="Times New Roman"/>
          <w:sz w:val="24"/>
          <w:szCs w:val="24"/>
          <w:lang w:eastAsia="es-ES"/>
        </w:rPr>
        <w:t>8,</w:t>
      </w:r>
      <w:r w:rsidR="006F3E13">
        <w:rPr>
          <w:rFonts w:ascii="Helvetica" w:eastAsia="MS Mincho" w:hAnsi="Helvetica" w:cs="Times New Roman"/>
          <w:sz w:val="24"/>
          <w:szCs w:val="24"/>
          <w:lang w:eastAsia="es-ES"/>
        </w:rPr>
        <w:t>41</w:t>
      </w:r>
      <w:r w:rsidR="00625227" w:rsidRPr="00E150A0">
        <w:rPr>
          <w:sz w:val="24"/>
          <w:szCs w:val="24"/>
        </w:rPr>
        <w:t xml:space="preserve"> 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sobre 10 en el </w:t>
      </w:r>
      <w:r>
        <w:rPr>
          <w:rFonts w:ascii="Helvetica" w:eastAsia="MS Mincho" w:hAnsi="Helvetica" w:cs="Times New Roman"/>
          <w:sz w:val="24"/>
          <w:szCs w:val="24"/>
          <w:lang w:eastAsia="es-ES"/>
        </w:rPr>
        <w:t>Í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ndice de </w:t>
      </w:r>
      <w:r>
        <w:rPr>
          <w:rFonts w:ascii="Helvetica" w:eastAsia="MS Mincho" w:hAnsi="Helvetica" w:cs="Times New Roman"/>
          <w:sz w:val="24"/>
          <w:szCs w:val="24"/>
          <w:lang w:eastAsia="es-ES"/>
        </w:rPr>
        <w:t>S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atisfacción del </w:t>
      </w:r>
      <w:r>
        <w:rPr>
          <w:rFonts w:ascii="Helvetica" w:eastAsia="MS Mincho" w:hAnsi="Helvetica" w:cs="Times New Roman"/>
          <w:sz w:val="24"/>
          <w:szCs w:val="24"/>
          <w:lang w:eastAsia="es-ES"/>
        </w:rPr>
        <w:t>C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>liente</w:t>
      </w:r>
      <w:r w:rsidR="00557046">
        <w:rPr>
          <w:rFonts w:ascii="Helvetica" w:eastAsia="MS Mincho" w:hAnsi="Helvetica" w:cs="Times New Roman"/>
          <w:sz w:val="24"/>
          <w:szCs w:val="24"/>
          <w:lang w:eastAsia="es-ES"/>
        </w:rPr>
        <w:t xml:space="preserve">, </w:t>
      </w:r>
      <w:r w:rsidR="003D4B86">
        <w:rPr>
          <w:rFonts w:ascii="Helvetica" w:eastAsia="MS Mincho" w:hAnsi="Helvetica" w:cs="Times New Roman"/>
          <w:sz w:val="24"/>
          <w:szCs w:val="24"/>
          <w:lang w:eastAsia="es-ES"/>
        </w:rPr>
        <w:t>consolidando</w:t>
      </w:r>
      <w:r>
        <w:rPr>
          <w:rFonts w:ascii="Helvetica" w:eastAsia="MS Mincho" w:hAnsi="Helvetica" w:cs="Times New Roman"/>
          <w:sz w:val="24"/>
          <w:szCs w:val="24"/>
          <w:lang w:eastAsia="es-ES"/>
        </w:rPr>
        <w:t xml:space="preserve"> la tendencia al alza que ha seguido la compañía desde las encuestas iniciales</w:t>
      </w:r>
      <w:r w:rsidR="00557046">
        <w:rPr>
          <w:rFonts w:ascii="Helvetica" w:eastAsia="MS Mincho" w:hAnsi="Helvetica" w:cs="Times New Roman"/>
          <w:sz w:val="24"/>
          <w:szCs w:val="24"/>
          <w:lang w:eastAsia="es-ES"/>
        </w:rPr>
        <w:t>.</w:t>
      </w:r>
      <w:r w:rsidR="005E1C4B">
        <w:rPr>
          <w:rFonts w:ascii="Helvetica" w:eastAsia="MS Mincho" w:hAnsi="Helvetica" w:cs="Times New Roman"/>
          <w:sz w:val="24"/>
          <w:szCs w:val="24"/>
          <w:lang w:eastAsia="es-ES"/>
        </w:rPr>
        <w:t xml:space="preserve"> </w:t>
      </w:r>
    </w:p>
    <w:tbl>
      <w:tblPr>
        <w:tblW w:w="24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76"/>
        <w:gridCol w:w="1124"/>
      </w:tblGrid>
      <w:tr w:rsidR="006F3E13" w:rsidRPr="006F3E13" w:rsidTr="006F3E13">
        <w:trPr>
          <w:trHeight w:val="315"/>
        </w:trPr>
        <w:tc>
          <w:tcPr>
            <w:tcW w:w="2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ISC</w:t>
            </w:r>
          </w:p>
        </w:tc>
      </w:tr>
      <w:tr w:rsidR="006F3E13" w:rsidRPr="006F3E13" w:rsidTr="006F3E1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Año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ISC</w:t>
            </w:r>
          </w:p>
        </w:tc>
      </w:tr>
      <w:tr w:rsidR="006F3E13" w:rsidRPr="006F3E13" w:rsidTr="006F3E1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color w:val="000000"/>
                <w:lang w:eastAsia="es-ES"/>
              </w:rPr>
              <w:t>2011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color w:val="000000"/>
                <w:lang w:eastAsia="es-ES"/>
              </w:rPr>
              <w:t>7,33</w:t>
            </w:r>
          </w:p>
        </w:tc>
      </w:tr>
      <w:tr w:rsidR="006F3E13" w:rsidRPr="006F3E13" w:rsidTr="006F3E1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color w:val="000000"/>
                <w:lang w:eastAsia="es-ES"/>
              </w:rPr>
              <w:t>2013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color w:val="000000"/>
                <w:lang w:eastAsia="es-ES"/>
              </w:rPr>
              <w:t>7,29</w:t>
            </w:r>
          </w:p>
        </w:tc>
      </w:tr>
      <w:tr w:rsidR="006F3E13" w:rsidRPr="006F3E13" w:rsidTr="006F3E1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color w:val="000000"/>
                <w:lang w:eastAsia="es-ES"/>
              </w:rPr>
              <w:t>2015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color w:val="000000"/>
                <w:lang w:eastAsia="es-ES"/>
              </w:rPr>
              <w:t>7,47</w:t>
            </w:r>
          </w:p>
        </w:tc>
      </w:tr>
      <w:tr w:rsidR="006F3E13" w:rsidRPr="006F3E13" w:rsidTr="006F3E1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color w:val="000000"/>
                <w:lang w:eastAsia="es-ES"/>
              </w:rPr>
              <w:t>2017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color w:val="000000"/>
                <w:lang w:eastAsia="es-ES"/>
              </w:rPr>
              <w:t>7,76</w:t>
            </w:r>
          </w:p>
        </w:tc>
      </w:tr>
      <w:tr w:rsidR="006F3E13" w:rsidRPr="006F3E13" w:rsidTr="006F3E1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color w:val="000000"/>
                <w:lang w:eastAsia="es-ES"/>
              </w:rPr>
              <w:t>2018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color w:val="000000"/>
                <w:lang w:eastAsia="es-ES"/>
              </w:rPr>
              <w:t>7,92</w:t>
            </w:r>
          </w:p>
        </w:tc>
      </w:tr>
      <w:tr w:rsidR="006F3E13" w:rsidRPr="006F3E13" w:rsidTr="006F3E1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color w:val="000000"/>
                <w:lang w:eastAsia="es-ES"/>
              </w:rPr>
              <w:t>2019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color w:val="000000"/>
                <w:lang w:eastAsia="es-ES"/>
              </w:rPr>
              <w:t>7,96</w:t>
            </w:r>
          </w:p>
        </w:tc>
      </w:tr>
      <w:tr w:rsidR="006F3E13" w:rsidRPr="006F3E13" w:rsidTr="006F3E1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color w:val="000000"/>
                <w:lang w:eastAsia="es-ES"/>
              </w:rPr>
              <w:t>2021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color w:val="000000"/>
                <w:lang w:eastAsia="es-ES"/>
              </w:rPr>
              <w:t>8,21</w:t>
            </w:r>
          </w:p>
        </w:tc>
      </w:tr>
      <w:tr w:rsidR="006F3E13" w:rsidRPr="006F3E13" w:rsidTr="006F3E1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color w:val="000000"/>
                <w:lang w:eastAsia="es-ES"/>
              </w:rPr>
              <w:t>2023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color w:val="000000"/>
                <w:lang w:eastAsia="es-ES"/>
              </w:rPr>
              <w:t>8,02</w:t>
            </w:r>
          </w:p>
        </w:tc>
      </w:tr>
      <w:tr w:rsidR="006F3E13" w:rsidRPr="006F3E13" w:rsidTr="006F3E1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color w:val="000000"/>
                <w:lang w:eastAsia="es-ES"/>
              </w:rPr>
              <w:t>2024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color w:val="000000"/>
                <w:lang w:eastAsia="es-ES"/>
              </w:rPr>
              <w:t>8,25</w:t>
            </w:r>
          </w:p>
        </w:tc>
      </w:tr>
      <w:tr w:rsidR="006F3E13" w:rsidRPr="006F3E13" w:rsidTr="006F3E13">
        <w:trPr>
          <w:trHeight w:val="31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color w:val="000000"/>
                <w:lang w:eastAsia="es-ES"/>
              </w:rPr>
              <w:t>2025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3E13" w:rsidRPr="006F3E13" w:rsidRDefault="006F3E13" w:rsidP="006F3E1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3E13">
              <w:rPr>
                <w:rFonts w:ascii="Calibri" w:eastAsia="Times New Roman" w:hAnsi="Calibri" w:cs="Calibri"/>
                <w:color w:val="000000"/>
                <w:lang w:eastAsia="es-ES"/>
              </w:rPr>
              <w:t>8,41</w:t>
            </w:r>
          </w:p>
        </w:tc>
      </w:tr>
    </w:tbl>
    <w:p w:rsidR="00766457" w:rsidRDefault="00766457" w:rsidP="00E72B04">
      <w:pPr>
        <w:jc w:val="both"/>
      </w:pPr>
    </w:p>
    <w:sectPr w:rsidR="00766457" w:rsidSect="00A94712">
      <w:headerReference w:type="default" r:id="rId9"/>
      <w:footerReference w:type="default" r:id="rId10"/>
      <w:pgSz w:w="11906" w:h="16838"/>
      <w:pgMar w:top="1702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6714" w:rsidRDefault="00A46714" w:rsidP="00D12E8B">
      <w:pPr>
        <w:spacing w:after="0" w:line="240" w:lineRule="auto"/>
      </w:pPr>
      <w:r>
        <w:separator/>
      </w:r>
    </w:p>
  </w:endnote>
  <w:endnote w:type="continuationSeparator" w:id="0">
    <w:p w:rsidR="00A46714" w:rsidRDefault="00A46714" w:rsidP="00D12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714" w:rsidRDefault="00A46714">
    <w:pPr>
      <w:pStyle w:val="Piedepgina"/>
    </w:pPr>
    <w:r w:rsidRPr="00D12E8B">
      <w:rPr>
        <w:noProof/>
        <w:lang w:eastAsia="es-ES"/>
      </w:rPr>
      <w:drawing>
        <wp:inline distT="0" distB="0" distL="0" distR="0">
          <wp:extent cx="5067300" cy="351948"/>
          <wp:effectExtent l="19050" t="0" r="0" b="0"/>
          <wp:docPr id="1155303393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6176" cy="3553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6714" w:rsidRDefault="00A46714" w:rsidP="00D12E8B">
      <w:pPr>
        <w:spacing w:after="0" w:line="240" w:lineRule="auto"/>
      </w:pPr>
      <w:r>
        <w:separator/>
      </w:r>
    </w:p>
  </w:footnote>
  <w:footnote w:type="continuationSeparator" w:id="0">
    <w:p w:rsidR="00A46714" w:rsidRDefault="00A46714" w:rsidP="00D12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714" w:rsidRDefault="00A46714">
    <w:pPr>
      <w:pStyle w:val="Encabezado"/>
    </w:pPr>
    <w:r w:rsidRPr="00D12E8B">
      <w:rPr>
        <w:noProof/>
        <w:lang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-546735</wp:posOffset>
          </wp:positionH>
          <wp:positionV relativeFrom="paragraph">
            <wp:posOffset>-154305</wp:posOffset>
          </wp:positionV>
          <wp:extent cx="1876425" cy="504825"/>
          <wp:effectExtent l="0" t="0" r="0" b="0"/>
          <wp:wrapSquare wrapText="bothSides"/>
          <wp:docPr id="816724659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76425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12E8B"/>
    <w:rsid w:val="000357D1"/>
    <w:rsid w:val="00051E41"/>
    <w:rsid w:val="00086651"/>
    <w:rsid w:val="000A3322"/>
    <w:rsid w:val="000E7079"/>
    <w:rsid w:val="0013705D"/>
    <w:rsid w:val="001D53C2"/>
    <w:rsid w:val="001E7921"/>
    <w:rsid w:val="001F39C1"/>
    <w:rsid w:val="00224844"/>
    <w:rsid w:val="002567A1"/>
    <w:rsid w:val="0027391D"/>
    <w:rsid w:val="002A1CF2"/>
    <w:rsid w:val="002F5235"/>
    <w:rsid w:val="002F7383"/>
    <w:rsid w:val="00312F99"/>
    <w:rsid w:val="0031375C"/>
    <w:rsid w:val="00320DCB"/>
    <w:rsid w:val="00333AA8"/>
    <w:rsid w:val="00341CE7"/>
    <w:rsid w:val="0036691F"/>
    <w:rsid w:val="00372CAA"/>
    <w:rsid w:val="003A71CE"/>
    <w:rsid w:val="003B4050"/>
    <w:rsid w:val="003D4B86"/>
    <w:rsid w:val="00423B4F"/>
    <w:rsid w:val="004338F2"/>
    <w:rsid w:val="00462403"/>
    <w:rsid w:val="004D6F17"/>
    <w:rsid w:val="004F6340"/>
    <w:rsid w:val="00512D92"/>
    <w:rsid w:val="005228BA"/>
    <w:rsid w:val="00553F41"/>
    <w:rsid w:val="00557046"/>
    <w:rsid w:val="00581F65"/>
    <w:rsid w:val="005B690D"/>
    <w:rsid w:val="005D72B3"/>
    <w:rsid w:val="005E1C4B"/>
    <w:rsid w:val="0060359F"/>
    <w:rsid w:val="006217B2"/>
    <w:rsid w:val="00625227"/>
    <w:rsid w:val="006338EC"/>
    <w:rsid w:val="006764C6"/>
    <w:rsid w:val="00682B88"/>
    <w:rsid w:val="006A3424"/>
    <w:rsid w:val="006A73A4"/>
    <w:rsid w:val="006C3F80"/>
    <w:rsid w:val="006F3E13"/>
    <w:rsid w:val="00707C1B"/>
    <w:rsid w:val="007104EB"/>
    <w:rsid w:val="00727EF1"/>
    <w:rsid w:val="007314B3"/>
    <w:rsid w:val="00763485"/>
    <w:rsid w:val="00766457"/>
    <w:rsid w:val="00770F03"/>
    <w:rsid w:val="00784D22"/>
    <w:rsid w:val="00812CA1"/>
    <w:rsid w:val="008728D8"/>
    <w:rsid w:val="008C6DC4"/>
    <w:rsid w:val="008E10B9"/>
    <w:rsid w:val="00A46714"/>
    <w:rsid w:val="00A708D7"/>
    <w:rsid w:val="00A70CA4"/>
    <w:rsid w:val="00A94712"/>
    <w:rsid w:val="00BF1509"/>
    <w:rsid w:val="00C33983"/>
    <w:rsid w:val="00C61531"/>
    <w:rsid w:val="00CA5E4F"/>
    <w:rsid w:val="00D12E8B"/>
    <w:rsid w:val="00D54B67"/>
    <w:rsid w:val="00DC7705"/>
    <w:rsid w:val="00DE524F"/>
    <w:rsid w:val="00DF15F8"/>
    <w:rsid w:val="00DF1DFE"/>
    <w:rsid w:val="00E150A0"/>
    <w:rsid w:val="00E231F3"/>
    <w:rsid w:val="00E72113"/>
    <w:rsid w:val="00E72B04"/>
    <w:rsid w:val="00EE205C"/>
    <w:rsid w:val="00EE3894"/>
    <w:rsid w:val="00EF5003"/>
    <w:rsid w:val="00F22269"/>
    <w:rsid w:val="00F4621F"/>
    <w:rsid w:val="00F75353"/>
    <w:rsid w:val="00F77AF3"/>
    <w:rsid w:val="00F82F69"/>
    <w:rsid w:val="00FC2B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2B1C"/>
  </w:style>
  <w:style w:type="paragraph" w:styleId="Ttulo1">
    <w:name w:val="heading 1"/>
    <w:basedOn w:val="Normal"/>
    <w:next w:val="Normal"/>
    <w:link w:val="Ttulo1Car"/>
    <w:uiPriority w:val="9"/>
    <w:qFormat/>
    <w:rsid w:val="00D12E8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12E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12E8B"/>
  </w:style>
  <w:style w:type="paragraph" w:styleId="Piedepgina">
    <w:name w:val="footer"/>
    <w:basedOn w:val="Normal"/>
    <w:link w:val="PiedepginaCar"/>
    <w:uiPriority w:val="99"/>
    <w:unhideWhenUsed/>
    <w:rsid w:val="00D12E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12E8B"/>
  </w:style>
  <w:style w:type="paragraph" w:styleId="Textodeglobo">
    <w:name w:val="Balloon Text"/>
    <w:basedOn w:val="Normal"/>
    <w:link w:val="TextodegloboCar"/>
    <w:uiPriority w:val="99"/>
    <w:semiHidden/>
    <w:unhideWhenUsed/>
    <w:rsid w:val="00D12E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2E8B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D12E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67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4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0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47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40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5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3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8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2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93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1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openxmlformats.org/officeDocument/2006/relationships/webSettings" Target="webSettings.xml"/><Relationship Id="rId7" Type="http://schemas.openxmlformats.org/officeDocument/2006/relationships/chart" Target="charts/chart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infraestructuras\INDICADORES%20Y%20ESTUDIOS\COORDINACI&#211;N,%20INNOVACI&#211;N%20E%20INFRAESTRUCTURAS\Cuadro%20Operativo\Cuadros%20Operativos%20a&#241;os%20anteriores\Cuadro%20Operativo%20GMSA%202025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microsoft.com/office/2011/relationships/chartStyle" Target="style1.xml"/><Relationship Id="rId2" Type="http://schemas.microsoft.com/office/2011/relationships/chartColorStyle" Target="colors1.xml"/><Relationship Id="rId1" Type="http://schemas.openxmlformats.org/officeDocument/2006/relationships/package" Target="../embeddings/Hoja_de_c_lculo_de_Microsoft_Office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s-ES"/>
  <c:chart>
    <c:title>
      <c:tx>
        <c:rich>
          <a:bodyPr/>
          <a:lstStyle/>
          <a:p>
            <a:pPr>
              <a:defRPr sz="1400"/>
            </a:pPr>
            <a:r>
              <a:rPr lang="en-US" sz="1400"/>
              <a:t>Nivel de cobertura 2025</a:t>
            </a:r>
          </a:p>
        </c:rich>
      </c:tx>
      <c:layout/>
    </c:title>
    <c:plotArea>
      <c:layout/>
      <c:lineChart>
        <c:grouping val="standard"/>
        <c:ser>
          <c:idx val="0"/>
          <c:order val="0"/>
          <c:tx>
            <c:v>Laborables</c:v>
          </c:tx>
          <c:marker>
            <c:symbol val="none"/>
          </c:marker>
          <c:cat>
            <c:strRef>
              <c:f>'Ind 6'!$R$3:$R$12</c:f>
              <c:strCache>
                <c:ptCount val="10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</c:strCache>
            </c:strRef>
          </c:cat>
          <c:val>
            <c:numRef>
              <c:f>'Ind 6'!$S$3:$S$12</c:f>
              <c:numCache>
                <c:formatCode>0.00%</c:formatCode>
                <c:ptCount val="10"/>
                <c:pt idx="0">
                  <c:v>1.0956999999999999</c:v>
                </c:pt>
                <c:pt idx="1">
                  <c:v>1.0456000000000001</c:v>
                </c:pt>
                <c:pt idx="2">
                  <c:v>1.0431999999999999</c:v>
                </c:pt>
                <c:pt idx="3">
                  <c:v>1.0404</c:v>
                </c:pt>
                <c:pt idx="4">
                  <c:v>1.0366</c:v>
                </c:pt>
                <c:pt idx="5">
                  <c:v>1.1151</c:v>
                </c:pt>
                <c:pt idx="6">
                  <c:v>1.0645</c:v>
                </c:pt>
                <c:pt idx="7">
                  <c:v>1.0541</c:v>
                </c:pt>
                <c:pt idx="8">
                  <c:v>1.0867</c:v>
                </c:pt>
                <c:pt idx="9">
                  <c:v>1.0499000000000001</c:v>
                </c:pt>
              </c:numCache>
            </c:numRef>
          </c:val>
        </c:ser>
        <c:ser>
          <c:idx val="1"/>
          <c:order val="1"/>
          <c:tx>
            <c:v>Sábados</c:v>
          </c:tx>
          <c:marker>
            <c:symbol val="none"/>
          </c:marker>
          <c:cat>
            <c:strRef>
              <c:f>'Ind 6'!$R$3:$R$12</c:f>
              <c:strCache>
                <c:ptCount val="10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</c:strCache>
            </c:strRef>
          </c:cat>
          <c:val>
            <c:numRef>
              <c:f>'Ind 6'!$T$3:$T$12</c:f>
              <c:numCache>
                <c:formatCode>0.00%</c:formatCode>
                <c:ptCount val="10"/>
                <c:pt idx="0">
                  <c:v>1.125</c:v>
                </c:pt>
                <c:pt idx="1">
                  <c:v>1.0810999999999999</c:v>
                </c:pt>
                <c:pt idx="2">
                  <c:v>1.0524</c:v>
                </c:pt>
                <c:pt idx="3">
                  <c:v>1.0667</c:v>
                </c:pt>
                <c:pt idx="4">
                  <c:v>1.0738000000000001</c:v>
                </c:pt>
                <c:pt idx="5">
                  <c:v>1.0991</c:v>
                </c:pt>
                <c:pt idx="6">
                  <c:v>1.0912999999999999</c:v>
                </c:pt>
                <c:pt idx="7">
                  <c:v>1.0575000000000001</c:v>
                </c:pt>
                <c:pt idx="8">
                  <c:v>1.1004</c:v>
                </c:pt>
                <c:pt idx="9">
                  <c:v>1.0469999999999999</c:v>
                </c:pt>
              </c:numCache>
            </c:numRef>
          </c:val>
        </c:ser>
        <c:ser>
          <c:idx val="2"/>
          <c:order val="2"/>
          <c:tx>
            <c:v>Festivos</c:v>
          </c:tx>
          <c:marker>
            <c:symbol val="none"/>
          </c:marker>
          <c:cat>
            <c:strRef>
              <c:f>'Ind 6'!$R$3:$R$12</c:f>
              <c:strCache>
                <c:ptCount val="10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</c:strCache>
            </c:strRef>
          </c:cat>
          <c:val>
            <c:numRef>
              <c:f>'Ind 6'!$U$3:$U$12</c:f>
              <c:numCache>
                <c:formatCode>0.00%</c:formatCode>
                <c:ptCount val="10"/>
                <c:pt idx="0">
                  <c:v>1.1398999999999999</c:v>
                </c:pt>
                <c:pt idx="1">
                  <c:v>1.0979000000000001</c:v>
                </c:pt>
                <c:pt idx="2">
                  <c:v>1.0567</c:v>
                </c:pt>
                <c:pt idx="3">
                  <c:v>1.0744</c:v>
                </c:pt>
                <c:pt idx="4">
                  <c:v>1.0454000000000001</c:v>
                </c:pt>
                <c:pt idx="5">
                  <c:v>1.1305000000000001</c:v>
                </c:pt>
                <c:pt idx="6">
                  <c:v>1.2205999999999999</c:v>
                </c:pt>
                <c:pt idx="7">
                  <c:v>1.0609</c:v>
                </c:pt>
                <c:pt idx="8">
                  <c:v>1.1523000000000001</c:v>
                </c:pt>
                <c:pt idx="9">
                  <c:v>1.0812999999999999</c:v>
                </c:pt>
              </c:numCache>
            </c:numRef>
          </c:val>
        </c:ser>
        <c:ser>
          <c:idx val="3"/>
          <c:order val="3"/>
          <c:tx>
            <c:v>Total mes</c:v>
          </c:tx>
          <c:marker>
            <c:symbol val="none"/>
          </c:marker>
          <c:cat>
            <c:strRef>
              <c:f>'Ind 6'!$R$3:$R$12</c:f>
              <c:strCache>
                <c:ptCount val="10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</c:strCache>
            </c:strRef>
          </c:cat>
          <c:val>
            <c:numRef>
              <c:f>'Ind 6'!$V$3:$V$12</c:f>
              <c:numCache>
                <c:formatCode>0.00%</c:formatCode>
                <c:ptCount val="10"/>
                <c:pt idx="0">
                  <c:v>1.1035999999999999</c:v>
                </c:pt>
                <c:pt idx="1">
                  <c:v>1.0533999999999999</c:v>
                </c:pt>
                <c:pt idx="2">
                  <c:v>1.0458000000000001</c:v>
                </c:pt>
                <c:pt idx="3">
                  <c:v>1.0468999999999999</c:v>
                </c:pt>
                <c:pt idx="4">
                  <c:v>1.0418000000000001</c:v>
                </c:pt>
                <c:pt idx="5">
                  <c:v>1.1154999999999999</c:v>
                </c:pt>
                <c:pt idx="6">
                  <c:v>1.08</c:v>
                </c:pt>
                <c:pt idx="7">
                  <c:v>1.0552999999999999</c:v>
                </c:pt>
                <c:pt idx="8">
                  <c:v>1.0943000000000001</c:v>
                </c:pt>
                <c:pt idx="9">
                  <c:v>1.052</c:v>
                </c:pt>
              </c:numCache>
            </c:numRef>
          </c:val>
        </c:ser>
        <c:marker val="1"/>
        <c:axId val="111822336"/>
        <c:axId val="111823872"/>
      </c:lineChart>
      <c:catAx>
        <c:axId val="111822336"/>
        <c:scaling>
          <c:orientation val="minMax"/>
        </c:scaling>
        <c:axPos val="b"/>
        <c:tickLblPos val="nextTo"/>
        <c:crossAx val="111823872"/>
        <c:crosses val="autoZero"/>
        <c:auto val="1"/>
        <c:lblAlgn val="ctr"/>
        <c:lblOffset val="100"/>
      </c:catAx>
      <c:valAx>
        <c:axId val="111823872"/>
        <c:scaling>
          <c:orientation val="minMax"/>
        </c:scaling>
        <c:axPos val="l"/>
        <c:majorGridlines/>
        <c:numFmt formatCode="0.00%" sourceLinked="1"/>
        <c:tickLblPos val="nextTo"/>
        <c:crossAx val="111822336"/>
        <c:crosses val="autoZero"/>
        <c:crossBetween val="between"/>
      </c:valAx>
    </c:plotArea>
    <c:legend>
      <c:legendPos val="r"/>
      <c:layout/>
    </c:legend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s-ES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100" b="1"/>
              <a:t>Evolución del Índice</a:t>
            </a:r>
            <a:r>
              <a:rPr lang="en-US" sz="1100" b="1" baseline="0"/>
              <a:t> de </a:t>
            </a:r>
            <a:r>
              <a:rPr lang="en-US" sz="1100" b="1"/>
              <a:t>Satisfacción de Cliente</a:t>
            </a:r>
          </a:p>
        </c:rich>
      </c:tx>
      <c:layout/>
      <c:spPr>
        <a:noFill/>
        <a:ln>
          <a:noFill/>
        </a:ln>
        <a:effectLst/>
      </c:spPr>
    </c:title>
    <c:plotArea>
      <c:layout/>
      <c:lineChart>
        <c:grouping val="standard"/>
        <c:ser>
          <c:idx val="0"/>
          <c:order val="0"/>
          <c:tx>
            <c:strRef>
              <c:f>Hoja1!$B$1</c:f>
              <c:strCache>
                <c:ptCount val="1"/>
                <c:pt idx="0">
                  <c:v>ISC</c:v>
                </c:pt>
              </c:strCache>
            </c:strRef>
          </c:tx>
          <c:spPr>
            <a:ln w="28575" cap="rnd">
              <a:solidFill>
                <a:srgbClr val="FFC000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rgbClr val="FFC000"/>
              </a:solidFill>
              <a:ln w="9525">
                <a:solidFill>
                  <a:srgbClr val="FFC000"/>
                </a:solidFill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s-ES"/>
              </a:p>
            </c:txPr>
            <c:dLblPos val="t"/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trendline>
            <c:spPr>
              <a:ln w="19050" cap="rnd">
                <a:solidFill>
                  <a:schemeClr val="accent1"/>
                </a:solidFill>
                <a:prstDash val="sysDot"/>
              </a:ln>
              <a:effectLst/>
            </c:spPr>
            <c:trendlineType val="linear"/>
          </c:trendline>
          <c:cat>
            <c:numRef>
              <c:f>Hoja1!$A$2:$A$11</c:f>
              <c:numCache>
                <c:formatCode>General</c:formatCode>
                <c:ptCount val="10"/>
                <c:pt idx="0">
                  <c:v>2011</c:v>
                </c:pt>
                <c:pt idx="1">
                  <c:v>2013</c:v>
                </c:pt>
                <c:pt idx="2">
                  <c:v>2015</c:v>
                </c:pt>
                <c:pt idx="3">
                  <c:v>2017</c:v>
                </c:pt>
                <c:pt idx="4">
                  <c:v>2018</c:v>
                </c:pt>
                <c:pt idx="5">
                  <c:v>2019</c:v>
                </c:pt>
                <c:pt idx="6">
                  <c:v>2021</c:v>
                </c:pt>
                <c:pt idx="7">
                  <c:v>2023</c:v>
                </c:pt>
                <c:pt idx="8">
                  <c:v>2024</c:v>
                </c:pt>
                <c:pt idx="9">
                  <c:v>2025</c:v>
                </c:pt>
              </c:numCache>
            </c:numRef>
          </c:cat>
          <c:val>
            <c:numRef>
              <c:f>Hoja1!$B$2:$B$11</c:f>
              <c:numCache>
                <c:formatCode>General</c:formatCode>
                <c:ptCount val="10"/>
                <c:pt idx="0">
                  <c:v>7.33</c:v>
                </c:pt>
                <c:pt idx="1">
                  <c:v>7.29</c:v>
                </c:pt>
                <c:pt idx="2">
                  <c:v>7.47</c:v>
                </c:pt>
                <c:pt idx="3">
                  <c:v>7.76</c:v>
                </c:pt>
                <c:pt idx="4">
                  <c:v>7.92</c:v>
                </c:pt>
                <c:pt idx="5">
                  <c:v>7.96</c:v>
                </c:pt>
                <c:pt idx="6">
                  <c:v>8.2100000000000009</c:v>
                </c:pt>
                <c:pt idx="7">
                  <c:v>8.02</c:v>
                </c:pt>
                <c:pt idx="8">
                  <c:v>8.25</c:v>
                </c:pt>
                <c:pt idx="9">
                  <c:v>8.41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B65D-4D72-850C-E474D13FDA18}"/>
            </c:ext>
          </c:extLst>
        </c:ser>
        <c:dLbls>
          <c:showVal val="1"/>
        </c:dLbls>
        <c:marker val="1"/>
        <c:axId val="141263232"/>
        <c:axId val="141264768"/>
      </c:lineChart>
      <c:catAx>
        <c:axId val="141263232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ES"/>
          </a:p>
        </c:txPr>
        <c:crossAx val="141264768"/>
        <c:crosses val="autoZero"/>
        <c:auto val="1"/>
        <c:lblAlgn val="ctr"/>
        <c:lblOffset val="100"/>
      </c:catAx>
      <c:valAx>
        <c:axId val="141264768"/>
        <c:scaling>
          <c:orientation val="minMax"/>
          <c:max val="10"/>
          <c:min val="5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ES"/>
          </a:p>
        </c:txPr>
        <c:crossAx val="141263232"/>
        <c:crosses val="autoZero"/>
        <c:crossBetween val="between"/>
        <c:majorUnit val="1"/>
      </c:valAx>
      <c:spPr>
        <a:noFill/>
        <a:ln>
          <a:noFill/>
        </a:ln>
        <a:effectLst/>
      </c:spPr>
    </c:plotArea>
    <c:legend>
      <c:legendPos val="b"/>
      <c:layout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es-ES"/>
    </a:p>
  </c:txPr>
  <c:externalData r:id="rId1"/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200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german.vega</cp:lastModifiedBy>
  <cp:revision>15</cp:revision>
  <cp:lastPrinted>2025-07-17T09:57:00Z</cp:lastPrinted>
  <dcterms:created xsi:type="dcterms:W3CDTF">2023-05-25T12:39:00Z</dcterms:created>
  <dcterms:modified xsi:type="dcterms:W3CDTF">2026-03-27T08:02:00Z</dcterms:modified>
</cp:coreProperties>
</file>